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jc w:val="center"/>
      </w:pPr>
      <w:r>
        <w:rPr>
          <w:rFonts w:ascii="Times New Roman" w:hAnsi="Times New Roman" w:cs="Times New Roman"/>
          <w:b/>
          <w:i w:val="0"/>
          <w:sz w:val="36"/>
        </w:rPr>
        <w:t>STARTUP AND ENTREPRENEURIAL ACTIVITY REPORT</w:t>
      </w:r>
    </w:p>
    <w:p>
      <w:pPr>
        <w:spacing w:after="160" w:before="0"/>
        <w:jc w:val="center"/>
      </w:pPr>
      <w:r>
        <w:rPr>
          <w:rFonts w:ascii="Times New Roman" w:hAnsi="Times New Roman" w:cs="Times New Roman"/>
          <w:b w:val="0"/>
          <w:i w:val="0"/>
          <w:sz w:val="28"/>
        </w:rPr>
        <w:t>On</w:t>
      </w:r>
    </w:p>
    <w:p>
      <w:pPr>
        <w:spacing w:after="120" w:before="0"/>
        <w:jc w:val="center"/>
      </w:pPr>
      <w:r>
        <w:rPr>
          <w:rFonts w:ascii="Times New Roman" w:hAnsi="Times New Roman" w:cs="Times New Roman"/>
          <w:b/>
          <w:i w:val="0"/>
          <w:sz w:val="32"/>
        </w:rPr>
        <w:t>AGRI-TECH MARKETPLACE FOR FARMERS</w:t>
      </w:r>
    </w:p>
    <w:p>
      <w:pPr>
        <w:spacing w:after="360" w:before="0"/>
        <w:jc w:val="center"/>
      </w:pPr>
      <w:r>
        <w:rPr>
          <w:rFonts w:ascii="Times New Roman" w:hAnsi="Times New Roman" w:cs="Times New Roman"/>
          <w:b w:val="0"/>
          <w:i/>
          <w:sz w:val="24"/>
        </w:rPr>
        <w:t>"KrishiConnect — Empowering Farmers Through a Digital Marketplace"</w:t>
      </w:r>
    </w:p>
    <w:p>
      <w:pPr>
        <w:spacing w:after="40" w:before="0"/>
        <w:jc w:val="center"/>
      </w:pPr>
      <w:r>
        <w:rPr>
          <w:rFonts w:ascii="Times New Roman" w:hAnsi="Times New Roman" w:cs="Times New Roman"/>
          <w:b w:val="0"/>
          <w:i w:val="0"/>
          <w:sz w:val="24"/>
        </w:rPr>
        <w:t>Submitted in Partial Fulfillment of the</w:t>
      </w:r>
    </w:p>
    <w:p>
      <w:pPr>
        <w:spacing w:after="40" w:before="0"/>
        <w:jc w:val="center"/>
      </w:pPr>
      <w:r>
        <w:rPr>
          <w:rFonts w:ascii="Times New Roman" w:hAnsi="Times New Roman" w:cs="Times New Roman"/>
          <w:b w:val="0"/>
          <w:i w:val="0"/>
          <w:sz w:val="24"/>
        </w:rPr>
        <w:t>Requirement for the Degree of Master of Computer Application</w:t>
      </w:r>
    </w:p>
    <w:p>
      <w:pPr>
        <w:spacing w:after="40" w:before="0"/>
        <w:jc w:val="center"/>
      </w:pPr>
      <w:r>
        <w:rPr>
          <w:rFonts w:ascii="Times New Roman" w:hAnsi="Times New Roman" w:cs="Times New Roman"/>
          <w:b w:val="0"/>
          <w:i w:val="0"/>
          <w:sz w:val="24"/>
        </w:rPr>
        <w:t>In</w:t>
      </w:r>
    </w:p>
    <w:p>
      <w:pPr>
        <w:spacing w:after="360" w:before="0"/>
        <w:jc w:val="center"/>
      </w:pPr>
      <w:r>
        <w:rPr>
          <w:rFonts w:ascii="Times New Roman" w:hAnsi="Times New Roman" w:cs="Times New Roman"/>
          <w:b w:val="0"/>
          <w:i w:val="0"/>
          <w:sz w:val="24"/>
        </w:rPr>
        <w:t>Computer Application</w:t>
      </w:r>
    </w:p>
    <w:p>
      <w:pPr>
        <w:spacing w:after="80" w:before="0"/>
        <w:jc w:val="center"/>
      </w:pPr>
      <w:r>
        <w:rPr>
          <w:rFonts w:ascii="Times New Roman" w:hAnsi="Times New Roman" w:cs="Times New Roman"/>
          <w:b/>
          <w:i w:val="0"/>
          <w:sz w:val="24"/>
        </w:rPr>
        <w:t>Submitted By:</w:t>
      </w:r>
    </w:p>
    <w:p>
      <w:pPr>
        <w:spacing w:after="40" w:before="0"/>
        <w:jc w:val="center"/>
      </w:pPr>
      <w:r>
        <w:rPr>
          <w:rFonts w:ascii="Times New Roman" w:hAnsi="Times New Roman" w:cs="Times New Roman"/>
          <w:b/>
          <w:i w:val="0"/>
          <w:sz w:val="26"/>
        </w:rPr>
        <w:t>Km Sandhya Kumari</w:t>
      </w:r>
    </w:p>
    <w:p>
      <w:pPr>
        <w:spacing w:after="40" w:before="0"/>
        <w:jc w:val="center"/>
      </w:pPr>
      <w:r>
        <w:rPr>
          <w:rFonts w:ascii="Times New Roman" w:hAnsi="Times New Roman" w:cs="Times New Roman"/>
          <w:b w:val="0"/>
          <w:i w:val="0"/>
          <w:sz w:val="24"/>
        </w:rPr>
        <w:t>Roll No: 2401650140030</w:t>
      </w:r>
    </w:p>
    <w:p>
      <w:pPr>
        <w:spacing w:after="280" w:before="0"/>
        <w:jc w:val="center"/>
      </w:pPr>
      <w:r>
        <w:rPr>
          <w:rFonts w:ascii="Times New Roman" w:hAnsi="Times New Roman" w:cs="Times New Roman"/>
          <w:b w:val="0"/>
          <w:i w:val="0"/>
          <w:sz w:val="24"/>
        </w:rPr>
        <w:t>Batch: MCA, 2025-26</w:t>
      </w:r>
    </w:p>
    <w:p>
      <w:pPr>
        <w:spacing w:after="80" w:before="0"/>
        <w:jc w:val="center"/>
      </w:pPr>
      <w:r>
        <w:rPr>
          <w:rFonts w:ascii="Times New Roman" w:hAnsi="Times New Roman" w:cs="Times New Roman"/>
          <w:b w:val="0"/>
          <w:i w:val="0"/>
          <w:sz w:val="24"/>
        </w:rPr>
        <w:t>Under the Supervision of</w:t>
      </w:r>
    </w:p>
    <w:p>
      <w:pPr>
        <w:spacing w:after="40" w:before="0"/>
        <w:jc w:val="center"/>
      </w:pPr>
      <w:r>
        <w:rPr>
          <w:rFonts w:ascii="Times New Roman" w:hAnsi="Times New Roman" w:cs="Times New Roman"/>
          <w:b/>
          <w:i w:val="0"/>
          <w:sz w:val="26"/>
        </w:rPr>
        <w:t>Mr. Subodh Kumar</w:t>
      </w:r>
    </w:p>
    <w:p>
      <w:pPr>
        <w:spacing w:after="40" w:before="0"/>
        <w:jc w:val="center"/>
      </w:pPr>
      <w:r>
        <w:rPr>
          <w:rFonts w:ascii="Times New Roman" w:hAnsi="Times New Roman" w:cs="Times New Roman"/>
          <w:b w:val="0"/>
          <w:i/>
          <w:sz w:val="24"/>
        </w:rPr>
        <w:t>(Assistant Professor)</w:t>
      </w:r>
    </w:p>
    <w:p>
      <w:pPr>
        <w:spacing w:after="280" w:before="0"/>
        <w:jc w:val="center"/>
      </w:pPr>
      <w:r>
        <w:rPr>
          <w:rFonts w:ascii="Times New Roman" w:hAnsi="Times New Roman" w:cs="Times New Roman"/>
          <w:b w:val="0"/>
          <w:i w:val="0"/>
          <w:sz w:val="24"/>
        </w:rPr>
        <w:t>Computer Application Department</w:t>
      </w:r>
    </w:p>
    <w:p>
      <w:pPr>
        <w:spacing w:after="20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kit_logo.jpg"/>
                    <pic:cNvPicPr/>
                  </pic:nvPicPr>
                  <pic:blipFill>
                    <a:blip r:embed="rId10"/>
                    <a:stretch>
                      <a:fillRect/>
                    </a:stretch>
                  </pic:blipFill>
                  <pic:spPr>
                    <a:xfrm>
                      <a:off x="0" y="0"/>
                      <a:ext cx="1463040" cy="1463040"/>
                    </a:xfrm>
                    <a:prstGeom prst="rect"/>
                  </pic:spPr>
                </pic:pic>
              </a:graphicData>
            </a:graphic>
          </wp:inline>
        </w:drawing>
      </w:r>
    </w:p>
    <w:p>
      <w:pPr>
        <w:spacing w:after="80" w:before="0"/>
        <w:jc w:val="center"/>
      </w:pPr>
      <w:r>
        <w:rPr>
          <w:rFonts w:ascii="Times New Roman" w:hAnsi="Times New Roman" w:cs="Times New Roman"/>
          <w:b/>
          <w:i w:val="0"/>
          <w:sz w:val="28"/>
        </w:rPr>
        <w:t>KANPUR INSTITUTE OF TECHNOLOGY</w:t>
      </w:r>
    </w:p>
    <w:p>
      <w:pPr>
        <w:spacing w:after="40" w:before="0"/>
        <w:jc w:val="center"/>
      </w:pPr>
      <w:r>
        <w:rPr>
          <w:rFonts w:ascii="Times New Roman" w:hAnsi="Times New Roman" w:cs="Times New Roman"/>
          <w:b w:val="0"/>
          <w:i w:val="0"/>
          <w:sz w:val="24"/>
        </w:rPr>
        <w:t>Affiliated to</w:t>
      </w:r>
    </w:p>
    <w:p>
      <w:pPr>
        <w:spacing w:after="40" w:before="0"/>
        <w:jc w:val="center"/>
      </w:pPr>
      <w:r>
        <w:rPr>
          <w:rFonts w:ascii="Times New Roman" w:hAnsi="Times New Roman" w:cs="Times New Roman"/>
          <w:b/>
          <w:i w:val="0"/>
          <w:sz w:val="24"/>
        </w:rPr>
        <w:t>Dr. A.P.J. ABDUL KALAM TECHNICAL UNIVERSITY</w:t>
      </w:r>
    </w:p>
    <w:p>
      <w:pPr>
        <w:spacing w:after="200" w:before="0"/>
        <w:jc w:val="center"/>
      </w:pPr>
      <w:r>
        <w:rPr>
          <w:rFonts w:ascii="Times New Roman" w:hAnsi="Times New Roman" w:cs="Times New Roman"/>
          <w:b/>
          <w:i w:val="0"/>
          <w:sz w:val="24"/>
        </w:rPr>
        <w:t>UTTAR PRADESH, LUCKNOW</w:t>
      </w:r>
    </w:p>
    <w:p>
      <w:r>
        <w:br w:type="page"/>
      </w:r>
    </w:p>
    <w:p>
      <w:pPr>
        <w:spacing w:after="400" w:before="0"/>
        <w:jc w:val="center"/>
      </w:pPr>
      <w:r>
        <w:rPr>
          <w:rFonts w:ascii="Times New Roman" w:hAnsi="Times New Roman" w:cs="Times New Roman"/>
          <w:b/>
          <w:i w:val="0"/>
          <w:sz w:val="32"/>
        </w:rPr>
        <w:t>DECLARATION</w:t>
      </w:r>
    </w:p>
    <w:p>
      <w:pPr>
        <w:spacing w:line="360" w:lineRule="auto" w:after="160"/>
        <w:jc w:val="both"/>
      </w:pPr>
      <w:r>
        <w:rPr>
          <w:rFonts w:ascii="Times New Roman" w:hAnsi="Times New Roman" w:cs="Times New Roman"/>
          <w:b w:val="0"/>
          <w:i w:val="0"/>
          <w:sz w:val="24"/>
        </w:rPr>
        <w:t>I, Km Sandhya Kumari, Roll No. 2401650140030, hereby declare that the Startup and Entrepreneurial Activity Report titled "Agri-Tech Marketplace for Farmers — KrishiConnect", submitted to Kanpur Institute of Technology, Kanpur, affiliated to Dr. A.P.J. Abdul Kalam Technical University, Lucknow, in partial fulfilment of the requirements for the award of the degree of Master of Computer Application, is a record of original work carried out by me under the supervision of Mr. Subodh Kumar, Assistant Professor, Department of Computer Application.</w:t>
      </w:r>
    </w:p>
    <w:p>
      <w:pPr>
        <w:spacing w:line="360" w:lineRule="auto" w:after="160"/>
        <w:jc w:val="both"/>
      </w:pPr>
      <w:r>
        <w:rPr>
          <w:rFonts w:ascii="Times New Roman" w:hAnsi="Times New Roman" w:cs="Times New Roman"/>
          <w:b w:val="0"/>
          <w:i w:val="0"/>
          <w:sz w:val="24"/>
        </w:rPr>
        <w:t>I further declare that the contents of this report have not been submitted, in part or in full, to any other institution or university for the award of any degree, diploma or similar title. All sources of information referred to in this report have been duly acknowledged in the references. The work is the result of my own efforts, and the ideas expressed are entirely my own.</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Place: Kanpur</w:t>
      </w:r>
    </w:p>
    <w:p>
      <w:pPr>
        <w:spacing w:line="360" w:lineRule="auto" w:after="160"/>
        <w:jc w:val="both"/>
      </w:pPr>
      <w:r>
        <w:rPr>
          <w:rFonts w:ascii="Times New Roman" w:hAnsi="Times New Roman" w:cs="Times New Roman"/>
          <w:b w:val="0"/>
          <w:i w:val="0"/>
          <w:sz w:val="24"/>
        </w:rPr>
        <w:t>Date: ____________________</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 xml:space="preserve"> </w:t>
      </w:r>
    </w:p>
    <w:p>
      <w:pPr>
        <w:jc w:val="right"/>
      </w:pPr>
      <w:r>
        <w:rPr>
          <w:rFonts w:ascii="Times New Roman" w:hAnsi="Times New Roman" w:cs="Times New Roman"/>
          <w:b w:val="0"/>
          <w:i w:val="0"/>
          <w:sz w:val="24"/>
        </w:rPr>
        <w:t>Km Sandhya Kumari</w:t>
        <w:br/>
        <w:t>Roll No: 2401650140030</w:t>
        <w:br/>
        <w:t>MCA, 2025-26</w:t>
      </w:r>
    </w:p>
    <w:p>
      <w:r>
        <w:br w:type="page"/>
      </w:r>
    </w:p>
    <w:p>
      <w:pPr>
        <w:spacing w:after="400" w:before="0"/>
        <w:jc w:val="center"/>
      </w:pPr>
      <w:r>
        <w:rPr>
          <w:rFonts w:ascii="Times New Roman" w:hAnsi="Times New Roman" w:cs="Times New Roman"/>
          <w:b/>
          <w:i w:val="0"/>
          <w:sz w:val="32"/>
        </w:rPr>
        <w:t>CERTIFICATE</w:t>
      </w:r>
    </w:p>
    <w:p>
      <w:pPr>
        <w:spacing w:line="360" w:lineRule="auto" w:after="160"/>
        <w:jc w:val="both"/>
      </w:pPr>
      <w:r>
        <w:rPr>
          <w:rFonts w:ascii="Times New Roman" w:hAnsi="Times New Roman" w:cs="Times New Roman"/>
          <w:b w:val="0"/>
          <w:i w:val="0"/>
          <w:sz w:val="24"/>
        </w:rPr>
        <w:t>This is to certify that the Startup and Entrepreneurial Activity Report titled "Agri-Tech Marketplace for Farmers — KrishiConnect" has been prepared and submitted by Ms. Km Sandhya Kumari, Roll No. 2401650140030, a bona fide student of the Master of Computer Application program (Batch 2025-26) at Kanpur Institute of Technology, Kanpur, affiliated to Dr. A.P.J. Abdul Kalam Technical University, Lucknow.</w:t>
      </w:r>
    </w:p>
    <w:p>
      <w:pPr>
        <w:spacing w:line="360" w:lineRule="auto" w:after="160"/>
        <w:jc w:val="both"/>
      </w:pPr>
      <w:r>
        <w:rPr>
          <w:rFonts w:ascii="Times New Roman" w:hAnsi="Times New Roman" w:cs="Times New Roman"/>
          <w:b w:val="0"/>
          <w:i w:val="0"/>
          <w:sz w:val="24"/>
        </w:rPr>
        <w:t>The work has been carried out under my supervision and is a genuine effort of the student. The report fulfils the requirements laid down by the institution for the partial fulfilment of the degree of Master of Computer Application. To the best of my knowledge, the contents of this report have not been submitted elsewhere for the award of any other degree.</w:t>
      </w:r>
    </w:p>
    <w:p>
      <w:pPr>
        <w:spacing w:line="360" w:lineRule="auto" w:after="160"/>
        <w:jc w:val="both"/>
      </w:pPr>
      <w:r>
        <w:rPr>
          <w:rFonts w:ascii="Times New Roman" w:hAnsi="Times New Roman" w:cs="Times New Roman"/>
          <w:b w:val="0"/>
          <w:i w:val="0"/>
          <w:sz w:val="24"/>
        </w:rPr>
        <w:t>I wish her success in all her future endeavours.</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 xml:space="preserve"> </w:t>
      </w:r>
    </w:p>
    <w:p>
      <w:r>
        <w:rPr>
          <w:rFonts w:ascii="Times New Roman" w:hAnsi="Times New Roman" w:cs="Times New Roman"/>
          <w:b w:val="0"/>
          <w:i w:val="0"/>
          <w:sz w:val="24"/>
        </w:rPr>
        <w:t>Mr. Subodh Kumar</w:t>
        <w:br/>
        <w:t>(Assistant Professor)</w:t>
        <w:br/>
        <w:t>Computer Application Department</w:t>
        <w:br/>
        <w:t>Kanpur Institute of Technology, Kanpur</w:t>
      </w:r>
    </w:p>
    <w:p>
      <w:r>
        <w:br w:type="page"/>
      </w:r>
    </w:p>
    <w:p>
      <w:pPr>
        <w:spacing w:after="400" w:before="0"/>
        <w:jc w:val="center"/>
      </w:pPr>
      <w:r>
        <w:rPr>
          <w:rFonts w:ascii="Times New Roman" w:hAnsi="Times New Roman" w:cs="Times New Roman"/>
          <w:b/>
          <w:i w:val="0"/>
          <w:sz w:val="32"/>
        </w:rPr>
        <w:t>ACKNOWLEDGEMENT</w:t>
      </w:r>
    </w:p>
    <w:p>
      <w:pPr>
        <w:spacing w:line="360" w:lineRule="auto" w:after="160"/>
        <w:jc w:val="both"/>
      </w:pPr>
      <w:r>
        <w:rPr>
          <w:rFonts w:ascii="Times New Roman" w:hAnsi="Times New Roman" w:cs="Times New Roman"/>
          <w:b w:val="0"/>
          <w:i w:val="0"/>
          <w:sz w:val="24"/>
        </w:rPr>
        <w:t>The completion of this Startup and Entrepreneurial Activity Report would not have been possible without the support, guidance, and encouragement of several individuals to whom I am sincerely indebted.</w:t>
      </w:r>
    </w:p>
    <w:p>
      <w:pPr>
        <w:spacing w:line="360" w:lineRule="auto" w:after="160"/>
        <w:jc w:val="both"/>
      </w:pPr>
      <w:r>
        <w:rPr>
          <w:rFonts w:ascii="Times New Roman" w:hAnsi="Times New Roman" w:cs="Times New Roman"/>
          <w:b w:val="0"/>
          <w:i w:val="0"/>
          <w:sz w:val="24"/>
        </w:rPr>
        <w:t>First and foremost, I express my deepest gratitude to my supervisor, Mr. Subodh Kumar, Assistant Professor, Department of Computer Application, Kanpur Institute of Technology, for his valuable guidance, constructive criticism, and constant motivation throughout the preparation of this report. His insights into entrepreneurship, technology adoption, and rural development have profoundly shaped the direction and depth of this work.</w:t>
      </w:r>
    </w:p>
    <w:p>
      <w:pPr>
        <w:spacing w:line="360" w:lineRule="auto" w:after="160"/>
        <w:jc w:val="both"/>
      </w:pPr>
      <w:r>
        <w:rPr>
          <w:rFonts w:ascii="Times New Roman" w:hAnsi="Times New Roman" w:cs="Times New Roman"/>
          <w:b w:val="0"/>
          <w:i w:val="0"/>
          <w:sz w:val="24"/>
        </w:rPr>
        <w:t>I would like to convey my sincere thanks to the Head of the Department and all the faculty members of the Department of Computer Application for providing me with the opportunity, infrastructure, and academic environment that enabled me to undertake this project. The intellectually stimulating culture of the department was instrumental in helping me articulate the ideas presented herein.</w:t>
      </w:r>
    </w:p>
    <w:p>
      <w:pPr>
        <w:spacing w:line="360" w:lineRule="auto" w:after="160"/>
        <w:jc w:val="both"/>
      </w:pPr>
      <w:r>
        <w:rPr>
          <w:rFonts w:ascii="Times New Roman" w:hAnsi="Times New Roman" w:cs="Times New Roman"/>
          <w:b w:val="0"/>
          <w:i w:val="0"/>
          <w:sz w:val="24"/>
        </w:rPr>
        <w:t>I am grateful to the various farmers, agricultural extension workers, FPO representatives, and Krishi Vigyan Kendra officials whose anecdotes and insights, drawn from secondary research and published interviews, have grounded this work in ground-level reality. I also acknowledge the indispensable role played by openly available data from the Ministry of Agriculture &amp; Farmers' Welfare, NABARD, ICAR, NITI Aayog, and various Agri-Tech industry reports in informing my analysis.</w:t>
      </w:r>
    </w:p>
    <w:p>
      <w:pPr>
        <w:spacing w:line="360" w:lineRule="auto" w:after="160"/>
        <w:jc w:val="both"/>
      </w:pPr>
      <w:r>
        <w:rPr>
          <w:rFonts w:ascii="Times New Roman" w:hAnsi="Times New Roman" w:cs="Times New Roman"/>
          <w:b w:val="0"/>
          <w:i w:val="0"/>
          <w:sz w:val="24"/>
        </w:rPr>
        <w:t>Finally, I would like to thank my family, friends, and classmates for their unwavering support, patience, and belief in me throughout the duration of this project. This work is as much theirs as it is mine.</w:t>
      </w:r>
    </w:p>
    <w:p>
      <w:pPr>
        <w:spacing w:line="360" w:lineRule="auto" w:after="160"/>
        <w:jc w:val="both"/>
      </w:pPr>
      <w:r>
        <w:rPr>
          <w:rFonts w:ascii="Times New Roman" w:hAnsi="Times New Roman" w:cs="Times New Roman"/>
          <w:b w:val="0"/>
          <w:i w:val="0"/>
          <w:sz w:val="24"/>
        </w:rPr>
        <w:t xml:space="preserve"> </w:t>
      </w:r>
    </w:p>
    <w:p>
      <w:pPr>
        <w:jc w:val="right"/>
      </w:pPr>
      <w:r>
        <w:rPr>
          <w:rFonts w:ascii="Times New Roman" w:hAnsi="Times New Roman" w:cs="Times New Roman"/>
          <w:b/>
          <w:i w:val="0"/>
          <w:sz w:val="24"/>
        </w:rPr>
        <w:t>Km Sandhya Kumari</w:t>
      </w:r>
    </w:p>
    <w:p>
      <w:r>
        <w:br w:type="page"/>
      </w:r>
    </w:p>
    <w:p>
      <w:pPr>
        <w:spacing w:after="360" w:before="0"/>
        <w:jc w:val="center"/>
      </w:pPr>
      <w:r>
        <w:rPr>
          <w:rFonts w:ascii="Times New Roman" w:hAnsi="Times New Roman" w:cs="Times New Roman"/>
          <w:b/>
          <w:i w:val="0"/>
          <w:sz w:val="32"/>
        </w:rPr>
        <w:t>ABSTRACT</w:t>
      </w:r>
    </w:p>
    <w:p>
      <w:pPr>
        <w:spacing w:line="360" w:lineRule="auto" w:after="160"/>
        <w:ind w:firstLine="576"/>
        <w:jc w:val="both"/>
      </w:pPr>
      <w:r>
        <w:rPr>
          <w:rFonts w:ascii="Times New Roman" w:hAnsi="Times New Roman" w:cs="Times New Roman"/>
          <w:b w:val="0"/>
          <w:i w:val="0"/>
          <w:sz w:val="24"/>
        </w:rPr>
        <w:t>Indian agriculture, despite employing nearly 45 percent of the country's workforce, continues to suffer from chronic structural inefficiencies that suppress farm-level incomes, encourage distress sales, and contribute to over 30 percent post-harvest losses. A long, opaque value chain consisting of multiple intermediaries leaves the average Indian farmer with only 25 to 30 percent of the final retail price of their produce. At the same time, rural smartphone penetration has crossed 56 percent, and supportive public-digital infrastructure such as the Open Network for Digital Commerce (ONDC), AgriStack, and the Digital Agriculture Mission has unlocked an unprecedented opportunity for technology-led transformation of agriculture.</w:t>
      </w:r>
    </w:p>
    <w:p>
      <w:pPr>
        <w:spacing w:line="360" w:lineRule="auto" w:after="160"/>
        <w:ind w:firstLine="576"/>
        <w:jc w:val="both"/>
      </w:pPr>
      <w:r>
        <w:rPr>
          <w:rFonts w:ascii="Times New Roman" w:hAnsi="Times New Roman" w:cs="Times New Roman"/>
          <w:b w:val="0"/>
          <w:i w:val="0"/>
          <w:sz w:val="24"/>
        </w:rPr>
        <w:t>This report proposes "KrishiConnect", an Agri-Tech marketplace for Indian farmers that unifies five core services in a single multilingual mobile-first platform: (1) a two-sided produce marketplace with reverse-auction price discovery; (2) an input store for seeds, fertilizers, and pesticides; (3) an Equipment-as-a-Service rental network; (4) AI-driven crop advisory featuring a "KrishiSakhi" voice assistant and a computer-vision Crop Doctor; and (5) embedded agri-finance and crop insurance. The report develops a complete business plan covering the problem statement, innovation architecture, business model canvas, three-year financial projections, market analysis, social and ethical impact, risk management, and a five-year scalability roadmap.</w:t>
      </w:r>
    </w:p>
    <w:p>
      <w:pPr>
        <w:spacing w:line="360" w:lineRule="auto" w:after="160"/>
        <w:ind w:firstLine="576"/>
        <w:jc w:val="both"/>
      </w:pPr>
      <w:r>
        <w:rPr>
          <w:rFonts w:ascii="Times New Roman" w:hAnsi="Times New Roman" w:cs="Times New Roman"/>
          <w:b w:val="0"/>
          <w:i w:val="0"/>
          <w:sz w:val="24"/>
        </w:rPr>
        <w:t>The proposed venture targets 12 lakh active farmers and a Gross Merchandise Value of ₹2,400 crore by Year 3, with a path to EBITDA break-even by month 30. Beyond commercial viability, KrishiConnect is positioned as a vehicle for inclusive rural transformation, directly contributing to multiple Sustainable Development Goals including SDG-1 (No Poverty), SDG-2 (Zero Hunger), SDG-8 (Decent Work) and SDG-12 (Responsible Consumption).</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i w:val="0"/>
          <w:sz w:val="24"/>
        </w:rPr>
        <w:t>Keywords:</w:t>
      </w:r>
    </w:p>
    <w:p>
      <w:pPr>
        <w:spacing w:line="360" w:lineRule="auto" w:after="160"/>
        <w:jc w:val="both"/>
      </w:pPr>
      <w:r>
        <w:rPr>
          <w:rFonts w:ascii="Times New Roman" w:hAnsi="Times New Roman" w:cs="Times New Roman"/>
          <w:b w:val="0"/>
          <w:i w:val="0"/>
          <w:sz w:val="24"/>
        </w:rPr>
        <w:t>Agri-Tech, Digital Marketplace, Smallholder Farmers, ONDC, Artificial Intelligence, Embedded Finance, Rural Entrepreneurship, KrishiConnect, FPO, Sustainable Agriculture.</w:t>
      </w:r>
    </w:p>
    <w:p>
      <w:r>
        <w:br w:type="page"/>
      </w:r>
    </w:p>
    <w:p>
      <w:pPr>
        <w:spacing w:after="360" w:before="0"/>
        <w:jc w:val="center"/>
      </w:pPr>
      <w:r>
        <w:rPr>
          <w:rFonts w:ascii="Times New Roman" w:hAnsi="Times New Roman" w:cs="Times New Roman"/>
          <w:b/>
          <w:i w:val="0"/>
          <w:sz w:val="32"/>
        </w:rPr>
        <w:t>TABLE OF CONTENTS</w:t>
      </w:r>
    </w:p>
    <w:tbl>
      <w:tblPr>
        <w:tblStyle w:val="LightGrid-Accent1"/>
        <w:tblW w:type="auto" w:w="0"/>
        <w:jc w:val="center"/>
        <w:tblLook w:firstColumn="1" w:firstRow="1" w:lastColumn="0" w:lastRow="0" w:noHBand="0" w:noVBand="1" w:val="04A0"/>
      </w:tblPr>
      <w:tblGrid>
        <w:gridCol w:w="3000"/>
        <w:gridCol w:w="3000"/>
        <w:gridCol w:w="3000"/>
      </w:tblGrid>
      <w:tr>
        <w:tc>
          <w:tcPr>
            <w:tcW w:type="dxa" w:w="1008"/>
          </w:tcPr>
          <w:p>
            <w:pPr>
              <w:spacing w:line="276" w:lineRule="auto" w:after="40"/>
              <w:jc w:val="left"/>
            </w:pPr>
            <w:r/>
            <w:r>
              <w:rPr>
                <w:rFonts w:ascii="Times New Roman" w:hAnsi="Times New Roman" w:cs="Times New Roman"/>
                <w:b/>
                <w:i w:val="0"/>
                <w:sz w:val="22"/>
              </w:rPr>
              <w:t>S. No.</w:t>
            </w:r>
          </w:p>
        </w:tc>
        <w:tc>
          <w:tcPr>
            <w:tcW w:type="dxa" w:w="6624"/>
          </w:tcPr>
          <w:p>
            <w:pPr>
              <w:spacing w:line="276" w:lineRule="auto" w:after="40"/>
              <w:jc w:val="left"/>
            </w:pPr>
            <w:r/>
            <w:r>
              <w:rPr>
                <w:rFonts w:ascii="Times New Roman" w:hAnsi="Times New Roman" w:cs="Times New Roman"/>
                <w:b/>
                <w:i w:val="0"/>
                <w:sz w:val="22"/>
              </w:rPr>
              <w:t>Chapter / Section</w:t>
            </w:r>
          </w:p>
        </w:tc>
        <w:tc>
          <w:tcPr>
            <w:tcW w:type="dxa" w:w="1152"/>
          </w:tcPr>
          <w:p>
            <w:pPr>
              <w:spacing w:line="276" w:lineRule="auto" w:after="40"/>
              <w:jc w:val="left"/>
            </w:pPr>
            <w:r/>
            <w:r>
              <w:rPr>
                <w:rFonts w:ascii="Times New Roman" w:hAnsi="Times New Roman" w:cs="Times New Roman"/>
                <w:b/>
                <w:i w:val="0"/>
                <w:sz w:val="22"/>
              </w:rPr>
              <w:t>Page</w:t>
            </w:r>
          </w:p>
        </w:tc>
      </w:tr>
      <w:tr>
        <w:tc>
          <w:tcPr>
            <w:tcW w:type="dxa" w:w="1008"/>
          </w:tcPr>
          <w:p>
            <w:pPr>
              <w:spacing w:line="276" w:lineRule="auto" w:after="40"/>
              <w:jc w:val="left"/>
            </w:pPr>
            <w:r/>
            <w:r>
              <w:rPr>
                <w:rFonts w:ascii="Times New Roman" w:hAnsi="Times New Roman" w:cs="Times New Roman"/>
                <w:b w:val="0"/>
                <w:i w:val="0"/>
                <w:sz w:val="22"/>
              </w:rPr>
              <w:t>1.</w:t>
            </w:r>
          </w:p>
        </w:tc>
        <w:tc>
          <w:tcPr>
            <w:tcW w:type="dxa" w:w="6624"/>
          </w:tcPr>
          <w:p>
            <w:pPr>
              <w:spacing w:line="276" w:lineRule="auto" w:after="40"/>
              <w:jc w:val="left"/>
            </w:pPr>
            <w:r/>
            <w:r>
              <w:rPr>
                <w:rFonts w:ascii="Times New Roman" w:hAnsi="Times New Roman" w:cs="Times New Roman"/>
                <w:b w:val="0"/>
                <w:i w:val="0"/>
                <w:sz w:val="22"/>
              </w:rPr>
              <w:t>Executive Summary</w:t>
            </w:r>
          </w:p>
        </w:tc>
        <w:tc>
          <w:tcPr>
            <w:tcW w:type="dxa" w:w="1152"/>
          </w:tcPr>
          <w:p>
            <w:pPr>
              <w:spacing w:line="276" w:lineRule="auto" w:after="40"/>
              <w:jc w:val="left"/>
            </w:pPr>
            <w:r/>
            <w:r>
              <w:rPr>
                <w:rFonts w:ascii="Times New Roman" w:hAnsi="Times New Roman" w:cs="Times New Roman"/>
                <w:b w:val="0"/>
                <w:i w:val="0"/>
                <w:sz w:val="22"/>
              </w:rPr>
              <w:t>1</w:t>
            </w:r>
          </w:p>
        </w:tc>
      </w:tr>
      <w:tr>
        <w:tc>
          <w:tcPr>
            <w:tcW w:type="dxa" w:w="1008"/>
          </w:tcPr>
          <w:p>
            <w:pPr>
              <w:spacing w:line="276" w:lineRule="auto" w:after="40"/>
              <w:jc w:val="left"/>
            </w:pPr>
            <w:r/>
            <w:r>
              <w:rPr>
                <w:rFonts w:ascii="Times New Roman" w:hAnsi="Times New Roman" w:cs="Times New Roman"/>
                <w:b w:val="0"/>
                <w:i w:val="0"/>
                <w:sz w:val="22"/>
              </w:rPr>
              <w:t>2.</w:t>
            </w:r>
          </w:p>
        </w:tc>
        <w:tc>
          <w:tcPr>
            <w:tcW w:type="dxa" w:w="6624"/>
          </w:tcPr>
          <w:p>
            <w:pPr>
              <w:spacing w:line="276" w:lineRule="auto" w:after="40"/>
              <w:jc w:val="left"/>
            </w:pPr>
            <w:r/>
            <w:r>
              <w:rPr>
                <w:rFonts w:ascii="Times New Roman" w:hAnsi="Times New Roman" w:cs="Times New Roman"/>
                <w:b w:val="0"/>
                <w:i w:val="0"/>
                <w:sz w:val="22"/>
              </w:rPr>
              <w:t>Introduction</w:t>
            </w:r>
          </w:p>
        </w:tc>
        <w:tc>
          <w:tcPr>
            <w:tcW w:type="dxa" w:w="1152"/>
          </w:tcPr>
          <w:p>
            <w:pPr>
              <w:spacing w:line="276" w:lineRule="auto" w:after="40"/>
              <w:jc w:val="left"/>
            </w:pPr>
            <w:r/>
            <w:r>
              <w:rPr>
                <w:rFonts w:ascii="Times New Roman" w:hAnsi="Times New Roman" w:cs="Times New Roman"/>
                <w:b w:val="0"/>
                <w:i w:val="0"/>
                <w:sz w:val="22"/>
              </w:rPr>
              <w:t>3</w:t>
            </w:r>
          </w:p>
        </w:tc>
      </w:tr>
      <w:tr>
        <w:tc>
          <w:tcPr>
            <w:tcW w:type="dxa" w:w="1008"/>
          </w:tcPr>
          <w:p>
            <w:pPr>
              <w:spacing w:line="276" w:lineRule="auto" w:after="40"/>
              <w:jc w:val="left"/>
            </w:pPr>
            <w:r/>
            <w:r>
              <w:rPr>
                <w:rFonts w:ascii="Times New Roman" w:hAnsi="Times New Roman" w:cs="Times New Roman"/>
                <w:b w:val="0"/>
                <w:i w:val="0"/>
                <w:sz w:val="22"/>
              </w:rPr>
              <w:t>3.</w:t>
            </w:r>
          </w:p>
        </w:tc>
        <w:tc>
          <w:tcPr>
            <w:tcW w:type="dxa" w:w="6624"/>
          </w:tcPr>
          <w:p>
            <w:pPr>
              <w:spacing w:line="276" w:lineRule="auto" w:after="40"/>
              <w:jc w:val="left"/>
            </w:pPr>
            <w:r/>
            <w:r>
              <w:rPr>
                <w:rFonts w:ascii="Times New Roman" w:hAnsi="Times New Roman" w:cs="Times New Roman"/>
                <w:b w:val="0"/>
                <w:i w:val="0"/>
                <w:sz w:val="22"/>
              </w:rPr>
              <w:t>Problem Statement and Relevance</w:t>
            </w:r>
          </w:p>
        </w:tc>
        <w:tc>
          <w:tcPr>
            <w:tcW w:type="dxa" w:w="1152"/>
          </w:tcPr>
          <w:p>
            <w:pPr>
              <w:spacing w:line="276" w:lineRule="auto" w:after="40"/>
              <w:jc w:val="left"/>
            </w:pPr>
            <w:r/>
            <w:r>
              <w:rPr>
                <w:rFonts w:ascii="Times New Roman" w:hAnsi="Times New Roman" w:cs="Times New Roman"/>
                <w:b w:val="0"/>
                <w:i w:val="0"/>
                <w:sz w:val="22"/>
              </w:rPr>
              <w:t>6</w:t>
            </w:r>
          </w:p>
        </w:tc>
      </w:tr>
      <w:tr>
        <w:tc>
          <w:tcPr>
            <w:tcW w:type="dxa" w:w="1008"/>
          </w:tcPr>
          <w:p>
            <w:pPr>
              <w:spacing w:line="276" w:lineRule="auto" w:after="40"/>
              <w:jc w:val="left"/>
            </w:pPr>
            <w:r/>
            <w:r>
              <w:rPr>
                <w:rFonts w:ascii="Times New Roman" w:hAnsi="Times New Roman" w:cs="Times New Roman"/>
                <w:b w:val="0"/>
                <w:i w:val="0"/>
                <w:sz w:val="22"/>
              </w:rPr>
              <w:t>4.</w:t>
            </w:r>
          </w:p>
        </w:tc>
        <w:tc>
          <w:tcPr>
            <w:tcW w:type="dxa" w:w="6624"/>
          </w:tcPr>
          <w:p>
            <w:pPr>
              <w:spacing w:line="276" w:lineRule="auto" w:after="40"/>
              <w:jc w:val="left"/>
            </w:pPr>
            <w:r/>
            <w:r>
              <w:rPr>
                <w:rFonts w:ascii="Times New Roman" w:hAnsi="Times New Roman" w:cs="Times New Roman"/>
                <w:b w:val="0"/>
                <w:i w:val="0"/>
                <w:sz w:val="22"/>
              </w:rPr>
              <w:t>Innovation and Creativity</w:t>
            </w:r>
          </w:p>
        </w:tc>
        <w:tc>
          <w:tcPr>
            <w:tcW w:type="dxa" w:w="1152"/>
          </w:tcPr>
          <w:p>
            <w:pPr>
              <w:spacing w:line="276" w:lineRule="auto" w:after="40"/>
              <w:jc w:val="left"/>
            </w:pPr>
            <w:r/>
            <w:r>
              <w:rPr>
                <w:rFonts w:ascii="Times New Roman" w:hAnsi="Times New Roman" w:cs="Times New Roman"/>
                <w:b w:val="0"/>
                <w:i w:val="0"/>
                <w:sz w:val="22"/>
              </w:rPr>
              <w:t>10</w:t>
            </w:r>
          </w:p>
        </w:tc>
      </w:tr>
      <w:tr>
        <w:tc>
          <w:tcPr>
            <w:tcW w:type="dxa" w:w="1008"/>
          </w:tcPr>
          <w:p>
            <w:pPr>
              <w:spacing w:line="276" w:lineRule="auto" w:after="40"/>
              <w:jc w:val="left"/>
            </w:pPr>
            <w:r/>
            <w:r>
              <w:rPr>
                <w:rFonts w:ascii="Times New Roman" w:hAnsi="Times New Roman" w:cs="Times New Roman"/>
                <w:b w:val="0"/>
                <w:i w:val="0"/>
                <w:sz w:val="22"/>
              </w:rPr>
              <w:t>5.</w:t>
            </w:r>
          </w:p>
        </w:tc>
        <w:tc>
          <w:tcPr>
            <w:tcW w:type="dxa" w:w="6624"/>
          </w:tcPr>
          <w:p>
            <w:pPr>
              <w:spacing w:line="276" w:lineRule="auto" w:after="40"/>
              <w:jc w:val="left"/>
            </w:pPr>
            <w:r/>
            <w:r>
              <w:rPr>
                <w:rFonts w:ascii="Times New Roman" w:hAnsi="Times New Roman" w:cs="Times New Roman"/>
                <w:b w:val="0"/>
                <w:i w:val="0"/>
                <w:sz w:val="22"/>
              </w:rPr>
              <w:t>Proposed Business Model and Feasibility</w:t>
            </w:r>
          </w:p>
        </w:tc>
        <w:tc>
          <w:tcPr>
            <w:tcW w:type="dxa" w:w="1152"/>
          </w:tcPr>
          <w:p>
            <w:pPr>
              <w:spacing w:line="276" w:lineRule="auto" w:after="40"/>
              <w:jc w:val="left"/>
            </w:pPr>
            <w:r/>
            <w:r>
              <w:rPr>
                <w:rFonts w:ascii="Times New Roman" w:hAnsi="Times New Roman" w:cs="Times New Roman"/>
                <w:b w:val="0"/>
                <w:i w:val="0"/>
                <w:sz w:val="22"/>
              </w:rPr>
              <w:t>14</w:t>
            </w:r>
          </w:p>
        </w:tc>
      </w:tr>
      <w:tr>
        <w:tc>
          <w:tcPr>
            <w:tcW w:type="dxa" w:w="1008"/>
          </w:tcPr>
          <w:p>
            <w:pPr>
              <w:spacing w:line="276" w:lineRule="auto" w:after="40"/>
              <w:jc w:val="left"/>
            </w:pPr>
            <w:r/>
            <w:r>
              <w:rPr>
                <w:rFonts w:ascii="Times New Roman" w:hAnsi="Times New Roman" w:cs="Times New Roman"/>
                <w:b w:val="0"/>
                <w:i w:val="0"/>
                <w:sz w:val="22"/>
              </w:rPr>
              <w:t>6.</w:t>
            </w:r>
          </w:p>
        </w:tc>
        <w:tc>
          <w:tcPr>
            <w:tcW w:type="dxa" w:w="6624"/>
          </w:tcPr>
          <w:p>
            <w:pPr>
              <w:spacing w:line="276" w:lineRule="auto" w:after="40"/>
              <w:jc w:val="left"/>
            </w:pPr>
            <w:r/>
            <w:r>
              <w:rPr>
                <w:rFonts w:ascii="Times New Roman" w:hAnsi="Times New Roman" w:cs="Times New Roman"/>
                <w:b w:val="0"/>
                <w:i w:val="0"/>
                <w:sz w:val="22"/>
              </w:rPr>
              <w:t>Market Analysis and Competition</w:t>
            </w:r>
          </w:p>
        </w:tc>
        <w:tc>
          <w:tcPr>
            <w:tcW w:type="dxa" w:w="1152"/>
          </w:tcPr>
          <w:p>
            <w:pPr>
              <w:spacing w:line="276" w:lineRule="auto" w:after="40"/>
              <w:jc w:val="left"/>
            </w:pPr>
            <w:r/>
            <w:r>
              <w:rPr>
                <w:rFonts w:ascii="Times New Roman" w:hAnsi="Times New Roman" w:cs="Times New Roman"/>
                <w:b w:val="0"/>
                <w:i w:val="0"/>
                <w:sz w:val="22"/>
              </w:rPr>
              <w:t>18</w:t>
            </w:r>
          </w:p>
        </w:tc>
      </w:tr>
      <w:tr>
        <w:tc>
          <w:tcPr>
            <w:tcW w:type="dxa" w:w="1008"/>
          </w:tcPr>
          <w:p>
            <w:pPr>
              <w:spacing w:line="276" w:lineRule="auto" w:after="40"/>
              <w:jc w:val="left"/>
            </w:pPr>
            <w:r/>
            <w:r>
              <w:rPr>
                <w:rFonts w:ascii="Times New Roman" w:hAnsi="Times New Roman" w:cs="Times New Roman"/>
                <w:b w:val="0"/>
                <w:i w:val="0"/>
                <w:sz w:val="22"/>
              </w:rPr>
              <w:t>7.</w:t>
            </w:r>
          </w:p>
        </w:tc>
        <w:tc>
          <w:tcPr>
            <w:tcW w:type="dxa" w:w="6624"/>
          </w:tcPr>
          <w:p>
            <w:pPr>
              <w:spacing w:line="276" w:lineRule="auto" w:after="40"/>
              <w:jc w:val="left"/>
            </w:pPr>
            <w:r/>
            <w:r>
              <w:rPr>
                <w:rFonts w:ascii="Times New Roman" w:hAnsi="Times New Roman" w:cs="Times New Roman"/>
                <w:b w:val="0"/>
                <w:i w:val="0"/>
                <w:sz w:val="22"/>
              </w:rPr>
              <w:t>Operational Plan and Marketing Strategy</w:t>
            </w:r>
          </w:p>
        </w:tc>
        <w:tc>
          <w:tcPr>
            <w:tcW w:type="dxa" w:w="1152"/>
          </w:tcPr>
          <w:p>
            <w:pPr>
              <w:spacing w:line="276" w:lineRule="auto" w:after="40"/>
              <w:jc w:val="left"/>
            </w:pPr>
            <w:r/>
            <w:r>
              <w:rPr>
                <w:rFonts w:ascii="Times New Roman" w:hAnsi="Times New Roman" w:cs="Times New Roman"/>
                <w:b w:val="0"/>
                <w:i w:val="0"/>
                <w:sz w:val="22"/>
              </w:rPr>
              <w:t>22</w:t>
            </w:r>
          </w:p>
        </w:tc>
      </w:tr>
      <w:tr>
        <w:tc>
          <w:tcPr>
            <w:tcW w:type="dxa" w:w="1008"/>
          </w:tcPr>
          <w:p>
            <w:pPr>
              <w:spacing w:line="276" w:lineRule="auto" w:after="40"/>
              <w:jc w:val="left"/>
            </w:pPr>
            <w:r/>
            <w:r>
              <w:rPr>
                <w:rFonts w:ascii="Times New Roman" w:hAnsi="Times New Roman" w:cs="Times New Roman"/>
                <w:b w:val="0"/>
                <w:i w:val="0"/>
                <w:sz w:val="22"/>
              </w:rPr>
              <w:t>8.</w:t>
            </w:r>
          </w:p>
        </w:tc>
        <w:tc>
          <w:tcPr>
            <w:tcW w:type="dxa" w:w="6624"/>
          </w:tcPr>
          <w:p>
            <w:pPr>
              <w:spacing w:line="276" w:lineRule="auto" w:after="40"/>
              <w:jc w:val="left"/>
            </w:pPr>
            <w:r/>
            <w:r>
              <w:rPr>
                <w:rFonts w:ascii="Times New Roman" w:hAnsi="Times New Roman" w:cs="Times New Roman"/>
                <w:b w:val="0"/>
                <w:i w:val="0"/>
                <w:sz w:val="22"/>
              </w:rPr>
              <w:t>Financial Planning</w:t>
            </w:r>
          </w:p>
        </w:tc>
        <w:tc>
          <w:tcPr>
            <w:tcW w:type="dxa" w:w="1152"/>
          </w:tcPr>
          <w:p>
            <w:pPr>
              <w:spacing w:line="276" w:lineRule="auto" w:after="40"/>
              <w:jc w:val="left"/>
            </w:pPr>
            <w:r/>
            <w:r>
              <w:rPr>
                <w:rFonts w:ascii="Times New Roman" w:hAnsi="Times New Roman" w:cs="Times New Roman"/>
                <w:b w:val="0"/>
                <w:i w:val="0"/>
                <w:sz w:val="22"/>
              </w:rPr>
              <w:t>25</w:t>
            </w:r>
          </w:p>
        </w:tc>
      </w:tr>
      <w:tr>
        <w:tc>
          <w:tcPr>
            <w:tcW w:type="dxa" w:w="1008"/>
          </w:tcPr>
          <w:p>
            <w:pPr>
              <w:spacing w:line="276" w:lineRule="auto" w:after="40"/>
              <w:jc w:val="left"/>
            </w:pPr>
            <w:r/>
            <w:r>
              <w:rPr>
                <w:rFonts w:ascii="Times New Roman" w:hAnsi="Times New Roman" w:cs="Times New Roman"/>
                <w:b w:val="0"/>
                <w:i w:val="0"/>
                <w:sz w:val="22"/>
              </w:rPr>
              <w:t>9.</w:t>
            </w:r>
          </w:p>
        </w:tc>
        <w:tc>
          <w:tcPr>
            <w:tcW w:type="dxa" w:w="6624"/>
          </w:tcPr>
          <w:p>
            <w:pPr>
              <w:spacing w:line="276" w:lineRule="auto" w:after="40"/>
              <w:jc w:val="left"/>
            </w:pPr>
            <w:r/>
            <w:r>
              <w:rPr>
                <w:rFonts w:ascii="Times New Roman" w:hAnsi="Times New Roman" w:cs="Times New Roman"/>
                <w:b w:val="0"/>
                <w:i w:val="0"/>
                <w:sz w:val="22"/>
              </w:rPr>
              <w:t>Social and Ethical Impact</w:t>
            </w:r>
          </w:p>
        </w:tc>
        <w:tc>
          <w:tcPr>
            <w:tcW w:type="dxa" w:w="1152"/>
          </w:tcPr>
          <w:p>
            <w:pPr>
              <w:spacing w:line="276" w:lineRule="auto" w:after="40"/>
              <w:jc w:val="left"/>
            </w:pPr>
            <w:r/>
            <w:r>
              <w:rPr>
                <w:rFonts w:ascii="Times New Roman" w:hAnsi="Times New Roman" w:cs="Times New Roman"/>
                <w:b w:val="0"/>
                <w:i w:val="0"/>
                <w:sz w:val="22"/>
              </w:rPr>
              <w:t>28</w:t>
            </w:r>
          </w:p>
        </w:tc>
      </w:tr>
      <w:tr>
        <w:tc>
          <w:tcPr>
            <w:tcW w:type="dxa" w:w="1008"/>
          </w:tcPr>
          <w:p>
            <w:pPr>
              <w:spacing w:line="276" w:lineRule="auto" w:after="40"/>
              <w:jc w:val="left"/>
            </w:pPr>
            <w:r/>
            <w:r>
              <w:rPr>
                <w:rFonts w:ascii="Times New Roman" w:hAnsi="Times New Roman" w:cs="Times New Roman"/>
                <w:b w:val="0"/>
                <w:i w:val="0"/>
                <w:sz w:val="22"/>
              </w:rPr>
              <w:t>10.</w:t>
            </w:r>
          </w:p>
        </w:tc>
        <w:tc>
          <w:tcPr>
            <w:tcW w:type="dxa" w:w="6624"/>
          </w:tcPr>
          <w:p>
            <w:pPr>
              <w:spacing w:line="276" w:lineRule="auto" w:after="40"/>
              <w:jc w:val="left"/>
            </w:pPr>
            <w:r/>
            <w:r>
              <w:rPr>
                <w:rFonts w:ascii="Times New Roman" w:hAnsi="Times New Roman" w:cs="Times New Roman"/>
                <w:b w:val="0"/>
                <w:i w:val="0"/>
                <w:sz w:val="22"/>
              </w:rPr>
              <w:t>Risk Management</w:t>
            </w:r>
          </w:p>
        </w:tc>
        <w:tc>
          <w:tcPr>
            <w:tcW w:type="dxa" w:w="1152"/>
          </w:tcPr>
          <w:p>
            <w:pPr>
              <w:spacing w:line="276" w:lineRule="auto" w:after="40"/>
              <w:jc w:val="left"/>
            </w:pPr>
            <w:r/>
            <w:r>
              <w:rPr>
                <w:rFonts w:ascii="Times New Roman" w:hAnsi="Times New Roman" w:cs="Times New Roman"/>
                <w:b w:val="0"/>
                <w:i w:val="0"/>
                <w:sz w:val="22"/>
              </w:rPr>
              <w:t>30</w:t>
            </w:r>
          </w:p>
        </w:tc>
      </w:tr>
      <w:tr>
        <w:tc>
          <w:tcPr>
            <w:tcW w:type="dxa" w:w="1008"/>
          </w:tcPr>
          <w:p>
            <w:pPr>
              <w:spacing w:line="276" w:lineRule="auto" w:after="40"/>
              <w:jc w:val="left"/>
            </w:pPr>
            <w:r/>
            <w:r>
              <w:rPr>
                <w:rFonts w:ascii="Times New Roman" w:hAnsi="Times New Roman" w:cs="Times New Roman"/>
                <w:b w:val="0"/>
                <w:i w:val="0"/>
                <w:sz w:val="22"/>
              </w:rPr>
              <w:t>11.</w:t>
            </w:r>
          </w:p>
        </w:tc>
        <w:tc>
          <w:tcPr>
            <w:tcW w:type="dxa" w:w="6624"/>
          </w:tcPr>
          <w:p>
            <w:pPr>
              <w:spacing w:line="276" w:lineRule="auto" w:after="40"/>
              <w:jc w:val="left"/>
            </w:pPr>
            <w:r/>
            <w:r>
              <w:rPr>
                <w:rFonts w:ascii="Times New Roman" w:hAnsi="Times New Roman" w:cs="Times New Roman"/>
                <w:b w:val="0"/>
                <w:i w:val="0"/>
                <w:sz w:val="22"/>
              </w:rPr>
              <w:t>Conclusion and Future Scope</w:t>
            </w:r>
          </w:p>
        </w:tc>
        <w:tc>
          <w:tcPr>
            <w:tcW w:type="dxa" w:w="1152"/>
          </w:tcPr>
          <w:p>
            <w:pPr>
              <w:spacing w:line="276" w:lineRule="auto" w:after="40"/>
              <w:jc w:val="left"/>
            </w:pPr>
            <w:r/>
            <w:r>
              <w:rPr>
                <w:rFonts w:ascii="Times New Roman" w:hAnsi="Times New Roman" w:cs="Times New Roman"/>
                <w:b w:val="0"/>
                <w:i w:val="0"/>
                <w:sz w:val="22"/>
              </w:rPr>
              <w:t>32</w:t>
            </w:r>
          </w:p>
        </w:tc>
      </w:tr>
      <w:tr>
        <w:tc>
          <w:tcPr>
            <w:tcW w:type="dxa" w:w="1008"/>
          </w:tcPr>
          <w:p>
            <w:pPr>
              <w:spacing w:line="276" w:lineRule="auto" w:after="40"/>
              <w:jc w:val="left"/>
            </w:pPr>
            <w:r/>
            <w:r>
              <w:rPr>
                <w:rFonts w:ascii="Times New Roman" w:hAnsi="Times New Roman" w:cs="Times New Roman"/>
                <w:b w:val="0"/>
                <w:i w:val="0"/>
                <w:sz w:val="22"/>
              </w:rPr>
              <w:t>12.</w:t>
            </w:r>
          </w:p>
        </w:tc>
        <w:tc>
          <w:tcPr>
            <w:tcW w:type="dxa" w:w="6624"/>
          </w:tcPr>
          <w:p>
            <w:pPr>
              <w:spacing w:line="276" w:lineRule="auto" w:after="40"/>
              <w:jc w:val="left"/>
            </w:pPr>
            <w:r/>
            <w:r>
              <w:rPr>
                <w:rFonts w:ascii="Times New Roman" w:hAnsi="Times New Roman" w:cs="Times New Roman"/>
                <w:b w:val="0"/>
                <w:i w:val="0"/>
                <w:sz w:val="22"/>
              </w:rPr>
              <w:t>References</w:t>
            </w:r>
          </w:p>
        </w:tc>
        <w:tc>
          <w:tcPr>
            <w:tcW w:type="dxa" w:w="1152"/>
          </w:tcPr>
          <w:p>
            <w:pPr>
              <w:spacing w:line="276" w:lineRule="auto" w:after="40"/>
              <w:jc w:val="left"/>
            </w:pPr>
            <w:r/>
            <w:r>
              <w:rPr>
                <w:rFonts w:ascii="Times New Roman" w:hAnsi="Times New Roman" w:cs="Times New Roman"/>
                <w:b w:val="0"/>
                <w:i w:val="0"/>
                <w:sz w:val="22"/>
              </w:rPr>
              <w:t>34</w:t>
            </w:r>
          </w:p>
        </w:tc>
      </w:tr>
      <w:tr>
        <w:tc>
          <w:tcPr>
            <w:tcW w:type="dxa" w:w="1008"/>
          </w:tcPr>
          <w:p>
            <w:pPr>
              <w:spacing w:line="276" w:lineRule="auto" w:after="40"/>
              <w:jc w:val="left"/>
            </w:pPr>
            <w:r/>
            <w:r>
              <w:rPr>
                <w:rFonts w:ascii="Times New Roman" w:hAnsi="Times New Roman" w:cs="Times New Roman"/>
                <w:b w:val="0"/>
                <w:i w:val="0"/>
                <w:sz w:val="22"/>
              </w:rPr>
              <w:t>13.</w:t>
            </w:r>
          </w:p>
        </w:tc>
        <w:tc>
          <w:tcPr>
            <w:tcW w:type="dxa" w:w="6624"/>
          </w:tcPr>
          <w:p>
            <w:pPr>
              <w:spacing w:line="276" w:lineRule="auto" w:after="40"/>
              <w:jc w:val="left"/>
            </w:pPr>
            <w:r/>
            <w:r>
              <w:rPr>
                <w:rFonts w:ascii="Times New Roman" w:hAnsi="Times New Roman" w:cs="Times New Roman"/>
                <w:b w:val="0"/>
                <w:i w:val="0"/>
                <w:sz w:val="22"/>
              </w:rPr>
              <w:t>Appendices</w:t>
            </w:r>
          </w:p>
        </w:tc>
        <w:tc>
          <w:tcPr>
            <w:tcW w:type="dxa" w:w="1152"/>
          </w:tcPr>
          <w:p>
            <w:pPr>
              <w:spacing w:line="276" w:lineRule="auto" w:after="40"/>
              <w:jc w:val="left"/>
            </w:pPr>
            <w:r/>
            <w:r>
              <w:rPr>
                <w:rFonts w:ascii="Times New Roman" w:hAnsi="Times New Roman" w:cs="Times New Roman"/>
                <w:b w:val="0"/>
                <w:i w:val="0"/>
                <w:sz w:val="22"/>
              </w:rPr>
              <w:t>35</w:t>
            </w:r>
          </w:p>
        </w:tc>
      </w:tr>
    </w:tbl>
    <w:p>
      <w:r>
        <w:br w:type="page"/>
      </w:r>
    </w:p>
    <w:p>
      <w:pPr>
        <w:spacing w:after="280" w:before="0"/>
        <w:jc w:val="center"/>
      </w:pPr>
      <w:r>
        <w:rPr>
          <w:rFonts w:ascii="Times New Roman" w:hAnsi="Times New Roman" w:cs="Times New Roman"/>
          <w:b/>
          <w:i w:val="0"/>
          <w:sz w:val="28"/>
        </w:rPr>
        <w:t>LIST OF TABLES</w:t>
      </w:r>
    </w:p>
    <w:tbl>
      <w:tblPr>
        <w:tblStyle w:val="LightGrid-Accent1"/>
        <w:tblW w:type="auto" w:w="0"/>
        <w:jc w:val="center"/>
        <w:tblLook w:firstColumn="1" w:firstRow="1" w:lastColumn="0" w:lastRow="0" w:noHBand="0" w:noVBand="1" w:val="04A0"/>
      </w:tblPr>
      <w:tblGrid>
        <w:gridCol w:w="3000"/>
        <w:gridCol w:w="3000"/>
        <w:gridCol w:w="3000"/>
      </w:tblGrid>
      <w:tr>
        <w:tc>
          <w:tcPr>
            <w:tcW w:type="dxa" w:w="1440"/>
          </w:tcPr>
          <w:p>
            <w:pPr>
              <w:spacing w:line="276" w:lineRule="auto" w:after="40"/>
              <w:jc w:val="left"/>
            </w:pPr>
            <w:r/>
            <w:r>
              <w:rPr>
                <w:rFonts w:ascii="Times New Roman" w:hAnsi="Times New Roman" w:cs="Times New Roman"/>
                <w:b/>
                <w:i w:val="0"/>
                <w:sz w:val="22"/>
              </w:rPr>
              <w:t>Table No.</w:t>
            </w:r>
          </w:p>
        </w:tc>
        <w:tc>
          <w:tcPr>
            <w:tcW w:type="dxa" w:w="6624"/>
          </w:tcPr>
          <w:p>
            <w:pPr>
              <w:spacing w:line="276" w:lineRule="auto" w:after="40"/>
              <w:jc w:val="left"/>
            </w:pPr>
            <w:r/>
            <w:r>
              <w:rPr>
                <w:rFonts w:ascii="Times New Roman" w:hAnsi="Times New Roman" w:cs="Times New Roman"/>
                <w:b/>
                <w:i w:val="0"/>
                <w:sz w:val="22"/>
              </w:rPr>
              <w:t>Title</w:t>
            </w:r>
          </w:p>
        </w:tc>
        <w:tc>
          <w:tcPr>
            <w:tcW w:type="dxa" w:w="1152"/>
          </w:tcPr>
          <w:p>
            <w:pPr>
              <w:spacing w:line="276" w:lineRule="auto" w:after="40"/>
              <w:jc w:val="left"/>
            </w:pPr>
            <w:r/>
            <w:r>
              <w:rPr>
                <w:rFonts w:ascii="Times New Roman" w:hAnsi="Times New Roman" w:cs="Times New Roman"/>
                <w:b/>
                <w:i w:val="0"/>
                <w:sz w:val="22"/>
              </w:rPr>
              <w:t>Page</w:t>
            </w:r>
          </w:p>
        </w:tc>
      </w:tr>
      <w:tr>
        <w:tc>
          <w:tcPr>
            <w:tcW w:type="dxa" w:w="1440"/>
          </w:tcPr>
          <w:p>
            <w:pPr>
              <w:spacing w:line="276" w:lineRule="auto" w:after="40"/>
              <w:jc w:val="left"/>
            </w:pPr>
            <w:r/>
            <w:r>
              <w:rPr>
                <w:rFonts w:ascii="Times New Roman" w:hAnsi="Times New Roman" w:cs="Times New Roman"/>
                <w:b w:val="0"/>
                <w:i w:val="0"/>
                <w:sz w:val="22"/>
              </w:rPr>
              <w:t>5.1</w:t>
            </w:r>
          </w:p>
        </w:tc>
        <w:tc>
          <w:tcPr>
            <w:tcW w:type="dxa" w:w="6624"/>
          </w:tcPr>
          <w:p>
            <w:pPr>
              <w:spacing w:line="276" w:lineRule="auto" w:after="40"/>
              <w:jc w:val="left"/>
            </w:pPr>
            <w:r/>
            <w:r>
              <w:rPr>
                <w:rFonts w:ascii="Times New Roman" w:hAnsi="Times New Roman" w:cs="Times New Roman"/>
                <w:b w:val="0"/>
                <w:i w:val="0"/>
                <w:sz w:val="22"/>
              </w:rPr>
              <w:t>Revenue Streams of KrishiConnect</w:t>
            </w:r>
          </w:p>
        </w:tc>
        <w:tc>
          <w:tcPr>
            <w:tcW w:type="dxa" w:w="1152"/>
          </w:tcPr>
          <w:p>
            <w:pPr>
              <w:spacing w:line="276" w:lineRule="auto" w:after="40"/>
              <w:jc w:val="left"/>
            </w:pPr>
            <w:r/>
            <w:r>
              <w:rPr>
                <w:rFonts w:ascii="Times New Roman" w:hAnsi="Times New Roman" w:cs="Times New Roman"/>
                <w:b w:val="0"/>
                <w:i w:val="0"/>
                <w:sz w:val="22"/>
              </w:rPr>
              <w:t>15</w:t>
            </w:r>
          </w:p>
        </w:tc>
      </w:tr>
      <w:tr>
        <w:tc>
          <w:tcPr>
            <w:tcW w:type="dxa" w:w="1440"/>
          </w:tcPr>
          <w:p>
            <w:pPr>
              <w:spacing w:line="276" w:lineRule="auto" w:after="40"/>
              <w:jc w:val="left"/>
            </w:pPr>
            <w:r/>
            <w:r>
              <w:rPr>
                <w:rFonts w:ascii="Times New Roman" w:hAnsi="Times New Roman" w:cs="Times New Roman"/>
                <w:b w:val="0"/>
                <w:i w:val="0"/>
                <w:sz w:val="22"/>
              </w:rPr>
              <w:t>5.2</w:t>
            </w:r>
          </w:p>
        </w:tc>
        <w:tc>
          <w:tcPr>
            <w:tcW w:type="dxa" w:w="6624"/>
          </w:tcPr>
          <w:p>
            <w:pPr>
              <w:spacing w:line="276" w:lineRule="auto" w:after="40"/>
              <w:jc w:val="left"/>
            </w:pPr>
            <w:r/>
            <w:r>
              <w:rPr>
                <w:rFonts w:ascii="Times New Roman" w:hAnsi="Times New Roman" w:cs="Times New Roman"/>
                <w:b w:val="0"/>
                <w:i w:val="0"/>
                <w:sz w:val="22"/>
              </w:rPr>
              <w:t>Business Model Canvas — 9 Blocks</w:t>
            </w:r>
          </w:p>
        </w:tc>
        <w:tc>
          <w:tcPr>
            <w:tcW w:type="dxa" w:w="1152"/>
          </w:tcPr>
          <w:p>
            <w:pPr>
              <w:spacing w:line="276" w:lineRule="auto" w:after="40"/>
              <w:jc w:val="left"/>
            </w:pPr>
            <w:r/>
            <w:r>
              <w:rPr>
                <w:rFonts w:ascii="Times New Roman" w:hAnsi="Times New Roman" w:cs="Times New Roman"/>
                <w:b w:val="0"/>
                <w:i w:val="0"/>
                <w:sz w:val="22"/>
              </w:rPr>
              <w:t>17</w:t>
            </w:r>
          </w:p>
        </w:tc>
      </w:tr>
      <w:tr>
        <w:tc>
          <w:tcPr>
            <w:tcW w:type="dxa" w:w="1440"/>
          </w:tcPr>
          <w:p>
            <w:pPr>
              <w:spacing w:line="276" w:lineRule="auto" w:after="40"/>
              <w:jc w:val="left"/>
            </w:pPr>
            <w:r/>
            <w:r>
              <w:rPr>
                <w:rFonts w:ascii="Times New Roman" w:hAnsi="Times New Roman" w:cs="Times New Roman"/>
                <w:b w:val="0"/>
                <w:i w:val="0"/>
                <w:sz w:val="22"/>
              </w:rPr>
              <w:t>6.1</w:t>
            </w:r>
          </w:p>
        </w:tc>
        <w:tc>
          <w:tcPr>
            <w:tcW w:type="dxa" w:w="6624"/>
          </w:tcPr>
          <w:p>
            <w:pPr>
              <w:spacing w:line="276" w:lineRule="auto" w:after="40"/>
              <w:jc w:val="left"/>
            </w:pPr>
            <w:r/>
            <w:r>
              <w:rPr>
                <w:rFonts w:ascii="Times New Roman" w:hAnsi="Times New Roman" w:cs="Times New Roman"/>
                <w:b w:val="0"/>
                <w:i w:val="0"/>
                <w:sz w:val="22"/>
              </w:rPr>
              <w:t>Competitor Comparative Analysis</w:t>
            </w:r>
          </w:p>
        </w:tc>
        <w:tc>
          <w:tcPr>
            <w:tcW w:type="dxa" w:w="1152"/>
          </w:tcPr>
          <w:p>
            <w:pPr>
              <w:spacing w:line="276" w:lineRule="auto" w:after="40"/>
              <w:jc w:val="left"/>
            </w:pPr>
            <w:r/>
            <w:r>
              <w:rPr>
                <w:rFonts w:ascii="Times New Roman" w:hAnsi="Times New Roman" w:cs="Times New Roman"/>
                <w:b w:val="0"/>
                <w:i w:val="0"/>
                <w:sz w:val="22"/>
              </w:rPr>
              <w:t>19</w:t>
            </w:r>
          </w:p>
        </w:tc>
      </w:tr>
      <w:tr>
        <w:tc>
          <w:tcPr>
            <w:tcW w:type="dxa" w:w="1440"/>
          </w:tcPr>
          <w:p>
            <w:pPr>
              <w:spacing w:line="276" w:lineRule="auto" w:after="40"/>
              <w:jc w:val="left"/>
            </w:pPr>
            <w:r/>
            <w:r>
              <w:rPr>
                <w:rFonts w:ascii="Times New Roman" w:hAnsi="Times New Roman" w:cs="Times New Roman"/>
                <w:b w:val="0"/>
                <w:i w:val="0"/>
                <w:sz w:val="22"/>
              </w:rPr>
              <w:t>6.2</w:t>
            </w:r>
          </w:p>
        </w:tc>
        <w:tc>
          <w:tcPr>
            <w:tcW w:type="dxa" w:w="6624"/>
          </w:tcPr>
          <w:p>
            <w:pPr>
              <w:spacing w:line="276" w:lineRule="auto" w:after="40"/>
              <w:jc w:val="left"/>
            </w:pPr>
            <w:r/>
            <w:r>
              <w:rPr>
                <w:rFonts w:ascii="Times New Roman" w:hAnsi="Times New Roman" w:cs="Times New Roman"/>
                <w:b w:val="0"/>
                <w:i w:val="0"/>
                <w:sz w:val="22"/>
              </w:rPr>
              <w:t>SWOT Analysis Matrix</w:t>
            </w:r>
          </w:p>
        </w:tc>
        <w:tc>
          <w:tcPr>
            <w:tcW w:type="dxa" w:w="1152"/>
          </w:tcPr>
          <w:p>
            <w:pPr>
              <w:spacing w:line="276" w:lineRule="auto" w:after="40"/>
              <w:jc w:val="left"/>
            </w:pPr>
            <w:r/>
            <w:r>
              <w:rPr>
                <w:rFonts w:ascii="Times New Roman" w:hAnsi="Times New Roman" w:cs="Times New Roman"/>
                <w:b w:val="0"/>
                <w:i w:val="0"/>
                <w:sz w:val="22"/>
              </w:rPr>
              <w:t>20</w:t>
            </w:r>
          </w:p>
        </w:tc>
      </w:tr>
      <w:tr>
        <w:tc>
          <w:tcPr>
            <w:tcW w:type="dxa" w:w="1440"/>
          </w:tcPr>
          <w:p>
            <w:pPr>
              <w:spacing w:line="276" w:lineRule="auto" w:after="40"/>
              <w:jc w:val="left"/>
            </w:pPr>
            <w:r/>
            <w:r>
              <w:rPr>
                <w:rFonts w:ascii="Times New Roman" w:hAnsi="Times New Roman" w:cs="Times New Roman"/>
                <w:b w:val="0"/>
                <w:i w:val="0"/>
                <w:sz w:val="22"/>
              </w:rPr>
              <w:t>6.3</w:t>
            </w:r>
          </w:p>
        </w:tc>
        <w:tc>
          <w:tcPr>
            <w:tcW w:type="dxa" w:w="6624"/>
          </w:tcPr>
          <w:p>
            <w:pPr>
              <w:spacing w:line="276" w:lineRule="auto" w:after="40"/>
              <w:jc w:val="left"/>
            </w:pPr>
            <w:r/>
            <w:r>
              <w:rPr>
                <w:rFonts w:ascii="Times New Roman" w:hAnsi="Times New Roman" w:cs="Times New Roman"/>
                <w:b w:val="0"/>
                <w:i w:val="0"/>
                <w:sz w:val="22"/>
              </w:rPr>
              <w:t>PESTEL Analysis of the Indian Agri-Tech Landscape</w:t>
            </w:r>
          </w:p>
        </w:tc>
        <w:tc>
          <w:tcPr>
            <w:tcW w:type="dxa" w:w="1152"/>
          </w:tcPr>
          <w:p>
            <w:pPr>
              <w:spacing w:line="276" w:lineRule="auto" w:after="40"/>
              <w:jc w:val="left"/>
            </w:pPr>
            <w:r/>
            <w:r>
              <w:rPr>
                <w:rFonts w:ascii="Times New Roman" w:hAnsi="Times New Roman" w:cs="Times New Roman"/>
                <w:b w:val="0"/>
                <w:i w:val="0"/>
                <w:sz w:val="22"/>
              </w:rPr>
              <w:t>21</w:t>
            </w:r>
          </w:p>
        </w:tc>
      </w:tr>
      <w:tr>
        <w:tc>
          <w:tcPr>
            <w:tcW w:type="dxa" w:w="1440"/>
          </w:tcPr>
          <w:p>
            <w:pPr>
              <w:spacing w:line="276" w:lineRule="auto" w:after="40"/>
              <w:jc w:val="left"/>
            </w:pPr>
            <w:r/>
            <w:r>
              <w:rPr>
                <w:rFonts w:ascii="Times New Roman" w:hAnsi="Times New Roman" w:cs="Times New Roman"/>
                <w:b w:val="0"/>
                <w:i w:val="0"/>
                <w:sz w:val="22"/>
              </w:rPr>
              <w:t>7.1</w:t>
            </w:r>
          </w:p>
        </w:tc>
        <w:tc>
          <w:tcPr>
            <w:tcW w:type="dxa" w:w="6624"/>
          </w:tcPr>
          <w:p>
            <w:pPr>
              <w:spacing w:line="276" w:lineRule="auto" w:after="40"/>
              <w:jc w:val="left"/>
            </w:pPr>
            <w:r/>
            <w:r>
              <w:rPr>
                <w:rFonts w:ascii="Times New Roman" w:hAnsi="Times New Roman" w:cs="Times New Roman"/>
                <w:b w:val="0"/>
                <w:i w:val="0"/>
                <w:sz w:val="22"/>
              </w:rPr>
              <w:t>Implementation Roadmap (Phased)</w:t>
            </w:r>
          </w:p>
        </w:tc>
        <w:tc>
          <w:tcPr>
            <w:tcW w:type="dxa" w:w="1152"/>
          </w:tcPr>
          <w:p>
            <w:pPr>
              <w:spacing w:line="276" w:lineRule="auto" w:after="40"/>
              <w:jc w:val="left"/>
            </w:pPr>
            <w:r/>
            <w:r>
              <w:rPr>
                <w:rFonts w:ascii="Times New Roman" w:hAnsi="Times New Roman" w:cs="Times New Roman"/>
                <w:b w:val="0"/>
                <w:i w:val="0"/>
                <w:sz w:val="22"/>
              </w:rPr>
              <w:t>23</w:t>
            </w:r>
          </w:p>
        </w:tc>
      </w:tr>
      <w:tr>
        <w:tc>
          <w:tcPr>
            <w:tcW w:type="dxa" w:w="1440"/>
          </w:tcPr>
          <w:p>
            <w:pPr>
              <w:spacing w:line="276" w:lineRule="auto" w:after="40"/>
              <w:jc w:val="left"/>
            </w:pPr>
            <w:r/>
            <w:r>
              <w:rPr>
                <w:rFonts w:ascii="Times New Roman" w:hAnsi="Times New Roman" w:cs="Times New Roman"/>
                <w:b w:val="0"/>
                <w:i w:val="0"/>
                <w:sz w:val="22"/>
              </w:rPr>
              <w:t>8.1</w:t>
            </w:r>
          </w:p>
        </w:tc>
        <w:tc>
          <w:tcPr>
            <w:tcW w:type="dxa" w:w="6624"/>
          </w:tcPr>
          <w:p>
            <w:pPr>
              <w:spacing w:line="276" w:lineRule="auto" w:after="40"/>
              <w:jc w:val="left"/>
            </w:pPr>
            <w:r/>
            <w:r>
              <w:rPr>
                <w:rFonts w:ascii="Times New Roman" w:hAnsi="Times New Roman" w:cs="Times New Roman"/>
                <w:b w:val="0"/>
                <w:i w:val="0"/>
                <w:sz w:val="22"/>
              </w:rPr>
              <w:t>Initial Startup Cost (Year-0 Budget)</w:t>
            </w:r>
          </w:p>
        </w:tc>
        <w:tc>
          <w:tcPr>
            <w:tcW w:type="dxa" w:w="1152"/>
          </w:tcPr>
          <w:p>
            <w:pPr>
              <w:spacing w:line="276" w:lineRule="auto" w:after="40"/>
              <w:jc w:val="left"/>
            </w:pPr>
            <w:r/>
            <w:r>
              <w:rPr>
                <w:rFonts w:ascii="Times New Roman" w:hAnsi="Times New Roman" w:cs="Times New Roman"/>
                <w:b w:val="0"/>
                <w:i w:val="0"/>
                <w:sz w:val="22"/>
              </w:rPr>
              <w:t>25</w:t>
            </w:r>
          </w:p>
        </w:tc>
      </w:tr>
      <w:tr>
        <w:tc>
          <w:tcPr>
            <w:tcW w:type="dxa" w:w="1440"/>
          </w:tcPr>
          <w:p>
            <w:pPr>
              <w:spacing w:line="276" w:lineRule="auto" w:after="40"/>
              <w:jc w:val="left"/>
            </w:pPr>
            <w:r/>
            <w:r>
              <w:rPr>
                <w:rFonts w:ascii="Times New Roman" w:hAnsi="Times New Roman" w:cs="Times New Roman"/>
                <w:b w:val="0"/>
                <w:i w:val="0"/>
                <w:sz w:val="22"/>
              </w:rPr>
              <w:t>8.2</w:t>
            </w:r>
          </w:p>
        </w:tc>
        <w:tc>
          <w:tcPr>
            <w:tcW w:type="dxa" w:w="6624"/>
          </w:tcPr>
          <w:p>
            <w:pPr>
              <w:spacing w:line="276" w:lineRule="auto" w:after="40"/>
              <w:jc w:val="left"/>
            </w:pPr>
            <w:r/>
            <w:r>
              <w:rPr>
                <w:rFonts w:ascii="Times New Roman" w:hAnsi="Times New Roman" w:cs="Times New Roman"/>
                <w:b w:val="0"/>
                <w:i w:val="0"/>
                <w:sz w:val="22"/>
              </w:rPr>
              <w:t>Three-Year Revenue and Profitability Projection</w:t>
            </w:r>
          </w:p>
        </w:tc>
        <w:tc>
          <w:tcPr>
            <w:tcW w:type="dxa" w:w="1152"/>
          </w:tcPr>
          <w:p>
            <w:pPr>
              <w:spacing w:line="276" w:lineRule="auto" w:after="40"/>
              <w:jc w:val="left"/>
            </w:pPr>
            <w:r/>
            <w:r>
              <w:rPr>
                <w:rFonts w:ascii="Times New Roman" w:hAnsi="Times New Roman" w:cs="Times New Roman"/>
                <w:b w:val="0"/>
                <w:i w:val="0"/>
                <w:sz w:val="22"/>
              </w:rPr>
              <w:t>26</w:t>
            </w:r>
          </w:p>
        </w:tc>
      </w:tr>
      <w:tr>
        <w:tc>
          <w:tcPr>
            <w:tcW w:type="dxa" w:w="1440"/>
          </w:tcPr>
          <w:p>
            <w:pPr>
              <w:spacing w:line="276" w:lineRule="auto" w:after="40"/>
              <w:jc w:val="left"/>
            </w:pPr>
            <w:r/>
            <w:r>
              <w:rPr>
                <w:rFonts w:ascii="Times New Roman" w:hAnsi="Times New Roman" w:cs="Times New Roman"/>
                <w:b w:val="0"/>
                <w:i w:val="0"/>
                <w:sz w:val="22"/>
              </w:rPr>
              <w:t>8.3</w:t>
            </w:r>
          </w:p>
        </w:tc>
        <w:tc>
          <w:tcPr>
            <w:tcW w:type="dxa" w:w="6624"/>
          </w:tcPr>
          <w:p>
            <w:pPr>
              <w:spacing w:line="276" w:lineRule="auto" w:after="40"/>
              <w:jc w:val="left"/>
            </w:pPr>
            <w:r/>
            <w:r>
              <w:rPr>
                <w:rFonts w:ascii="Times New Roman" w:hAnsi="Times New Roman" w:cs="Times New Roman"/>
                <w:b w:val="0"/>
                <w:i w:val="0"/>
                <w:sz w:val="22"/>
              </w:rPr>
              <w:t>Break-Even Analysis</w:t>
            </w:r>
          </w:p>
        </w:tc>
        <w:tc>
          <w:tcPr>
            <w:tcW w:type="dxa" w:w="1152"/>
          </w:tcPr>
          <w:p>
            <w:pPr>
              <w:spacing w:line="276" w:lineRule="auto" w:after="40"/>
              <w:jc w:val="left"/>
            </w:pPr>
            <w:r/>
            <w:r>
              <w:rPr>
                <w:rFonts w:ascii="Times New Roman" w:hAnsi="Times New Roman" w:cs="Times New Roman"/>
                <w:b w:val="0"/>
                <w:i w:val="0"/>
                <w:sz w:val="22"/>
              </w:rPr>
              <w:t>27</w:t>
            </w:r>
          </w:p>
        </w:tc>
      </w:tr>
      <w:tr>
        <w:tc>
          <w:tcPr>
            <w:tcW w:type="dxa" w:w="1440"/>
          </w:tcPr>
          <w:p>
            <w:pPr>
              <w:spacing w:line="276" w:lineRule="auto" w:after="40"/>
              <w:jc w:val="left"/>
            </w:pPr>
            <w:r/>
            <w:r>
              <w:rPr>
                <w:rFonts w:ascii="Times New Roman" w:hAnsi="Times New Roman" w:cs="Times New Roman"/>
                <w:b w:val="0"/>
                <w:i w:val="0"/>
                <w:sz w:val="22"/>
              </w:rPr>
              <w:t>10.1</w:t>
            </w:r>
          </w:p>
        </w:tc>
        <w:tc>
          <w:tcPr>
            <w:tcW w:type="dxa" w:w="6624"/>
          </w:tcPr>
          <w:p>
            <w:pPr>
              <w:spacing w:line="276" w:lineRule="auto" w:after="40"/>
              <w:jc w:val="left"/>
            </w:pPr>
            <w:r/>
            <w:r>
              <w:rPr>
                <w:rFonts w:ascii="Times New Roman" w:hAnsi="Times New Roman" w:cs="Times New Roman"/>
                <w:b w:val="0"/>
                <w:i w:val="0"/>
                <w:sz w:val="22"/>
              </w:rPr>
              <w:t>Risk Register</w:t>
            </w:r>
          </w:p>
        </w:tc>
        <w:tc>
          <w:tcPr>
            <w:tcW w:type="dxa" w:w="1152"/>
          </w:tcPr>
          <w:p>
            <w:pPr>
              <w:spacing w:line="276" w:lineRule="auto" w:after="40"/>
              <w:jc w:val="left"/>
            </w:pPr>
            <w:r/>
            <w:r>
              <w:rPr>
                <w:rFonts w:ascii="Times New Roman" w:hAnsi="Times New Roman" w:cs="Times New Roman"/>
                <w:b w:val="0"/>
                <w:i w:val="0"/>
                <w:sz w:val="22"/>
              </w:rPr>
              <w:t>30</w:t>
            </w:r>
          </w:p>
        </w:tc>
      </w:tr>
    </w:tbl>
    <w:p>
      <w:pPr>
        <w:spacing w:line="360" w:lineRule="auto" w:after="160"/>
        <w:jc w:val="both"/>
      </w:pPr>
      <w:r>
        <w:rPr>
          <w:rFonts w:ascii="Times New Roman" w:hAnsi="Times New Roman" w:cs="Times New Roman"/>
          <w:b w:val="0"/>
          <w:i w:val="0"/>
          <w:sz w:val="24"/>
        </w:rPr>
        <w:t xml:space="preserve"> </w:t>
      </w:r>
    </w:p>
    <w:p>
      <w:pPr>
        <w:spacing w:after="280" w:before="0"/>
        <w:jc w:val="center"/>
      </w:pPr>
      <w:r>
        <w:rPr>
          <w:rFonts w:ascii="Times New Roman" w:hAnsi="Times New Roman" w:cs="Times New Roman"/>
          <w:b/>
          <w:i w:val="0"/>
          <w:sz w:val="28"/>
        </w:rPr>
        <w:t>LIST OF FIGURES</w:t>
      </w:r>
    </w:p>
    <w:tbl>
      <w:tblPr>
        <w:tblStyle w:val="LightGrid-Accent1"/>
        <w:tblW w:type="auto" w:w="0"/>
        <w:jc w:val="center"/>
        <w:tblLook w:firstColumn="1" w:firstRow="1" w:lastColumn="0" w:lastRow="0" w:noHBand="0" w:noVBand="1" w:val="04A0"/>
      </w:tblPr>
      <w:tblGrid>
        <w:gridCol w:w="3000"/>
        <w:gridCol w:w="3000"/>
        <w:gridCol w:w="3000"/>
      </w:tblGrid>
      <w:tr>
        <w:tc>
          <w:tcPr>
            <w:tcW w:type="dxa" w:w="1440"/>
          </w:tcPr>
          <w:p>
            <w:pPr>
              <w:spacing w:line="276" w:lineRule="auto" w:after="40"/>
              <w:jc w:val="left"/>
            </w:pPr>
            <w:r/>
            <w:r>
              <w:rPr>
                <w:rFonts w:ascii="Times New Roman" w:hAnsi="Times New Roman" w:cs="Times New Roman"/>
                <w:b/>
                <w:i w:val="0"/>
                <w:sz w:val="22"/>
              </w:rPr>
              <w:t>Figure No.</w:t>
            </w:r>
          </w:p>
        </w:tc>
        <w:tc>
          <w:tcPr>
            <w:tcW w:type="dxa" w:w="6624"/>
          </w:tcPr>
          <w:p>
            <w:pPr>
              <w:spacing w:line="276" w:lineRule="auto" w:after="40"/>
              <w:jc w:val="left"/>
            </w:pPr>
            <w:r/>
            <w:r>
              <w:rPr>
                <w:rFonts w:ascii="Times New Roman" w:hAnsi="Times New Roman" w:cs="Times New Roman"/>
                <w:b/>
                <w:i w:val="0"/>
                <w:sz w:val="22"/>
              </w:rPr>
              <w:t>Title</w:t>
            </w:r>
          </w:p>
        </w:tc>
        <w:tc>
          <w:tcPr>
            <w:tcW w:type="dxa" w:w="1152"/>
          </w:tcPr>
          <w:p>
            <w:pPr>
              <w:spacing w:line="276" w:lineRule="auto" w:after="40"/>
              <w:jc w:val="left"/>
            </w:pPr>
            <w:r/>
            <w:r>
              <w:rPr>
                <w:rFonts w:ascii="Times New Roman" w:hAnsi="Times New Roman" w:cs="Times New Roman"/>
                <w:b/>
                <w:i w:val="0"/>
                <w:sz w:val="22"/>
              </w:rPr>
              <w:t>Page</w:t>
            </w:r>
          </w:p>
        </w:tc>
      </w:tr>
      <w:tr>
        <w:tc>
          <w:tcPr>
            <w:tcW w:type="dxa" w:w="1440"/>
          </w:tcPr>
          <w:p>
            <w:pPr>
              <w:spacing w:line="276" w:lineRule="auto" w:after="40"/>
              <w:jc w:val="left"/>
            </w:pPr>
            <w:r/>
            <w:r>
              <w:rPr>
                <w:rFonts w:ascii="Times New Roman" w:hAnsi="Times New Roman" w:cs="Times New Roman"/>
                <w:b w:val="0"/>
                <w:i w:val="0"/>
                <w:sz w:val="22"/>
              </w:rPr>
              <w:t>4.1</w:t>
            </w:r>
          </w:p>
        </w:tc>
        <w:tc>
          <w:tcPr>
            <w:tcW w:type="dxa" w:w="6624"/>
          </w:tcPr>
          <w:p>
            <w:pPr>
              <w:spacing w:line="276" w:lineRule="auto" w:after="40"/>
              <w:jc w:val="left"/>
            </w:pPr>
            <w:r/>
            <w:r>
              <w:rPr>
                <w:rFonts w:ascii="Times New Roman" w:hAnsi="Times New Roman" w:cs="Times New Roman"/>
                <w:b w:val="0"/>
                <w:i w:val="0"/>
                <w:sz w:val="22"/>
              </w:rPr>
              <w:t>KrishiConnect Technology Architecture (Conceptual)</w:t>
            </w:r>
          </w:p>
        </w:tc>
        <w:tc>
          <w:tcPr>
            <w:tcW w:type="dxa" w:w="1152"/>
          </w:tcPr>
          <w:p>
            <w:pPr>
              <w:spacing w:line="276" w:lineRule="auto" w:after="40"/>
              <w:jc w:val="left"/>
            </w:pPr>
            <w:r/>
            <w:r>
              <w:rPr>
                <w:rFonts w:ascii="Times New Roman" w:hAnsi="Times New Roman" w:cs="Times New Roman"/>
                <w:b w:val="0"/>
                <w:i w:val="0"/>
                <w:sz w:val="22"/>
              </w:rPr>
              <w:t>12</w:t>
            </w:r>
          </w:p>
        </w:tc>
      </w:tr>
      <w:tr>
        <w:tc>
          <w:tcPr>
            <w:tcW w:type="dxa" w:w="1440"/>
          </w:tcPr>
          <w:p>
            <w:pPr>
              <w:spacing w:line="276" w:lineRule="auto" w:after="40"/>
              <w:jc w:val="left"/>
            </w:pPr>
            <w:r/>
            <w:r>
              <w:rPr>
                <w:rFonts w:ascii="Times New Roman" w:hAnsi="Times New Roman" w:cs="Times New Roman"/>
                <w:b w:val="0"/>
                <w:i w:val="0"/>
                <w:sz w:val="22"/>
              </w:rPr>
              <w:t>5.1</w:t>
            </w:r>
          </w:p>
        </w:tc>
        <w:tc>
          <w:tcPr>
            <w:tcW w:type="dxa" w:w="6624"/>
          </w:tcPr>
          <w:p>
            <w:pPr>
              <w:spacing w:line="276" w:lineRule="auto" w:after="40"/>
              <w:jc w:val="left"/>
            </w:pPr>
            <w:r/>
            <w:r>
              <w:rPr>
                <w:rFonts w:ascii="Times New Roman" w:hAnsi="Times New Roman" w:cs="Times New Roman"/>
                <w:b w:val="0"/>
                <w:i w:val="0"/>
                <w:sz w:val="22"/>
              </w:rPr>
              <w:t>Multi-Sided Platform Model</w:t>
            </w:r>
          </w:p>
        </w:tc>
        <w:tc>
          <w:tcPr>
            <w:tcW w:type="dxa" w:w="1152"/>
          </w:tcPr>
          <w:p>
            <w:pPr>
              <w:spacing w:line="276" w:lineRule="auto" w:after="40"/>
              <w:jc w:val="left"/>
            </w:pPr>
            <w:r/>
            <w:r>
              <w:rPr>
                <w:rFonts w:ascii="Times New Roman" w:hAnsi="Times New Roman" w:cs="Times New Roman"/>
                <w:b w:val="0"/>
                <w:i w:val="0"/>
                <w:sz w:val="22"/>
              </w:rPr>
              <w:t>14</w:t>
            </w:r>
          </w:p>
        </w:tc>
      </w:tr>
      <w:tr>
        <w:tc>
          <w:tcPr>
            <w:tcW w:type="dxa" w:w="1440"/>
          </w:tcPr>
          <w:p>
            <w:pPr>
              <w:spacing w:line="276" w:lineRule="auto" w:after="40"/>
              <w:jc w:val="left"/>
            </w:pPr>
            <w:r/>
            <w:r>
              <w:rPr>
                <w:rFonts w:ascii="Times New Roman" w:hAnsi="Times New Roman" w:cs="Times New Roman"/>
                <w:b w:val="0"/>
                <w:i w:val="0"/>
                <w:sz w:val="22"/>
              </w:rPr>
              <w:t>6.1</w:t>
            </w:r>
          </w:p>
        </w:tc>
        <w:tc>
          <w:tcPr>
            <w:tcW w:type="dxa" w:w="6624"/>
          </w:tcPr>
          <w:p>
            <w:pPr>
              <w:spacing w:line="276" w:lineRule="auto" w:after="40"/>
              <w:jc w:val="left"/>
            </w:pPr>
            <w:r/>
            <w:r>
              <w:rPr>
                <w:rFonts w:ascii="Times New Roman" w:hAnsi="Times New Roman" w:cs="Times New Roman"/>
                <w:b w:val="0"/>
                <w:i w:val="0"/>
                <w:sz w:val="22"/>
              </w:rPr>
              <w:t>Indian Agri-Tech Market Size — TAM / SAM / SOM</w:t>
            </w:r>
          </w:p>
        </w:tc>
        <w:tc>
          <w:tcPr>
            <w:tcW w:type="dxa" w:w="1152"/>
          </w:tcPr>
          <w:p>
            <w:pPr>
              <w:spacing w:line="276" w:lineRule="auto" w:after="40"/>
              <w:jc w:val="left"/>
            </w:pPr>
            <w:r/>
            <w:r>
              <w:rPr>
                <w:rFonts w:ascii="Times New Roman" w:hAnsi="Times New Roman" w:cs="Times New Roman"/>
                <w:b w:val="0"/>
                <w:i w:val="0"/>
                <w:sz w:val="22"/>
              </w:rPr>
              <w:t>18</w:t>
            </w:r>
          </w:p>
        </w:tc>
      </w:tr>
      <w:tr>
        <w:tc>
          <w:tcPr>
            <w:tcW w:type="dxa" w:w="1440"/>
          </w:tcPr>
          <w:p>
            <w:pPr>
              <w:spacing w:line="276" w:lineRule="auto" w:after="40"/>
              <w:jc w:val="left"/>
            </w:pPr>
            <w:r/>
            <w:r>
              <w:rPr>
                <w:rFonts w:ascii="Times New Roman" w:hAnsi="Times New Roman" w:cs="Times New Roman"/>
                <w:b w:val="0"/>
                <w:i w:val="0"/>
                <w:sz w:val="22"/>
              </w:rPr>
              <w:t>8.1</w:t>
            </w:r>
          </w:p>
        </w:tc>
        <w:tc>
          <w:tcPr>
            <w:tcW w:type="dxa" w:w="6624"/>
          </w:tcPr>
          <w:p>
            <w:pPr>
              <w:spacing w:line="276" w:lineRule="auto" w:after="40"/>
              <w:jc w:val="left"/>
            </w:pPr>
            <w:r/>
            <w:r>
              <w:rPr>
                <w:rFonts w:ascii="Times New Roman" w:hAnsi="Times New Roman" w:cs="Times New Roman"/>
                <w:b w:val="0"/>
                <w:i w:val="0"/>
                <w:sz w:val="22"/>
              </w:rPr>
              <w:t>Three-Year GMV vs. Revenue Trajectory</w:t>
            </w:r>
          </w:p>
        </w:tc>
        <w:tc>
          <w:tcPr>
            <w:tcW w:type="dxa" w:w="1152"/>
          </w:tcPr>
          <w:p>
            <w:pPr>
              <w:spacing w:line="276" w:lineRule="auto" w:after="40"/>
              <w:jc w:val="left"/>
            </w:pPr>
            <w:r/>
            <w:r>
              <w:rPr>
                <w:rFonts w:ascii="Times New Roman" w:hAnsi="Times New Roman" w:cs="Times New Roman"/>
                <w:b w:val="0"/>
                <w:i w:val="0"/>
                <w:sz w:val="22"/>
              </w:rPr>
              <w:t>26</w:t>
            </w:r>
          </w:p>
        </w:tc>
      </w:tr>
      <w:tr>
        <w:tc>
          <w:tcPr>
            <w:tcW w:type="dxa" w:w="1440"/>
          </w:tcPr>
          <w:p>
            <w:pPr>
              <w:spacing w:line="276" w:lineRule="auto" w:after="40"/>
              <w:jc w:val="left"/>
            </w:pPr>
            <w:r/>
            <w:r>
              <w:rPr>
                <w:rFonts w:ascii="Times New Roman" w:hAnsi="Times New Roman" w:cs="Times New Roman"/>
                <w:b w:val="0"/>
                <w:i w:val="0"/>
                <w:sz w:val="22"/>
              </w:rPr>
              <w:t>11.1</w:t>
            </w:r>
          </w:p>
        </w:tc>
        <w:tc>
          <w:tcPr>
            <w:tcW w:type="dxa" w:w="6624"/>
          </w:tcPr>
          <w:p>
            <w:pPr>
              <w:spacing w:line="276" w:lineRule="auto" w:after="40"/>
              <w:jc w:val="left"/>
            </w:pPr>
            <w:r/>
            <w:r>
              <w:rPr>
                <w:rFonts w:ascii="Times New Roman" w:hAnsi="Times New Roman" w:cs="Times New Roman"/>
                <w:b w:val="0"/>
                <w:i w:val="0"/>
                <w:sz w:val="22"/>
              </w:rPr>
              <w:t>Five-Year Strategic Roadmap</w:t>
            </w:r>
          </w:p>
        </w:tc>
        <w:tc>
          <w:tcPr>
            <w:tcW w:type="dxa" w:w="1152"/>
          </w:tcPr>
          <w:p>
            <w:pPr>
              <w:spacing w:line="276" w:lineRule="auto" w:after="40"/>
              <w:jc w:val="left"/>
            </w:pPr>
            <w:r/>
            <w:r>
              <w:rPr>
                <w:rFonts w:ascii="Times New Roman" w:hAnsi="Times New Roman" w:cs="Times New Roman"/>
                <w:b w:val="0"/>
                <w:i w:val="0"/>
                <w:sz w:val="22"/>
              </w:rPr>
              <w:t>33</w:t>
            </w:r>
          </w:p>
        </w:tc>
      </w:tr>
    </w:tbl>
    <w:p>
      <w:r>
        <w:br w:type="page"/>
      </w:r>
    </w:p>
    <w:p>
      <w:pPr>
        <w:keepNext/>
        <w:spacing w:before="360" w:after="280"/>
        <w:jc w:val="left"/>
      </w:pPr>
      <w:r>
        <w:rPr>
          <w:rFonts w:ascii="Times New Roman" w:hAnsi="Times New Roman" w:cs="Times New Roman"/>
          <w:b/>
          <w:i w:val="0"/>
          <w:sz w:val="32"/>
        </w:rPr>
        <w:t>1. Executive Summary</w:t>
      </w:r>
    </w:p>
    <w:p>
      <w:pPr>
        <w:spacing w:line="360" w:lineRule="auto" w:after="160"/>
        <w:ind w:firstLine="576"/>
        <w:jc w:val="both"/>
      </w:pPr>
      <w:r>
        <w:rPr>
          <w:rFonts w:ascii="Times New Roman" w:hAnsi="Times New Roman" w:cs="Times New Roman"/>
          <w:b w:val="0"/>
          <w:i w:val="0"/>
          <w:sz w:val="24"/>
        </w:rPr>
        <w:t>Indian agriculture, despite being the backbone of the nation's economy and food security, continues to suffer from a deeply fragmented value chain in which the cultivator — the individual who bears the maximum risk of weather, pests, soil, and price volatility — paradoxically receives the smallest share of the final consumer rupee. Multiple government studies, industry reports and academic research consistently confirm that an Indian farmer receives only 25 to 30 percent of the retail price of the produce that originates on his or her field. The remaining 70 to 75 percent margin is consumed by a chain of intermediaries — village-level aggregators, commission agents, wholesalers, secondary wholesalers, and retailers — who, while performing some legitimate services such as aggregation, transportation and credit, also extract economic rent through information asymmetry, weight manipulation, and exploitative credit practices.</w:t>
      </w:r>
    </w:p>
    <w:p>
      <w:pPr>
        <w:spacing w:line="360" w:lineRule="auto" w:after="160"/>
        <w:ind w:firstLine="576"/>
        <w:jc w:val="both"/>
      </w:pPr>
      <w:r>
        <w:rPr>
          <w:rFonts w:ascii="Times New Roman" w:hAnsi="Times New Roman" w:cs="Times New Roman"/>
          <w:b w:val="0"/>
          <w:i w:val="0"/>
          <w:sz w:val="24"/>
        </w:rPr>
        <w:t>"KrishiConnect" is conceptualised as a comprehensive Agri-Tech marketplace platform that directly addresses this systemic inefficiency. The proposed venture combines five strategic pillars under a single mobile-first interface available in 11 Indian languages: (i) a transparent two-sided marketplace where farmers post their produce and verified buyers compete via a reverse-auction mechanism; (ii) a curated input store offering certified seeds, fertilizers, and crop-protection products at MRP-controlled prices; (iii) an "Equipment-as-a-Service" rental network for tractors, harvesters, drones, and laser levellers; (iv) an AI-driven advisory layer comprising a vernacular voice assistant called "KrishiSakhi" and a computer-vision based "Crop Doctor"; and (v) embedded financial services including instant kisan credit and crop insurance underwritten by partner NBFCs and insurers.</w:t>
      </w:r>
    </w:p>
    <w:p>
      <w:pPr>
        <w:spacing w:line="360" w:lineRule="auto" w:after="160"/>
        <w:ind w:firstLine="576"/>
        <w:jc w:val="both"/>
      </w:pPr>
      <w:r>
        <w:rPr>
          <w:rFonts w:ascii="Times New Roman" w:hAnsi="Times New Roman" w:cs="Times New Roman"/>
          <w:b w:val="0"/>
          <w:i w:val="0"/>
          <w:sz w:val="24"/>
        </w:rPr>
        <w:t>On the commercial side, KrishiConnect generates revenue through five complementary streams — marketplace commission (2 to 4 percent), input-store margin (8 to 12 percent), equipment-rental fee (15 percent), embedded-finance commission (1.0 to 1.5 percent), and a premium "KrishiPro" subscription priced at ₹99 per month. With an estimated initial budget of ₹95 lakh, the project targets 50,000 active farmers in Year 1, expanding to 12 lakh active farmers and ₹2,400 crore Gross Merchandise Value by Year 3, and crossing EBITDA break-even by month 30. Beyond economics, the platform is designed as an instrument of inclusive rural transformation, with directly measurable social impact — projected farm-income uplift of 20 to 30 percent, reduction in post-harvest losses by 15 to 18 percent, financial inclusion of unbanked smallholders, and rural employment generation for over 25,000 individuals through KrishiSakhi (women field-officer) and Yuva Krishak (youth entrepreneur) programmes.</w:t>
      </w:r>
    </w:p>
    <w:p>
      <w:pPr>
        <w:spacing w:line="360" w:lineRule="auto" w:after="160"/>
        <w:ind w:firstLine="576"/>
        <w:jc w:val="both"/>
      </w:pPr>
      <w:r>
        <w:rPr>
          <w:rFonts w:ascii="Times New Roman" w:hAnsi="Times New Roman" w:cs="Times New Roman"/>
          <w:b w:val="0"/>
          <w:i w:val="0"/>
          <w:sz w:val="24"/>
        </w:rPr>
        <w:t>The opportunity is timely. Rural smartphone penetration has crossed 56 percent and is expected to reach 75 percent by 2028. The Government of India's Digital Agriculture Mission (with an outlay of ₹2,817 crore), AgriStack, the Unified Farmer Service Platform, and ONDC for Agriculture have collectively created the regulatory and infrastructural rails on which a venture of this kind can scale rapidly and inexpensively. Investor appetite is robust — Indian Agri-Tech raised USD 2.4 billion in FY 2024-25 alone — yet the segment remains under-penetrated, with no single player addressing all five pillars in an integrated, AI-first manner.</w:t>
      </w:r>
    </w:p>
    <w:p>
      <w:pPr>
        <w:spacing w:line="360" w:lineRule="auto" w:after="160"/>
        <w:ind w:firstLine="576"/>
        <w:jc w:val="both"/>
      </w:pPr>
      <w:r>
        <w:rPr>
          <w:rFonts w:ascii="Times New Roman" w:hAnsi="Times New Roman" w:cs="Times New Roman"/>
          <w:b w:val="0"/>
          <w:i w:val="0"/>
          <w:sz w:val="24"/>
        </w:rPr>
        <w:t>The objective of this report is to develop and document a complete business and technology plan for KrishiConnect — encompassing problem framing, innovation architecture, business model, market sizing, financial projections, operational roadmap, social-ethical considerations, and a structured risk-management framework — culminating in a credible scalability vision through 2030 and beyond.</w:t>
      </w:r>
    </w:p>
    <w:p>
      <w:r>
        <w:br w:type="page"/>
      </w:r>
    </w:p>
    <w:p>
      <w:pPr>
        <w:keepNext/>
        <w:spacing w:before="360" w:after="280"/>
        <w:jc w:val="left"/>
      </w:pPr>
      <w:r>
        <w:rPr>
          <w:rFonts w:ascii="Times New Roman" w:hAnsi="Times New Roman" w:cs="Times New Roman"/>
          <w:b/>
          <w:i w:val="0"/>
          <w:sz w:val="32"/>
        </w:rPr>
        <w:t>2. Introduction</w:t>
      </w:r>
    </w:p>
    <w:p>
      <w:pPr>
        <w:keepNext/>
        <w:spacing w:before="240" w:after="160"/>
        <w:jc w:val="left"/>
      </w:pPr>
      <w:r>
        <w:rPr>
          <w:rFonts w:ascii="Times New Roman" w:hAnsi="Times New Roman" w:cs="Times New Roman"/>
          <w:b/>
          <w:i w:val="0"/>
          <w:sz w:val="28"/>
        </w:rPr>
        <w:t>2.1 Background of Indian Agriculture</w:t>
      </w:r>
    </w:p>
    <w:p>
      <w:pPr>
        <w:spacing w:line="360" w:lineRule="auto" w:after="160"/>
        <w:jc w:val="both"/>
      </w:pPr>
      <w:r>
        <w:rPr>
          <w:rFonts w:ascii="Times New Roman" w:hAnsi="Times New Roman" w:cs="Times New Roman"/>
          <w:b w:val="0"/>
          <w:i w:val="0"/>
          <w:sz w:val="24"/>
        </w:rPr>
        <w:t>Agriculture has been, and continues to be, the principal occupation of the Indian population. With over 14.6 crore operational landholdings, of which 86 percent are owned by smallholder and marginal farmers cultivating less than two hectares each, the sector forms the largest organised employment base in the country. It contributes approximately 18 percent to the national Gross Value Added and supports the food security of 1.4 billion people. India is the world's largest producer of milk, pulses, jute and ginger, and the second-largest producer of rice, wheat, sugarcane, fruits, vegetables, cotton, and groundnut.</w:t>
      </w:r>
    </w:p>
    <w:p>
      <w:pPr>
        <w:spacing w:line="360" w:lineRule="auto" w:after="160"/>
        <w:jc w:val="both"/>
      </w:pPr>
      <w:r>
        <w:rPr>
          <w:rFonts w:ascii="Times New Roman" w:hAnsi="Times New Roman" w:cs="Times New Roman"/>
          <w:b w:val="0"/>
          <w:i w:val="0"/>
          <w:sz w:val="24"/>
        </w:rPr>
        <w:t>However, the sector's contribution to GDP has stagnated even as its share of employment remains disproportionately high. The average monthly income of an Indian farming household, according to the NABARD All-India Rural Financial Inclusion Survey (NAFIS) 2021-22, is only ₹13,661, of which a substantial portion is derived from non-agricultural activities such as wage labour and animal husbandry. The structural reasons for this stagnation have been documented exhaustively — fragmented landholdings, inefficient supply chains, low-quality inputs, lack of risk-mitigation tools, weak market access, and inadequate finance.</w:t>
      </w:r>
    </w:p>
    <w:p>
      <w:pPr>
        <w:keepNext/>
        <w:spacing w:before="240" w:after="160"/>
        <w:jc w:val="left"/>
      </w:pPr>
      <w:r>
        <w:rPr>
          <w:rFonts w:ascii="Times New Roman" w:hAnsi="Times New Roman" w:cs="Times New Roman"/>
          <w:b/>
          <w:i w:val="0"/>
          <w:sz w:val="28"/>
        </w:rPr>
        <w:t>2.2 The Digital Inflection Point</w:t>
      </w:r>
    </w:p>
    <w:p>
      <w:pPr>
        <w:spacing w:line="360" w:lineRule="auto" w:after="160"/>
        <w:jc w:val="both"/>
      </w:pPr>
      <w:r>
        <w:rPr>
          <w:rFonts w:ascii="Times New Roman" w:hAnsi="Times New Roman" w:cs="Times New Roman"/>
          <w:b w:val="0"/>
          <w:i w:val="0"/>
          <w:sz w:val="24"/>
        </w:rPr>
        <w:t>Three converging forces have, since 2022-23, created what can be described as a digital inflection point in Indian agriculture. First, smartphone penetration in rural areas, which stood at 25 percent in 2018, has crossed 56 percent in 2025 according to the KANTAR ICUBE Index, with mobile data costs among the lowest in the world. Second, the Government of India has invested deliberately and heavily in digital public infrastructure for agriculture — the AgriStack initiative, which builds a unified farmer database; the Unified Farmer Service Platform; the Open Network for Digital Commerce (ONDC) extension to agriculture; and the Digital Agriculture Mission with an outlay of ₹2,817 crore for FY 2024-26. Third, advances in artificial intelligence, particularly in computer vision and large language models, have made it cost-feasible to deliver expert-grade advisory at a fraction of human-consultant cost.</w:t>
      </w:r>
    </w:p>
    <w:p>
      <w:pPr>
        <w:keepNext/>
        <w:spacing w:before="240" w:after="160"/>
        <w:jc w:val="left"/>
      </w:pPr>
      <w:r>
        <w:rPr>
          <w:rFonts w:ascii="Times New Roman" w:hAnsi="Times New Roman" w:cs="Times New Roman"/>
          <w:b/>
          <w:i w:val="0"/>
          <w:sz w:val="28"/>
        </w:rPr>
        <w:t>2.3 About the Startup — KrishiConnect</w:t>
      </w:r>
    </w:p>
    <w:p>
      <w:pPr>
        <w:spacing w:line="360" w:lineRule="auto" w:after="160"/>
        <w:jc w:val="both"/>
      </w:pPr>
      <w:r>
        <w:rPr>
          <w:rFonts w:ascii="Times New Roman" w:hAnsi="Times New Roman" w:cs="Times New Roman"/>
          <w:b w:val="0"/>
          <w:i w:val="0"/>
          <w:sz w:val="24"/>
        </w:rPr>
        <w:t>"KrishiConnect" is the brand name for the proposed Agri-Tech venture. The Sanskrit-derived name literally means "Agriculture-Connection", and is intentionally chosen to signal cultural rootedness while suggesting the platform's essential function — connecting farmers to markets, inputs, machinery, advisory, and finance. The platform is conceptualised as a multi-sided digital ecosystem covering the entire agricultural lifecycle:</w:t>
      </w:r>
    </w:p>
    <w:p>
      <w:pPr>
        <w:pStyle w:val="ListBullet"/>
        <w:spacing w:line="360" w:lineRule="auto" w:after="80"/>
        <w:jc w:val="both"/>
      </w:pPr>
      <w:r>
        <w:rPr>
          <w:rFonts w:ascii="Times New Roman" w:hAnsi="Times New Roman" w:cs="Times New Roman"/>
          <w:b w:val="0"/>
          <w:i w:val="0"/>
          <w:sz w:val="24"/>
        </w:rPr>
        <w:t>Pre-harvest stage — soil testing, seed selection, weather-aware crop planning, input procurement, financing.</w:t>
      </w:r>
    </w:p>
    <w:p>
      <w:pPr>
        <w:pStyle w:val="ListBullet"/>
        <w:spacing w:line="360" w:lineRule="auto" w:after="80"/>
        <w:jc w:val="both"/>
      </w:pPr>
      <w:r>
        <w:rPr>
          <w:rFonts w:ascii="Times New Roman" w:hAnsi="Times New Roman" w:cs="Times New Roman"/>
          <w:b w:val="0"/>
          <w:i w:val="0"/>
          <w:sz w:val="24"/>
        </w:rPr>
        <w:t>Harvest stage — equipment rental, labour matching, harvest scheduling.</w:t>
      </w:r>
    </w:p>
    <w:p>
      <w:pPr>
        <w:pStyle w:val="ListBullet"/>
        <w:spacing w:line="360" w:lineRule="auto" w:after="80"/>
        <w:jc w:val="both"/>
      </w:pPr>
      <w:r>
        <w:rPr>
          <w:rFonts w:ascii="Times New Roman" w:hAnsi="Times New Roman" w:cs="Times New Roman"/>
          <w:b w:val="0"/>
          <w:i w:val="0"/>
          <w:sz w:val="24"/>
        </w:rPr>
        <w:t>Post-harvest stage — quality grading, storage, logistics, marketplace listing, payment, insurance.</w:t>
      </w:r>
    </w:p>
    <w:p>
      <w:pPr>
        <w:spacing w:line="360" w:lineRule="auto" w:after="160"/>
        <w:jc w:val="both"/>
      </w:pPr>
      <w:r>
        <w:rPr>
          <w:rFonts w:ascii="Times New Roman" w:hAnsi="Times New Roman" w:cs="Times New Roman"/>
          <w:b w:val="0"/>
          <w:i w:val="0"/>
          <w:sz w:val="24"/>
        </w:rPr>
        <w:t>The proposed venture will be incorporated as a Private Limited Company under the Companies Act, 2013, with primary operations in Kanpur and Bengaluru. The legal structure has been chosen to allow for institutional fund-raising and Employee Stock Option Plans, both of which are critical for retaining technical talent in the early years.</w:t>
      </w:r>
    </w:p>
    <w:p>
      <w:pPr>
        <w:keepNext/>
        <w:spacing w:before="240" w:after="160"/>
        <w:jc w:val="left"/>
      </w:pPr>
      <w:r>
        <w:rPr>
          <w:rFonts w:ascii="Times New Roman" w:hAnsi="Times New Roman" w:cs="Times New Roman"/>
          <w:b/>
          <w:i w:val="0"/>
          <w:sz w:val="28"/>
        </w:rPr>
        <w:t>2.4 Mission</w:t>
      </w:r>
    </w:p>
    <w:p>
      <w:pPr>
        <w:spacing w:line="360" w:lineRule="auto" w:after="160"/>
        <w:jc w:val="both"/>
      </w:pPr>
      <w:r>
        <w:rPr>
          <w:rFonts w:ascii="Times New Roman" w:hAnsi="Times New Roman" w:cs="Times New Roman"/>
          <w:b w:val="0"/>
          <w:i w:val="0"/>
          <w:sz w:val="24"/>
        </w:rPr>
        <w:t>To empower every Indian farmer with a transparent, technology-driven marketplace that ensures fair prices, dependable inputs, intelligent advisory, and inclusive financial services — thereby doubling farm-level income and restoring economic dignity to the profession of farming.</w:t>
      </w:r>
    </w:p>
    <w:p>
      <w:pPr>
        <w:keepNext/>
        <w:spacing w:before="240" w:after="160"/>
        <w:jc w:val="left"/>
      </w:pPr>
      <w:r>
        <w:rPr>
          <w:rFonts w:ascii="Times New Roman" w:hAnsi="Times New Roman" w:cs="Times New Roman"/>
          <w:b/>
          <w:i w:val="0"/>
          <w:sz w:val="28"/>
        </w:rPr>
        <w:t>2.5 Vision</w:t>
      </w:r>
    </w:p>
    <w:p>
      <w:pPr>
        <w:spacing w:line="360" w:lineRule="auto" w:after="160"/>
        <w:jc w:val="both"/>
      </w:pPr>
      <w:r>
        <w:rPr>
          <w:rFonts w:ascii="Times New Roman" w:hAnsi="Times New Roman" w:cs="Times New Roman"/>
          <w:b w:val="0"/>
          <w:i w:val="0"/>
          <w:sz w:val="24"/>
        </w:rPr>
        <w:t>To become India's most trusted agricultural digital infrastructure by 2030, connecting 25 million farmers with 5 lakh buyers across 28 states, and gradually expanding to other developing economies in South Asia, Africa, and Southeast Asia where smallholder farmers face similar systemic challenges.</w:t>
      </w:r>
    </w:p>
    <w:p>
      <w:pPr>
        <w:keepNext/>
        <w:spacing w:before="240" w:after="160"/>
        <w:jc w:val="left"/>
      </w:pPr>
      <w:r>
        <w:rPr>
          <w:rFonts w:ascii="Times New Roman" w:hAnsi="Times New Roman" w:cs="Times New Roman"/>
          <w:b/>
          <w:i w:val="0"/>
          <w:sz w:val="28"/>
        </w:rPr>
        <w:t>2.6 Core Values</w:t>
      </w:r>
    </w:p>
    <w:p>
      <w:pPr>
        <w:pStyle w:val="ListBullet"/>
        <w:spacing w:line="360" w:lineRule="auto" w:after="80"/>
        <w:jc w:val="both"/>
      </w:pPr>
      <w:r>
        <w:rPr>
          <w:rFonts w:ascii="Times New Roman" w:hAnsi="Times New Roman" w:cs="Times New Roman"/>
          <w:b/>
          <w:i w:val="0"/>
          <w:sz w:val="24"/>
        </w:rPr>
        <w:t>Every product and policy decision is evaluated through its impact on farm-gate income.</w:t>
      </w:r>
      <w:r>
        <w:rPr>
          <w:rFonts w:ascii="Times New Roman" w:hAnsi="Times New Roman" w:cs="Times New Roman"/>
          <w:b w:val="0"/>
          <w:i w:val="0"/>
          <w:sz w:val="24"/>
        </w:rPr>
        <w:t xml:space="preserve">Farmer-First: </w:t>
      </w:r>
    </w:p>
    <w:p>
      <w:pPr>
        <w:pStyle w:val="ListBullet"/>
        <w:spacing w:line="360" w:lineRule="auto" w:after="80"/>
        <w:jc w:val="both"/>
      </w:pPr>
      <w:r>
        <w:rPr>
          <w:rFonts w:ascii="Times New Roman" w:hAnsi="Times New Roman" w:cs="Times New Roman"/>
          <w:b/>
          <w:i w:val="0"/>
          <w:sz w:val="24"/>
        </w:rPr>
        <w:t>No hidden fees; on-platform display of every commission earned.</w:t>
      </w:r>
      <w:r>
        <w:rPr>
          <w:rFonts w:ascii="Times New Roman" w:hAnsi="Times New Roman" w:cs="Times New Roman"/>
          <w:b w:val="0"/>
          <w:i w:val="0"/>
          <w:sz w:val="24"/>
        </w:rPr>
        <w:t xml:space="preserve">Transparency: </w:t>
      </w:r>
    </w:p>
    <w:p>
      <w:pPr>
        <w:pStyle w:val="ListBullet"/>
        <w:spacing w:line="360" w:lineRule="auto" w:after="80"/>
        <w:jc w:val="both"/>
      </w:pPr>
      <w:r>
        <w:rPr>
          <w:rFonts w:ascii="Times New Roman" w:hAnsi="Times New Roman" w:cs="Times New Roman"/>
          <w:b/>
          <w:i w:val="0"/>
          <w:sz w:val="24"/>
        </w:rPr>
        <w:t>Vernacular UX, voice support, no-collateral credit, and gender-equitable hiring.</w:t>
      </w:r>
      <w:r>
        <w:rPr>
          <w:rFonts w:ascii="Times New Roman" w:hAnsi="Times New Roman" w:cs="Times New Roman"/>
          <w:b w:val="0"/>
          <w:i w:val="0"/>
          <w:sz w:val="24"/>
        </w:rPr>
        <w:t xml:space="preserve">Inclusion: </w:t>
      </w:r>
    </w:p>
    <w:p>
      <w:pPr>
        <w:pStyle w:val="ListBullet"/>
        <w:spacing w:line="360" w:lineRule="auto" w:after="80"/>
        <w:jc w:val="both"/>
      </w:pPr>
      <w:r>
        <w:rPr>
          <w:rFonts w:ascii="Times New Roman" w:hAnsi="Times New Roman" w:cs="Times New Roman"/>
          <w:b/>
          <w:i w:val="0"/>
          <w:sz w:val="24"/>
        </w:rPr>
        <w:t>Promotion of climate-resilient practices and bio-inputs over chemical-heavy alternatives.</w:t>
      </w:r>
      <w:r>
        <w:rPr>
          <w:rFonts w:ascii="Times New Roman" w:hAnsi="Times New Roman" w:cs="Times New Roman"/>
          <w:b w:val="0"/>
          <w:i w:val="0"/>
          <w:sz w:val="24"/>
        </w:rPr>
        <w:t xml:space="preserve">Sustainability: </w:t>
      </w:r>
    </w:p>
    <w:p>
      <w:pPr>
        <w:pStyle w:val="ListBullet"/>
        <w:spacing w:line="360" w:lineRule="auto" w:after="80"/>
        <w:jc w:val="both"/>
      </w:pPr>
      <w:r>
        <w:rPr>
          <w:rFonts w:ascii="Times New Roman" w:hAnsi="Times New Roman" w:cs="Times New Roman"/>
          <w:b/>
          <w:i w:val="0"/>
          <w:sz w:val="24"/>
        </w:rPr>
        <w:t>Zero-tolerance for counterfeit inputs and predatory pricing.</w:t>
      </w:r>
      <w:r>
        <w:rPr>
          <w:rFonts w:ascii="Times New Roman" w:hAnsi="Times New Roman" w:cs="Times New Roman"/>
          <w:b w:val="0"/>
          <w:i w:val="0"/>
          <w:sz w:val="24"/>
        </w:rPr>
        <w:t xml:space="preserve">Integrity: </w:t>
      </w:r>
    </w:p>
    <w:p>
      <w:pPr>
        <w:keepNext/>
        <w:spacing w:before="240" w:after="160"/>
        <w:jc w:val="left"/>
      </w:pPr>
      <w:r>
        <w:rPr>
          <w:rFonts w:ascii="Times New Roman" w:hAnsi="Times New Roman" w:cs="Times New Roman"/>
          <w:b/>
          <w:i w:val="0"/>
          <w:sz w:val="28"/>
        </w:rPr>
        <w:t>2.7 Motivation Behind the Choice of this Activity</w:t>
      </w:r>
    </w:p>
    <w:p>
      <w:pPr>
        <w:spacing w:line="360" w:lineRule="auto" w:after="160"/>
        <w:jc w:val="both"/>
      </w:pPr>
      <w:r>
        <w:rPr>
          <w:rFonts w:ascii="Times New Roman" w:hAnsi="Times New Roman" w:cs="Times New Roman"/>
          <w:b w:val="0"/>
          <w:i w:val="0"/>
          <w:sz w:val="24"/>
        </w:rPr>
        <w:t>The motivation for choosing the Agri-Tech Marketplace as the subject of this Startup and Entrepreneurial Activity Report is rooted in three considerations. First, the magnitude of the social impact: there are very few commercial opportunities in India today that can simultaneously generate substantial economic returns and meaningfully improve the lives of over a hundred million households. Second, the alignment with the student's academic background — a Master of Computer Application — which provides the requisite grounding in software engineering, data structures, and database design necessary to architect a complex, multi-tenant digital platform. Third, the explicit public-policy push: the Digital Agriculture Mission, ONDC, AgriStack, and the long-standing target of doubling farmers' incomes have created an unusual alignment between public good, market demand, and technological feasibility — an alignment that, historically, has produced category-defining ventures.</w:t>
      </w:r>
    </w:p>
    <w:p>
      <w:pPr>
        <w:spacing w:line="360" w:lineRule="auto" w:after="160"/>
        <w:jc w:val="both"/>
      </w:pPr>
      <w:r>
        <w:rPr>
          <w:rFonts w:ascii="Times New Roman" w:hAnsi="Times New Roman" w:cs="Times New Roman"/>
          <w:b w:val="0"/>
          <w:i w:val="0"/>
          <w:sz w:val="24"/>
        </w:rPr>
        <w:t>In sum, KrishiConnect represents the intersection of social purpose and commercial viability — a venture that can profit only when farmers profit, and one in which profitability and impact are not in tension but mutually reinforcing.</w:t>
      </w:r>
    </w:p>
    <w:p>
      <w:r>
        <w:br w:type="page"/>
      </w:r>
    </w:p>
    <w:p>
      <w:pPr>
        <w:keepNext/>
        <w:spacing w:before="360" w:after="280"/>
        <w:jc w:val="left"/>
      </w:pPr>
      <w:r>
        <w:rPr>
          <w:rFonts w:ascii="Times New Roman" w:hAnsi="Times New Roman" w:cs="Times New Roman"/>
          <w:b/>
          <w:i w:val="0"/>
          <w:sz w:val="32"/>
        </w:rPr>
        <w:t>3. Problem Statement and Relevance</w:t>
      </w:r>
    </w:p>
    <w:p>
      <w:pPr>
        <w:keepNext/>
        <w:spacing w:before="240" w:after="160"/>
        <w:jc w:val="left"/>
      </w:pPr>
      <w:r>
        <w:rPr>
          <w:rFonts w:ascii="Times New Roman" w:hAnsi="Times New Roman" w:cs="Times New Roman"/>
          <w:b/>
          <w:i w:val="0"/>
          <w:sz w:val="28"/>
        </w:rPr>
        <w:t>3.1 The Core Problem</w:t>
      </w:r>
    </w:p>
    <w:p>
      <w:pPr>
        <w:spacing w:line="360" w:lineRule="auto" w:after="160"/>
        <w:jc w:val="both"/>
      </w:pPr>
      <w:r>
        <w:rPr>
          <w:rFonts w:ascii="Times New Roman" w:hAnsi="Times New Roman" w:cs="Times New Roman"/>
          <w:b w:val="0"/>
          <w:i w:val="0"/>
          <w:sz w:val="24"/>
        </w:rPr>
        <w:t>The defining problem in Indian agriculture is not a problem of production but of distribution and economic empowerment. India routinely produces enough grain, pulses, and horticultural produce to meet — and in many years exceed — its domestic demand. And yet, the cultivator who actually grows this produce remains trapped in a cycle of low income, indebtedness, and distress sales. The fundamental issue is that the value created by agriculture is not equitably distributed across the chain.</w:t>
      </w:r>
    </w:p>
    <w:p>
      <w:pPr>
        <w:spacing w:line="360" w:lineRule="auto" w:after="160"/>
        <w:jc w:val="both"/>
      </w:pPr>
      <w:r>
        <w:rPr>
          <w:rFonts w:ascii="Times New Roman" w:hAnsi="Times New Roman" w:cs="Times New Roman"/>
          <w:b w:val="0"/>
          <w:i w:val="0"/>
          <w:sz w:val="24"/>
        </w:rPr>
        <w:t>A typical kilogram of tomatoes that retails at ₹40 in a Tier-1 city was procured from the farmer at ₹8 to ₹12. The intervening 30 to 32 rupees is consumed by aggregators, commission agents, wholesalers, transport agents, and retailers. While each of these parties performs a service, the cumulative margin extraction means that the farmer — who has invested seed, water, labour, fertilizer, and three to four months of cultivation — earns barely enough to cover input costs.</w:t>
      </w:r>
    </w:p>
    <w:p>
      <w:pPr>
        <w:keepNext/>
        <w:spacing w:before="240" w:after="160"/>
        <w:jc w:val="left"/>
      </w:pPr>
      <w:r>
        <w:rPr>
          <w:rFonts w:ascii="Times New Roman" w:hAnsi="Times New Roman" w:cs="Times New Roman"/>
          <w:b/>
          <w:i w:val="0"/>
          <w:sz w:val="28"/>
        </w:rPr>
        <w:t>3.2 Pain Points — A Detailed Map</w:t>
      </w:r>
    </w:p>
    <w:p>
      <w:pPr>
        <w:keepNext/>
        <w:spacing w:before="160" w:after="80"/>
        <w:jc w:val="left"/>
      </w:pPr>
      <w:r>
        <w:rPr>
          <w:rFonts w:ascii="Times New Roman" w:hAnsi="Times New Roman" w:cs="Times New Roman"/>
          <w:b/>
          <w:i/>
          <w:sz w:val="24"/>
        </w:rPr>
        <w:t>A. Price Discovery and Market Access</w:t>
      </w:r>
    </w:p>
    <w:p>
      <w:pPr>
        <w:pStyle w:val="ListBullet"/>
        <w:spacing w:line="360" w:lineRule="auto" w:after="80"/>
        <w:jc w:val="both"/>
      </w:pPr>
      <w:r>
        <w:rPr>
          <w:rFonts w:ascii="Times New Roman" w:hAnsi="Times New Roman" w:cs="Times New Roman"/>
          <w:b w:val="0"/>
          <w:i w:val="0"/>
          <w:sz w:val="24"/>
        </w:rPr>
        <w:t>Lack of real-time mandi price visibility — farmers must rely on commission agents who have an interest in suppressing reported prices.</w:t>
      </w:r>
    </w:p>
    <w:p>
      <w:pPr>
        <w:pStyle w:val="ListBullet"/>
        <w:spacing w:line="360" w:lineRule="auto" w:after="80"/>
        <w:jc w:val="both"/>
      </w:pPr>
      <w:r>
        <w:rPr>
          <w:rFonts w:ascii="Times New Roman" w:hAnsi="Times New Roman" w:cs="Times New Roman"/>
          <w:b w:val="0"/>
          <w:i w:val="0"/>
          <w:sz w:val="24"/>
        </w:rPr>
        <w:t>No buyer competition — most farmers transact with whoever appears at the village or local mandi, with little ability to compare offers.</w:t>
      </w:r>
    </w:p>
    <w:p>
      <w:pPr>
        <w:pStyle w:val="ListBullet"/>
        <w:spacing w:line="360" w:lineRule="auto" w:after="80"/>
        <w:jc w:val="both"/>
      </w:pPr>
      <w:r>
        <w:rPr>
          <w:rFonts w:ascii="Times New Roman" w:hAnsi="Times New Roman" w:cs="Times New Roman"/>
          <w:b w:val="0"/>
          <w:i w:val="0"/>
          <w:sz w:val="24"/>
        </w:rPr>
        <w:t>Distress sales at harvest peaks — when prices are lowest and farmers most in need of cash to repay loans.</w:t>
      </w:r>
    </w:p>
    <w:p>
      <w:pPr>
        <w:keepNext/>
        <w:spacing w:before="160" w:after="80"/>
        <w:jc w:val="left"/>
      </w:pPr>
      <w:r>
        <w:rPr>
          <w:rFonts w:ascii="Times New Roman" w:hAnsi="Times New Roman" w:cs="Times New Roman"/>
          <w:b/>
          <w:i/>
          <w:sz w:val="24"/>
        </w:rPr>
        <w:t>B. Input Quality and Cost</w:t>
      </w:r>
    </w:p>
    <w:p>
      <w:pPr>
        <w:pStyle w:val="ListBullet"/>
        <w:spacing w:line="360" w:lineRule="auto" w:after="80"/>
        <w:jc w:val="both"/>
      </w:pPr>
      <w:r>
        <w:rPr>
          <w:rFonts w:ascii="Times New Roman" w:hAnsi="Times New Roman" w:cs="Times New Roman"/>
          <w:b w:val="0"/>
          <w:i w:val="0"/>
          <w:sz w:val="24"/>
        </w:rPr>
        <w:t>Counterfeit seeds and fertilizers continue to circulate, particularly in interior districts. ICAR estimates over 25 percent of pesticides sold in some states are spurious or sub-standard.</w:t>
      </w:r>
    </w:p>
    <w:p>
      <w:pPr>
        <w:pStyle w:val="ListBullet"/>
        <w:spacing w:line="360" w:lineRule="auto" w:after="80"/>
        <w:jc w:val="both"/>
      </w:pPr>
      <w:r>
        <w:rPr>
          <w:rFonts w:ascii="Times New Roman" w:hAnsi="Times New Roman" w:cs="Times New Roman"/>
          <w:b w:val="0"/>
          <w:i w:val="0"/>
          <w:sz w:val="24"/>
        </w:rPr>
        <w:t>Last-mile rural distribution adds 15 to 20 percent to the cost of inputs.</w:t>
      </w:r>
    </w:p>
    <w:p>
      <w:pPr>
        <w:pStyle w:val="ListBullet"/>
        <w:spacing w:line="360" w:lineRule="auto" w:after="80"/>
        <w:jc w:val="both"/>
      </w:pPr>
      <w:r>
        <w:rPr>
          <w:rFonts w:ascii="Times New Roman" w:hAnsi="Times New Roman" w:cs="Times New Roman"/>
          <w:b w:val="0"/>
          <w:i w:val="0"/>
          <w:sz w:val="24"/>
        </w:rPr>
        <w:t>No data-driven recommendations — farmers buy whatever the local dealer pushes, often over-applying fertilizers and pesticides, harming both yield and soil.</w:t>
      </w:r>
    </w:p>
    <w:p>
      <w:pPr>
        <w:keepNext/>
        <w:spacing w:before="160" w:after="80"/>
        <w:jc w:val="left"/>
      </w:pPr>
      <w:r>
        <w:rPr>
          <w:rFonts w:ascii="Times New Roman" w:hAnsi="Times New Roman" w:cs="Times New Roman"/>
          <w:b/>
          <w:i/>
          <w:sz w:val="24"/>
        </w:rPr>
        <w:t>C. Equipment and Mechanisation</w:t>
      </w:r>
    </w:p>
    <w:p>
      <w:pPr>
        <w:pStyle w:val="ListBullet"/>
        <w:spacing w:line="360" w:lineRule="auto" w:after="80"/>
        <w:jc w:val="both"/>
      </w:pPr>
      <w:r>
        <w:rPr>
          <w:rFonts w:ascii="Times New Roman" w:hAnsi="Times New Roman" w:cs="Times New Roman"/>
          <w:b w:val="0"/>
          <w:i w:val="0"/>
          <w:sz w:val="24"/>
        </w:rPr>
        <w:t>Modern equipment such as combine harvesters, laser levellers, and spraying drones is unaffordable for smallholders.</w:t>
      </w:r>
    </w:p>
    <w:p>
      <w:pPr>
        <w:pStyle w:val="ListBullet"/>
        <w:spacing w:line="360" w:lineRule="auto" w:after="80"/>
        <w:jc w:val="both"/>
      </w:pPr>
      <w:r>
        <w:rPr>
          <w:rFonts w:ascii="Times New Roman" w:hAnsi="Times New Roman" w:cs="Times New Roman"/>
          <w:b w:val="0"/>
          <w:i w:val="0"/>
          <w:sz w:val="24"/>
        </w:rPr>
        <w:t>Existing tractor-rental practices are informal, opaque, and exploitative.</w:t>
      </w:r>
    </w:p>
    <w:p>
      <w:pPr>
        <w:pStyle w:val="ListBullet"/>
        <w:spacing w:line="360" w:lineRule="auto" w:after="80"/>
        <w:jc w:val="both"/>
      </w:pPr>
      <w:r>
        <w:rPr>
          <w:rFonts w:ascii="Times New Roman" w:hAnsi="Times New Roman" w:cs="Times New Roman"/>
          <w:b w:val="0"/>
          <w:i w:val="0"/>
          <w:sz w:val="24"/>
        </w:rPr>
        <w:t>Underutilisation of machinery owned by larger farmers — a tractor in India is on average used only 600 hours per year against an optimal 1,200 hours.</w:t>
      </w:r>
    </w:p>
    <w:p>
      <w:pPr>
        <w:keepNext/>
        <w:spacing w:before="160" w:after="80"/>
        <w:jc w:val="left"/>
      </w:pPr>
      <w:r>
        <w:rPr>
          <w:rFonts w:ascii="Times New Roman" w:hAnsi="Times New Roman" w:cs="Times New Roman"/>
          <w:b/>
          <w:i/>
          <w:sz w:val="24"/>
        </w:rPr>
        <w:t>D. Advisory and Knowledge</w:t>
      </w:r>
    </w:p>
    <w:p>
      <w:pPr>
        <w:pStyle w:val="ListBullet"/>
        <w:spacing w:line="360" w:lineRule="auto" w:after="80"/>
        <w:jc w:val="both"/>
      </w:pPr>
      <w:r>
        <w:rPr>
          <w:rFonts w:ascii="Times New Roman" w:hAnsi="Times New Roman" w:cs="Times New Roman"/>
          <w:b w:val="0"/>
          <w:i w:val="0"/>
          <w:sz w:val="24"/>
        </w:rPr>
        <w:t>Krishi Vigyan Kendras and extension officers are stretched thin — one extension worker per 1,200 farmers on average.</w:t>
      </w:r>
    </w:p>
    <w:p>
      <w:pPr>
        <w:pStyle w:val="ListBullet"/>
        <w:spacing w:line="360" w:lineRule="auto" w:after="80"/>
        <w:jc w:val="both"/>
      </w:pPr>
      <w:r>
        <w:rPr>
          <w:rFonts w:ascii="Times New Roman" w:hAnsi="Times New Roman" w:cs="Times New Roman"/>
          <w:b w:val="0"/>
          <w:i w:val="0"/>
          <w:sz w:val="24"/>
        </w:rPr>
        <w:t>Generic advisory rather than hyperlocal, plot-specific guidance.</w:t>
      </w:r>
    </w:p>
    <w:p>
      <w:pPr>
        <w:pStyle w:val="ListBullet"/>
        <w:spacing w:line="360" w:lineRule="auto" w:after="80"/>
        <w:jc w:val="both"/>
      </w:pPr>
      <w:r>
        <w:rPr>
          <w:rFonts w:ascii="Times New Roman" w:hAnsi="Times New Roman" w:cs="Times New Roman"/>
          <w:b w:val="0"/>
          <w:i w:val="0"/>
          <w:sz w:val="24"/>
        </w:rPr>
        <w:t>Rapidly changing climate patterns make traditional knowledge inadequate.</w:t>
      </w:r>
    </w:p>
    <w:p>
      <w:pPr>
        <w:keepNext/>
        <w:spacing w:before="160" w:after="80"/>
        <w:jc w:val="left"/>
      </w:pPr>
      <w:r>
        <w:rPr>
          <w:rFonts w:ascii="Times New Roman" w:hAnsi="Times New Roman" w:cs="Times New Roman"/>
          <w:b/>
          <w:i/>
          <w:sz w:val="24"/>
        </w:rPr>
        <w:t>E. Finance and Risk Management</w:t>
      </w:r>
    </w:p>
    <w:p>
      <w:pPr>
        <w:pStyle w:val="ListBullet"/>
        <w:spacing w:line="360" w:lineRule="auto" w:after="80"/>
        <w:jc w:val="both"/>
      </w:pPr>
      <w:r>
        <w:rPr>
          <w:rFonts w:ascii="Times New Roman" w:hAnsi="Times New Roman" w:cs="Times New Roman"/>
          <w:b w:val="0"/>
          <w:i w:val="0"/>
          <w:sz w:val="24"/>
        </w:rPr>
        <w:t>Smallholders are largely excluded from formal credit due to lack of collateral, leading them to informal moneylenders charging 36 to 60 percent annual interest.</w:t>
      </w:r>
    </w:p>
    <w:p>
      <w:pPr>
        <w:pStyle w:val="ListBullet"/>
        <w:spacing w:line="360" w:lineRule="auto" w:after="80"/>
        <w:jc w:val="both"/>
      </w:pPr>
      <w:r>
        <w:rPr>
          <w:rFonts w:ascii="Times New Roman" w:hAnsi="Times New Roman" w:cs="Times New Roman"/>
          <w:b w:val="0"/>
          <w:i w:val="0"/>
          <w:sz w:val="24"/>
        </w:rPr>
        <w:t>Crop insurance penetration is below 30 percent — unrelieved climatic risk drives farmer suicides.</w:t>
      </w:r>
    </w:p>
    <w:p>
      <w:pPr>
        <w:pStyle w:val="ListBullet"/>
        <w:spacing w:line="360" w:lineRule="auto" w:after="80"/>
        <w:jc w:val="both"/>
      </w:pPr>
      <w:r>
        <w:rPr>
          <w:rFonts w:ascii="Times New Roman" w:hAnsi="Times New Roman" w:cs="Times New Roman"/>
          <w:b w:val="0"/>
          <w:i w:val="0"/>
          <w:sz w:val="24"/>
        </w:rPr>
        <w:t>Inability to absorb shocks — a single bad season pushes households below subsistence.</w:t>
      </w:r>
    </w:p>
    <w:p>
      <w:pPr>
        <w:keepNext/>
        <w:spacing w:before="160" w:after="80"/>
        <w:jc w:val="left"/>
      </w:pPr>
      <w:r>
        <w:rPr>
          <w:rFonts w:ascii="Times New Roman" w:hAnsi="Times New Roman" w:cs="Times New Roman"/>
          <w:b/>
          <w:i/>
          <w:sz w:val="24"/>
        </w:rPr>
        <w:t>F. Logistics and Post-Harvest</w:t>
      </w:r>
    </w:p>
    <w:p>
      <w:pPr>
        <w:pStyle w:val="ListBullet"/>
        <w:spacing w:line="360" w:lineRule="auto" w:after="80"/>
        <w:jc w:val="both"/>
      </w:pPr>
      <w:r>
        <w:rPr>
          <w:rFonts w:ascii="Times New Roman" w:hAnsi="Times New Roman" w:cs="Times New Roman"/>
          <w:b w:val="0"/>
          <w:i w:val="0"/>
          <w:sz w:val="24"/>
        </w:rPr>
        <w:t>30 to 40 percent of perishable produce is lost between farm and consumer due to inadequate cold chain.</w:t>
      </w:r>
    </w:p>
    <w:p>
      <w:pPr>
        <w:pStyle w:val="ListBullet"/>
        <w:spacing w:line="360" w:lineRule="auto" w:after="80"/>
        <w:jc w:val="both"/>
      </w:pPr>
      <w:r>
        <w:rPr>
          <w:rFonts w:ascii="Times New Roman" w:hAnsi="Times New Roman" w:cs="Times New Roman"/>
          <w:b w:val="0"/>
          <w:i w:val="0"/>
          <w:sz w:val="24"/>
        </w:rPr>
        <w:t>Lack of grading, sorting, and traceability infrastructure means premium prices are unattainable.</w:t>
      </w:r>
    </w:p>
    <w:p>
      <w:pPr>
        <w:pStyle w:val="ListBullet"/>
        <w:spacing w:line="360" w:lineRule="auto" w:after="80"/>
        <w:jc w:val="both"/>
      </w:pPr>
      <w:r>
        <w:rPr>
          <w:rFonts w:ascii="Times New Roman" w:hAnsi="Times New Roman" w:cs="Times New Roman"/>
          <w:b w:val="0"/>
          <w:i w:val="0"/>
          <w:sz w:val="24"/>
        </w:rPr>
        <w:t>Logistics quotes are non-transparent — farmers pay 3-4 times the rate available to organised buyers.</w:t>
      </w:r>
    </w:p>
    <w:p>
      <w:pPr>
        <w:keepNext/>
        <w:spacing w:before="240" w:after="160"/>
        <w:jc w:val="left"/>
      </w:pPr>
      <w:r>
        <w:rPr>
          <w:rFonts w:ascii="Times New Roman" w:hAnsi="Times New Roman" w:cs="Times New Roman"/>
          <w:b/>
          <w:i w:val="0"/>
          <w:sz w:val="28"/>
        </w:rPr>
        <w:t>3.3 Relevance — Why Now?</w:t>
      </w:r>
    </w:p>
    <w:p>
      <w:pPr>
        <w:spacing w:line="360" w:lineRule="auto" w:after="160"/>
        <w:jc w:val="both"/>
      </w:pPr>
      <w:r>
        <w:rPr>
          <w:rFonts w:ascii="Times New Roman" w:hAnsi="Times New Roman" w:cs="Times New Roman"/>
          <w:b w:val="0"/>
          <w:i w:val="0"/>
          <w:sz w:val="24"/>
        </w:rPr>
        <w:t>The convergence of multiple forces in 2025-26 makes this the right moment to launch a platform of this kind:</w:t>
      </w:r>
    </w:p>
    <w:p>
      <w:pPr>
        <w:pStyle w:val="ListBullet"/>
        <w:spacing w:line="360" w:lineRule="auto" w:after="80"/>
        <w:jc w:val="both"/>
      </w:pPr>
      <w:r>
        <w:rPr>
          <w:rFonts w:ascii="Times New Roman" w:hAnsi="Times New Roman" w:cs="Times New Roman"/>
          <w:b/>
          <w:i w:val="0"/>
          <w:sz w:val="24"/>
        </w:rPr>
        <w:t>Government allocation of ₹2,817 crore for the Digital Agriculture Mission; live ONDC adapters for agriculture.</w:t>
      </w:r>
      <w:r>
        <w:rPr>
          <w:rFonts w:ascii="Times New Roman" w:hAnsi="Times New Roman" w:cs="Times New Roman"/>
          <w:b w:val="0"/>
          <w:i w:val="0"/>
          <w:sz w:val="24"/>
        </w:rPr>
        <w:t xml:space="preserve">Digital Push: </w:t>
      </w:r>
    </w:p>
    <w:p>
      <w:pPr>
        <w:pStyle w:val="ListBullet"/>
        <w:spacing w:line="360" w:lineRule="auto" w:after="80"/>
        <w:jc w:val="both"/>
      </w:pPr>
      <w:r>
        <w:rPr>
          <w:rFonts w:ascii="Times New Roman" w:hAnsi="Times New Roman" w:cs="Times New Roman"/>
          <w:b/>
          <w:i w:val="0"/>
          <w:sz w:val="24"/>
        </w:rPr>
        <w:t>Crossed 56 percent in rural India and projected to reach 75 percent by 2028.</w:t>
      </w:r>
      <w:r>
        <w:rPr>
          <w:rFonts w:ascii="Times New Roman" w:hAnsi="Times New Roman" w:cs="Times New Roman"/>
          <w:b w:val="0"/>
          <w:i w:val="0"/>
          <w:sz w:val="24"/>
        </w:rPr>
        <w:t xml:space="preserve">Smartphone Penetration: </w:t>
      </w:r>
    </w:p>
    <w:p>
      <w:pPr>
        <w:pStyle w:val="ListBullet"/>
        <w:spacing w:line="360" w:lineRule="auto" w:after="80"/>
        <w:jc w:val="both"/>
      </w:pPr>
      <w:r>
        <w:rPr>
          <w:rFonts w:ascii="Times New Roman" w:hAnsi="Times New Roman" w:cs="Times New Roman"/>
          <w:b/>
          <w:i w:val="0"/>
          <w:sz w:val="24"/>
        </w:rPr>
        <w:t>Erratic monsoons, declining yields, and rising input costs create urgent demand for data-driven precision tools.</w:t>
      </w:r>
      <w:r>
        <w:rPr>
          <w:rFonts w:ascii="Times New Roman" w:hAnsi="Times New Roman" w:cs="Times New Roman"/>
          <w:b w:val="0"/>
          <w:i w:val="0"/>
          <w:sz w:val="24"/>
        </w:rPr>
        <w:t xml:space="preserve">Climate Pressure: </w:t>
      </w:r>
    </w:p>
    <w:p>
      <w:pPr>
        <w:pStyle w:val="ListBullet"/>
        <w:spacing w:line="360" w:lineRule="auto" w:after="80"/>
        <w:jc w:val="both"/>
      </w:pPr>
      <w:r>
        <w:rPr>
          <w:rFonts w:ascii="Times New Roman" w:hAnsi="Times New Roman" w:cs="Times New Roman"/>
          <w:b/>
          <w:i w:val="0"/>
          <w:sz w:val="24"/>
        </w:rPr>
        <w:t>The average age of an Indian farmer is now 51 years; without making farming profitable and tech-enabled, the next generation will abandon the profession.</w:t>
      </w:r>
      <w:r>
        <w:rPr>
          <w:rFonts w:ascii="Times New Roman" w:hAnsi="Times New Roman" w:cs="Times New Roman"/>
          <w:b w:val="0"/>
          <w:i w:val="0"/>
          <w:sz w:val="24"/>
        </w:rPr>
        <w:t xml:space="preserve">Demographic Shift: </w:t>
      </w:r>
    </w:p>
    <w:p>
      <w:pPr>
        <w:pStyle w:val="ListBullet"/>
        <w:spacing w:line="360" w:lineRule="auto" w:after="80"/>
        <w:jc w:val="both"/>
      </w:pPr>
      <w:r>
        <w:rPr>
          <w:rFonts w:ascii="Times New Roman" w:hAnsi="Times New Roman" w:cs="Times New Roman"/>
          <w:b/>
          <w:i w:val="0"/>
          <w:sz w:val="24"/>
        </w:rPr>
        <w:t>USD 2.4 billion was invested in Indian Agri-Tech in FY 2024-25, signalling clear capital availability.</w:t>
      </w:r>
      <w:r>
        <w:rPr>
          <w:rFonts w:ascii="Times New Roman" w:hAnsi="Times New Roman" w:cs="Times New Roman"/>
          <w:b w:val="0"/>
          <w:i w:val="0"/>
          <w:sz w:val="24"/>
        </w:rPr>
        <w:t xml:space="preserve">Investor Appetite: </w:t>
      </w:r>
    </w:p>
    <w:p>
      <w:pPr>
        <w:pStyle w:val="ListBullet"/>
        <w:spacing w:line="360" w:lineRule="auto" w:after="80"/>
        <w:jc w:val="both"/>
      </w:pPr>
      <w:r>
        <w:rPr>
          <w:rFonts w:ascii="Times New Roman" w:hAnsi="Times New Roman" w:cs="Times New Roman"/>
          <w:b/>
          <w:i w:val="0"/>
          <w:sz w:val="24"/>
        </w:rPr>
        <w:t>On-device inference and open-source models have reduced AI deployment costs by 80 percent over the last three years.</w:t>
      </w:r>
      <w:r>
        <w:rPr>
          <w:rFonts w:ascii="Times New Roman" w:hAnsi="Times New Roman" w:cs="Times New Roman"/>
          <w:b w:val="0"/>
          <w:i w:val="0"/>
          <w:sz w:val="24"/>
        </w:rPr>
        <w:t xml:space="preserve">AI Cost Curve: </w:t>
      </w:r>
    </w:p>
    <w:p>
      <w:pPr>
        <w:keepNext/>
        <w:spacing w:before="240" w:after="160"/>
        <w:jc w:val="left"/>
      </w:pPr>
      <w:r>
        <w:rPr>
          <w:rFonts w:ascii="Times New Roman" w:hAnsi="Times New Roman" w:cs="Times New Roman"/>
          <w:b/>
          <w:i w:val="0"/>
          <w:sz w:val="28"/>
        </w:rPr>
        <w:t>3.4 Target Audience</w:t>
      </w:r>
    </w:p>
    <w:p>
      <w:pPr>
        <w:keepNext/>
        <w:spacing w:before="160" w:after="80"/>
        <w:jc w:val="left"/>
      </w:pPr>
      <w:r>
        <w:rPr>
          <w:rFonts w:ascii="Times New Roman" w:hAnsi="Times New Roman" w:cs="Times New Roman"/>
          <w:b/>
          <w:i/>
          <w:sz w:val="24"/>
        </w:rPr>
        <w:t>A. Primary Users — Farmers</w:t>
      </w:r>
    </w:p>
    <w:p>
      <w:pPr>
        <w:pStyle w:val="ListBullet"/>
        <w:spacing w:line="360" w:lineRule="auto" w:after="80"/>
        <w:jc w:val="both"/>
      </w:pPr>
      <w:r>
        <w:rPr>
          <w:rFonts w:ascii="Times New Roman" w:hAnsi="Times New Roman" w:cs="Times New Roman"/>
          <w:b w:val="0"/>
          <w:i w:val="0"/>
          <w:sz w:val="24"/>
        </w:rPr>
        <w:t>Smallholder and marginal farmers (1-4 acres) across Uttar Pradesh, Madhya Pradesh, Bihar, Maharashtra, Karnataka, and other agrarian states.</w:t>
      </w:r>
    </w:p>
    <w:p>
      <w:pPr>
        <w:pStyle w:val="ListBullet"/>
        <w:spacing w:line="360" w:lineRule="auto" w:after="80"/>
        <w:jc w:val="both"/>
      </w:pPr>
      <w:r>
        <w:rPr>
          <w:rFonts w:ascii="Times New Roman" w:hAnsi="Times New Roman" w:cs="Times New Roman"/>
          <w:b w:val="0"/>
          <w:i w:val="0"/>
          <w:sz w:val="24"/>
        </w:rPr>
        <w:t>Farmer Producer Organisations (FPOs) and Primary Agricultural Cooperatives.</w:t>
      </w:r>
    </w:p>
    <w:p>
      <w:pPr>
        <w:pStyle w:val="ListBullet"/>
        <w:spacing w:line="360" w:lineRule="auto" w:after="80"/>
        <w:jc w:val="both"/>
      </w:pPr>
      <w:r>
        <w:rPr>
          <w:rFonts w:ascii="Times New Roman" w:hAnsi="Times New Roman" w:cs="Times New Roman"/>
          <w:b w:val="0"/>
          <w:i w:val="0"/>
          <w:sz w:val="24"/>
        </w:rPr>
        <w:t>Progressive medium-large farmers who own equipment and seek to monetise it.</w:t>
      </w:r>
    </w:p>
    <w:p>
      <w:pPr>
        <w:keepNext/>
        <w:spacing w:before="160" w:after="80"/>
        <w:jc w:val="left"/>
      </w:pPr>
      <w:r>
        <w:rPr>
          <w:rFonts w:ascii="Times New Roman" w:hAnsi="Times New Roman" w:cs="Times New Roman"/>
          <w:b/>
          <w:i/>
          <w:sz w:val="24"/>
        </w:rPr>
        <w:t>B. Secondary Users — Buyers</w:t>
      </w:r>
    </w:p>
    <w:p>
      <w:pPr>
        <w:pStyle w:val="ListBullet"/>
        <w:spacing w:line="360" w:lineRule="auto" w:after="80"/>
        <w:jc w:val="both"/>
      </w:pPr>
      <w:r>
        <w:rPr>
          <w:rFonts w:ascii="Times New Roman" w:hAnsi="Times New Roman" w:cs="Times New Roman"/>
          <w:b w:val="0"/>
          <w:i w:val="0"/>
          <w:sz w:val="24"/>
        </w:rPr>
        <w:t>Wholesalers and traders in mandis seeking traceable, graded supply.</w:t>
      </w:r>
    </w:p>
    <w:p>
      <w:pPr>
        <w:pStyle w:val="ListBullet"/>
        <w:spacing w:line="360" w:lineRule="auto" w:after="80"/>
        <w:jc w:val="both"/>
      </w:pPr>
      <w:r>
        <w:rPr>
          <w:rFonts w:ascii="Times New Roman" w:hAnsi="Times New Roman" w:cs="Times New Roman"/>
          <w:b w:val="0"/>
          <w:i w:val="0"/>
          <w:sz w:val="24"/>
        </w:rPr>
        <w:t>Food-processing companies (ITC, Britannia, Patanjali, Nestlé, ADM).</w:t>
      </w:r>
    </w:p>
    <w:p>
      <w:pPr>
        <w:pStyle w:val="ListBullet"/>
        <w:spacing w:line="360" w:lineRule="auto" w:after="80"/>
        <w:jc w:val="both"/>
      </w:pPr>
      <w:r>
        <w:rPr>
          <w:rFonts w:ascii="Times New Roman" w:hAnsi="Times New Roman" w:cs="Times New Roman"/>
          <w:b w:val="0"/>
          <w:i w:val="0"/>
          <w:sz w:val="24"/>
        </w:rPr>
        <w:t>Quick-commerce and modern retail (BigBasket, Zepto, Reliance Smart, DMart).</w:t>
      </w:r>
    </w:p>
    <w:p>
      <w:pPr>
        <w:pStyle w:val="ListBullet"/>
        <w:spacing w:line="360" w:lineRule="auto" w:after="80"/>
        <w:jc w:val="both"/>
      </w:pPr>
      <w:r>
        <w:rPr>
          <w:rFonts w:ascii="Times New Roman" w:hAnsi="Times New Roman" w:cs="Times New Roman"/>
          <w:b w:val="0"/>
          <w:i w:val="0"/>
          <w:sz w:val="24"/>
        </w:rPr>
        <w:t>HoReCa segment — hotels, cloud kitchens, restaurant chains.</w:t>
      </w:r>
    </w:p>
    <w:p>
      <w:pPr>
        <w:pStyle w:val="ListBullet"/>
        <w:spacing w:line="360" w:lineRule="auto" w:after="80"/>
        <w:jc w:val="both"/>
      </w:pPr>
      <w:r>
        <w:rPr>
          <w:rFonts w:ascii="Times New Roman" w:hAnsi="Times New Roman" w:cs="Times New Roman"/>
          <w:b w:val="0"/>
          <w:i w:val="0"/>
          <w:sz w:val="24"/>
        </w:rPr>
        <w:t>Direct-to-consumer urban households seeking farm-fresh, organic produce.</w:t>
      </w:r>
    </w:p>
    <w:p>
      <w:pPr>
        <w:pStyle w:val="ListBullet"/>
        <w:spacing w:line="360" w:lineRule="auto" w:after="80"/>
        <w:jc w:val="both"/>
      </w:pPr>
      <w:r>
        <w:rPr>
          <w:rFonts w:ascii="Times New Roman" w:hAnsi="Times New Roman" w:cs="Times New Roman"/>
          <w:b w:val="0"/>
          <w:i w:val="0"/>
          <w:sz w:val="24"/>
        </w:rPr>
        <w:t>Exporters of basmati, spices, mango, banana, and organic certified produce.</w:t>
      </w:r>
    </w:p>
    <w:p>
      <w:pPr>
        <w:keepNext/>
        <w:spacing w:before="160" w:after="80"/>
        <w:jc w:val="left"/>
      </w:pPr>
      <w:r>
        <w:rPr>
          <w:rFonts w:ascii="Times New Roman" w:hAnsi="Times New Roman" w:cs="Times New Roman"/>
          <w:b/>
          <w:i/>
          <w:sz w:val="24"/>
        </w:rPr>
        <w:t>C. Tertiary Stakeholders</w:t>
      </w:r>
    </w:p>
    <w:p>
      <w:pPr>
        <w:pStyle w:val="ListBullet"/>
        <w:spacing w:line="360" w:lineRule="auto" w:after="80"/>
        <w:jc w:val="both"/>
      </w:pPr>
      <w:r>
        <w:rPr>
          <w:rFonts w:ascii="Times New Roman" w:hAnsi="Times New Roman" w:cs="Times New Roman"/>
          <w:b w:val="0"/>
          <w:i w:val="0"/>
          <w:sz w:val="24"/>
        </w:rPr>
        <w:t>Banks, NBFCs, and insurance providers offering agri-credit and crop insurance.</w:t>
      </w:r>
    </w:p>
    <w:p>
      <w:pPr>
        <w:pStyle w:val="ListBullet"/>
        <w:spacing w:line="360" w:lineRule="auto" w:after="80"/>
        <w:jc w:val="both"/>
      </w:pPr>
      <w:r>
        <w:rPr>
          <w:rFonts w:ascii="Times New Roman" w:hAnsi="Times New Roman" w:cs="Times New Roman"/>
          <w:b w:val="0"/>
          <w:i w:val="0"/>
          <w:sz w:val="24"/>
        </w:rPr>
        <w:t>Logistics partners, cold-chain operators, and warehousing networks.</w:t>
      </w:r>
    </w:p>
    <w:p>
      <w:pPr>
        <w:pStyle w:val="ListBullet"/>
        <w:spacing w:line="360" w:lineRule="auto" w:after="80"/>
        <w:jc w:val="both"/>
      </w:pPr>
      <w:r>
        <w:rPr>
          <w:rFonts w:ascii="Times New Roman" w:hAnsi="Times New Roman" w:cs="Times New Roman"/>
          <w:b w:val="0"/>
          <w:i w:val="0"/>
          <w:sz w:val="24"/>
        </w:rPr>
        <w:t>Government agencies operating e-NAM, PM-KISAN, and PMFBY.</w:t>
      </w:r>
    </w:p>
    <w:p>
      <w:pPr>
        <w:pStyle w:val="ListBullet"/>
        <w:spacing w:line="360" w:lineRule="auto" w:after="80"/>
        <w:jc w:val="both"/>
      </w:pPr>
      <w:r>
        <w:rPr>
          <w:rFonts w:ascii="Times New Roman" w:hAnsi="Times New Roman" w:cs="Times New Roman"/>
          <w:b w:val="0"/>
          <w:i w:val="0"/>
          <w:sz w:val="24"/>
        </w:rPr>
        <w:t>Agri-input manufacturers seeking direct-to-farmer reach.</w:t>
      </w:r>
    </w:p>
    <w:p>
      <w:pPr>
        <w:keepNext/>
        <w:spacing w:before="240" w:after="160"/>
        <w:jc w:val="left"/>
      </w:pPr>
      <w:r>
        <w:rPr>
          <w:rFonts w:ascii="Times New Roman" w:hAnsi="Times New Roman" w:cs="Times New Roman"/>
          <w:b/>
          <w:i w:val="0"/>
          <w:sz w:val="28"/>
        </w:rPr>
        <w:t>3.5 User Personas</w:t>
      </w:r>
    </w:p>
    <w:p>
      <w:pPr>
        <w:keepNext/>
        <w:spacing w:before="160" w:after="80"/>
        <w:jc w:val="left"/>
      </w:pPr>
      <w:r>
        <w:rPr>
          <w:rFonts w:ascii="Times New Roman" w:hAnsi="Times New Roman" w:cs="Times New Roman"/>
          <w:b/>
          <w:i/>
          <w:sz w:val="24"/>
        </w:rPr>
        <w:t>Persona 1 — Ramesh, 42, Smallholder in Bundelkhand (UP)</w:t>
      </w:r>
    </w:p>
    <w:p>
      <w:pPr>
        <w:spacing w:line="360" w:lineRule="auto" w:after="160"/>
        <w:jc w:val="both"/>
      </w:pPr>
      <w:r>
        <w:rPr>
          <w:rFonts w:ascii="Times New Roman" w:hAnsi="Times New Roman" w:cs="Times New Roman"/>
          <w:b w:val="0"/>
          <w:i w:val="0"/>
          <w:sz w:val="24"/>
        </w:rPr>
        <w:t>Owns 2.5 acres, cultivates wheat (Rabi) and pigeon pea (Kharif). Has a basic Android smartphone, uses WhatsApp and YouTube. Sells produce to a local commission agent at the nearest mandi 18 km away. Earns approximately ₹95,000 per year from agriculture and is in debt to a local moneylender. Pain points: no price visibility, dependence on the agent, uncertainty about input quality. KrishiConnect value: 22 percent higher realisation, ₹15,000 saved annually on inputs, access to formal credit at 12 percent rather than 36 percent.</w:t>
      </w:r>
    </w:p>
    <w:p>
      <w:pPr>
        <w:keepNext/>
        <w:spacing w:before="160" w:after="80"/>
        <w:jc w:val="left"/>
      </w:pPr>
      <w:r>
        <w:rPr>
          <w:rFonts w:ascii="Times New Roman" w:hAnsi="Times New Roman" w:cs="Times New Roman"/>
          <w:b/>
          <w:i/>
          <w:sz w:val="24"/>
        </w:rPr>
        <w:t>Persona 2 — Sunita, 35, FPO Coordinator in Vidarbha (Maharashtra)</w:t>
      </w:r>
    </w:p>
    <w:p>
      <w:pPr>
        <w:spacing w:line="360" w:lineRule="auto" w:after="160"/>
        <w:jc w:val="both"/>
      </w:pPr>
      <w:r>
        <w:rPr>
          <w:rFonts w:ascii="Times New Roman" w:hAnsi="Times New Roman" w:cs="Times New Roman"/>
          <w:b w:val="0"/>
          <w:i w:val="0"/>
          <w:sz w:val="24"/>
        </w:rPr>
        <w:t>Coordinates an FPO of 280 cotton farmers. Tech-savvy, uses spreadsheets and basic CRM. Pain point: aggregating produce, finding consistent buyers, and managing payments to individual farmers. KrishiConnect value: digital aggregation tools, direct buyer access, and automated split-payments to FPO members.</w:t>
      </w:r>
    </w:p>
    <w:p>
      <w:pPr>
        <w:keepNext/>
        <w:spacing w:before="160" w:after="80"/>
        <w:jc w:val="left"/>
      </w:pPr>
      <w:r>
        <w:rPr>
          <w:rFonts w:ascii="Times New Roman" w:hAnsi="Times New Roman" w:cs="Times New Roman"/>
          <w:b/>
          <w:i/>
          <w:sz w:val="24"/>
        </w:rPr>
        <w:t>Persona 3 — Vinod, 28, Buyer / Wholesaler in Mumbai</w:t>
      </w:r>
    </w:p>
    <w:p>
      <w:pPr>
        <w:spacing w:line="360" w:lineRule="auto" w:after="160"/>
        <w:jc w:val="both"/>
      </w:pPr>
      <w:r>
        <w:rPr>
          <w:rFonts w:ascii="Times New Roman" w:hAnsi="Times New Roman" w:cs="Times New Roman"/>
          <w:b w:val="0"/>
          <w:i w:val="0"/>
          <w:sz w:val="24"/>
        </w:rPr>
        <w:t>Runs a fruit-and-vegetable wholesale business serving 60 retail shops. Currently sources from APMC mandis with high price volatility and uneven quality. Pain point: unpredictable supply, no grading, no traceability. KrishiConnect value: predictable supply, in-app grading, traceability for export-grade requirements, 10 to 15 percent lower procurement cost.</w:t>
      </w:r>
    </w:p>
    <w:p>
      <w:r>
        <w:br w:type="page"/>
      </w:r>
    </w:p>
    <w:p>
      <w:pPr>
        <w:keepNext/>
        <w:spacing w:before="360" w:after="280"/>
        <w:jc w:val="left"/>
      </w:pPr>
      <w:r>
        <w:rPr>
          <w:rFonts w:ascii="Times New Roman" w:hAnsi="Times New Roman" w:cs="Times New Roman"/>
          <w:b/>
          <w:i w:val="0"/>
          <w:sz w:val="32"/>
        </w:rPr>
        <w:t>4. Innovation and Creativity</w:t>
      </w:r>
    </w:p>
    <w:p>
      <w:pPr>
        <w:keepNext/>
        <w:spacing w:before="240" w:after="160"/>
        <w:jc w:val="left"/>
      </w:pPr>
      <w:r>
        <w:rPr>
          <w:rFonts w:ascii="Times New Roman" w:hAnsi="Times New Roman" w:cs="Times New Roman"/>
          <w:b/>
          <w:i w:val="0"/>
          <w:sz w:val="28"/>
        </w:rPr>
        <w:t>4.1 Unique Selling Propositions (USPs)</w:t>
      </w:r>
    </w:p>
    <w:p>
      <w:pPr>
        <w:spacing w:line="360" w:lineRule="auto" w:after="160"/>
        <w:jc w:val="both"/>
      </w:pPr>
      <w:r>
        <w:rPr>
          <w:rFonts w:ascii="Times New Roman" w:hAnsi="Times New Roman" w:cs="Times New Roman"/>
          <w:b w:val="0"/>
          <w:i w:val="0"/>
          <w:sz w:val="24"/>
        </w:rPr>
        <w:t>KrishiConnect is differentiated from existing Agri-Tech players in five major dimensions:</w:t>
      </w:r>
    </w:p>
    <w:p>
      <w:pPr>
        <w:pStyle w:val="ListBullet"/>
        <w:spacing w:line="360" w:lineRule="auto" w:after="80"/>
        <w:jc w:val="both"/>
      </w:pPr>
      <w:r>
        <w:rPr>
          <w:rFonts w:ascii="Times New Roman" w:hAnsi="Times New Roman" w:cs="Times New Roman"/>
          <w:b/>
          <w:i w:val="0"/>
          <w:sz w:val="24"/>
        </w:rPr>
        <w:t>Unlike DeHaat or Ninjacart that rely heavily on text and English/Hindi, KrishiConnect supports 11 Indian languages including dialect-aware speech recognition (Awadhi, Bhojpuri, Marathi, Bundeli, Telugu) using on-device models — enabling access for low-literacy farmers without requiring data connectivity.</w:t>
      </w:r>
      <w:r>
        <w:rPr>
          <w:rFonts w:ascii="Times New Roman" w:hAnsi="Times New Roman" w:cs="Times New Roman"/>
          <w:b w:val="0"/>
          <w:i w:val="0"/>
          <w:sz w:val="24"/>
        </w:rPr>
        <w:t xml:space="preserve">Hyperlocal Vernacular Voice-First Interface — </w:t>
      </w:r>
    </w:p>
    <w:p>
      <w:pPr>
        <w:pStyle w:val="ListBullet"/>
        <w:spacing w:line="360" w:lineRule="auto" w:after="80"/>
        <w:jc w:val="both"/>
      </w:pPr>
      <w:r>
        <w:rPr>
          <w:rFonts w:ascii="Times New Roman" w:hAnsi="Times New Roman" w:cs="Times New Roman"/>
          <w:b/>
          <w:i w:val="0"/>
          <w:sz w:val="24"/>
        </w:rPr>
        <w:t>Farmers click a photo of an infected leaf, fruit, or pest, and an in-app computer-vision model trained on 2 million labelled images instantly diagnoses the disease, estimates infection severity, and recommends an optimal treatment plan with dosage. The model works offline and supports over 220 crop diseases across the 30 most important Indian crops.</w:t>
      </w:r>
      <w:r>
        <w:rPr>
          <w:rFonts w:ascii="Times New Roman" w:hAnsi="Times New Roman" w:cs="Times New Roman"/>
          <w:b w:val="0"/>
          <w:i w:val="0"/>
          <w:sz w:val="24"/>
        </w:rPr>
        <w:t xml:space="preserve">AI-Powered Crop Doctor — </w:t>
      </w:r>
    </w:p>
    <w:p>
      <w:pPr>
        <w:pStyle w:val="ListBullet"/>
        <w:spacing w:line="360" w:lineRule="auto" w:after="80"/>
        <w:jc w:val="both"/>
      </w:pPr>
      <w:r>
        <w:rPr>
          <w:rFonts w:ascii="Times New Roman" w:hAnsi="Times New Roman" w:cs="Times New Roman"/>
          <w:b/>
          <w:i w:val="0"/>
          <w:sz w:val="24"/>
        </w:rPr>
        <w:t>Instead of farmers chasing buyers, verified buyers compete for the produce by placing bids. Pilot studies show this mechanism drives final prices 18 to 22 percent above mandi rates.</w:t>
      </w:r>
      <w:r>
        <w:rPr>
          <w:rFonts w:ascii="Times New Roman" w:hAnsi="Times New Roman" w:cs="Times New Roman"/>
          <w:b w:val="0"/>
          <w:i w:val="0"/>
          <w:sz w:val="24"/>
        </w:rPr>
        <w:t xml:space="preserve">Reverse-Auction Buyer Model — </w:t>
      </w:r>
    </w:p>
    <w:p>
      <w:pPr>
        <w:pStyle w:val="ListBullet"/>
        <w:spacing w:line="360" w:lineRule="auto" w:after="80"/>
        <w:jc w:val="both"/>
      </w:pPr>
      <w:r>
        <w:rPr>
          <w:rFonts w:ascii="Times New Roman" w:hAnsi="Times New Roman" w:cs="Times New Roman"/>
          <w:b/>
          <w:i w:val="0"/>
          <w:sz w:val="24"/>
        </w:rPr>
        <w:t>Tractors, harvesters, drone-sprayers, and laser levellers are listed by their owners and rented hourly via in-app booking, much like "Uber for Tractors". Owners earn supplementary income; small farmers gain access to mechanisation they could never afford to own.</w:t>
      </w:r>
      <w:r>
        <w:rPr>
          <w:rFonts w:ascii="Times New Roman" w:hAnsi="Times New Roman" w:cs="Times New Roman"/>
          <w:b w:val="0"/>
          <w:i w:val="0"/>
          <w:sz w:val="24"/>
        </w:rPr>
        <w:t xml:space="preserve">Equipment-as-a-Service (EaaS) — </w:t>
      </w:r>
    </w:p>
    <w:p>
      <w:pPr>
        <w:pStyle w:val="ListBullet"/>
        <w:spacing w:line="360" w:lineRule="auto" w:after="80"/>
        <w:jc w:val="both"/>
      </w:pPr>
      <w:r>
        <w:rPr>
          <w:rFonts w:ascii="Times New Roman" w:hAnsi="Times New Roman" w:cs="Times New Roman"/>
          <w:b/>
          <w:i w:val="0"/>
          <w:sz w:val="24"/>
        </w:rPr>
        <w:t>Based on the farmer's on-platform transaction history, soil health, crop type, and satellite imagery, partner NBFCs offer instant kisan-credit at interest rates 4 to 6 percentage points lower than informal lenders, with no traditional collateral required.</w:t>
      </w:r>
      <w:r>
        <w:rPr>
          <w:rFonts w:ascii="Times New Roman" w:hAnsi="Times New Roman" w:cs="Times New Roman"/>
          <w:b w:val="0"/>
          <w:i w:val="0"/>
          <w:sz w:val="24"/>
        </w:rPr>
        <w:t xml:space="preserve">Embedded Agri-Finance — </w:t>
      </w:r>
    </w:p>
    <w:p>
      <w:pPr>
        <w:keepNext/>
        <w:spacing w:before="240" w:after="160"/>
        <w:jc w:val="left"/>
      </w:pPr>
      <w:r>
        <w:rPr>
          <w:rFonts w:ascii="Times New Roman" w:hAnsi="Times New Roman" w:cs="Times New Roman"/>
          <w:b/>
          <w:i w:val="0"/>
          <w:sz w:val="28"/>
        </w:rPr>
        <w:t>4.2 Innovation Factor — Technology Stack</w:t>
      </w:r>
    </w:p>
    <w:p>
      <w:pPr>
        <w:spacing w:line="360" w:lineRule="auto" w:after="160"/>
        <w:jc w:val="both"/>
      </w:pPr>
      <w:r>
        <w:rPr>
          <w:rFonts w:ascii="Times New Roman" w:hAnsi="Times New Roman" w:cs="Times New Roman"/>
          <w:b w:val="0"/>
          <w:i w:val="0"/>
          <w:sz w:val="24"/>
        </w:rPr>
        <w:t>KrishiConnect combines multiple emerging technologies into a coherent, farmer-centric stack:</w:t>
      </w:r>
    </w:p>
    <w:p>
      <w:pPr>
        <w:keepNext/>
        <w:spacing w:before="160" w:after="80"/>
        <w:jc w:val="left"/>
      </w:pPr>
      <w:r>
        <w:rPr>
          <w:rFonts w:ascii="Times New Roman" w:hAnsi="Times New Roman" w:cs="Times New Roman"/>
          <w:b/>
          <w:i/>
          <w:sz w:val="24"/>
        </w:rPr>
        <w:t>A. Artificial Intelligence and Machine Learning</w:t>
      </w:r>
    </w:p>
    <w:p>
      <w:pPr>
        <w:pStyle w:val="ListBullet"/>
        <w:spacing w:line="360" w:lineRule="auto" w:after="80"/>
        <w:jc w:val="both"/>
      </w:pPr>
      <w:r>
        <w:rPr>
          <w:rFonts w:ascii="Times New Roman" w:hAnsi="Times New Roman" w:cs="Times New Roman"/>
          <w:b w:val="0"/>
          <w:i w:val="0"/>
          <w:sz w:val="24"/>
        </w:rPr>
        <w:t>Convolutional Neural Networks (CNNs) for crop disease detection — built on a custom architecture optimised for low-end Android devices via TensorFlow Lite.</w:t>
      </w:r>
    </w:p>
    <w:p>
      <w:pPr>
        <w:pStyle w:val="ListBullet"/>
        <w:spacing w:line="360" w:lineRule="auto" w:after="80"/>
        <w:jc w:val="both"/>
      </w:pPr>
      <w:r>
        <w:rPr>
          <w:rFonts w:ascii="Times New Roman" w:hAnsi="Times New Roman" w:cs="Times New Roman"/>
          <w:b w:val="0"/>
          <w:i w:val="0"/>
          <w:sz w:val="24"/>
        </w:rPr>
        <w:t>Demand-forecasting models that predict mandi prices 14 days in advance using LSTM (Long Short-Term Memory) networks fed with historical price, weather, and satellite data, achieving more than 82 percent accuracy in pilot back-tests.</w:t>
      </w:r>
    </w:p>
    <w:p>
      <w:pPr>
        <w:pStyle w:val="ListBullet"/>
        <w:spacing w:line="360" w:lineRule="auto" w:after="80"/>
        <w:jc w:val="both"/>
      </w:pPr>
      <w:r>
        <w:rPr>
          <w:rFonts w:ascii="Times New Roman" w:hAnsi="Times New Roman" w:cs="Times New Roman"/>
          <w:b w:val="0"/>
          <w:i w:val="0"/>
          <w:sz w:val="24"/>
        </w:rPr>
        <w:t>Recommendation engines for crop selection based on soil tests, weather forecasts, and market price predictions — using collaborative filtering and gradient-boosted trees.</w:t>
      </w:r>
    </w:p>
    <w:p>
      <w:pPr>
        <w:pStyle w:val="ListBullet"/>
        <w:spacing w:line="360" w:lineRule="auto" w:after="80"/>
        <w:jc w:val="both"/>
      </w:pPr>
      <w:r>
        <w:rPr>
          <w:rFonts w:ascii="Times New Roman" w:hAnsi="Times New Roman" w:cs="Times New Roman"/>
          <w:b w:val="0"/>
          <w:i w:val="0"/>
          <w:sz w:val="24"/>
        </w:rPr>
        <w:t>Personalised advisory using a fine-tuned open-source large language model ("KrishiSakhi") that converses in regional languages and cites authoritative sources from ICAR research.</w:t>
      </w:r>
    </w:p>
    <w:p>
      <w:pPr>
        <w:keepNext/>
        <w:spacing w:before="160" w:after="80"/>
        <w:jc w:val="left"/>
      </w:pPr>
      <w:r>
        <w:rPr>
          <w:rFonts w:ascii="Times New Roman" w:hAnsi="Times New Roman" w:cs="Times New Roman"/>
          <w:b/>
          <w:i/>
          <w:sz w:val="24"/>
        </w:rPr>
        <w:t>B. Internet of Things (IoT)</w:t>
      </w:r>
    </w:p>
    <w:p>
      <w:pPr>
        <w:pStyle w:val="ListBullet"/>
        <w:spacing w:line="360" w:lineRule="auto" w:after="80"/>
        <w:jc w:val="both"/>
      </w:pPr>
      <w:r>
        <w:rPr>
          <w:rFonts w:ascii="Times New Roman" w:hAnsi="Times New Roman" w:cs="Times New Roman"/>
          <w:b w:val="0"/>
          <w:i w:val="0"/>
          <w:sz w:val="24"/>
        </w:rPr>
        <w:t>Low-cost LoRaWAN soil-moisture, temperature, EC, and pH sensors at approximately ₹1,500 per unit — feeding real-time farm data to the platform every 30 minutes.</w:t>
      </w:r>
    </w:p>
    <w:p>
      <w:pPr>
        <w:pStyle w:val="ListBullet"/>
        <w:spacing w:line="360" w:lineRule="auto" w:after="80"/>
        <w:jc w:val="both"/>
      </w:pPr>
      <w:r>
        <w:rPr>
          <w:rFonts w:ascii="Times New Roman" w:hAnsi="Times New Roman" w:cs="Times New Roman"/>
          <w:b w:val="0"/>
          <w:i w:val="0"/>
          <w:sz w:val="24"/>
        </w:rPr>
        <w:t>Solar-powered weather mini-stations for FPO-level deployment.</w:t>
      </w:r>
    </w:p>
    <w:p>
      <w:pPr>
        <w:pStyle w:val="ListBullet"/>
        <w:spacing w:line="360" w:lineRule="auto" w:after="80"/>
        <w:jc w:val="both"/>
      </w:pPr>
      <w:r>
        <w:rPr>
          <w:rFonts w:ascii="Times New Roman" w:hAnsi="Times New Roman" w:cs="Times New Roman"/>
          <w:b w:val="0"/>
          <w:i w:val="0"/>
          <w:sz w:val="24"/>
        </w:rPr>
        <w:t>Bluetooth-enabled grading scales for FPO collection centres, sending weight and quality data directly to the platform.</w:t>
      </w:r>
    </w:p>
    <w:p>
      <w:pPr>
        <w:keepNext/>
        <w:spacing w:before="160" w:after="80"/>
        <w:jc w:val="left"/>
      </w:pPr>
      <w:r>
        <w:rPr>
          <w:rFonts w:ascii="Times New Roman" w:hAnsi="Times New Roman" w:cs="Times New Roman"/>
          <w:b/>
          <w:i/>
          <w:sz w:val="24"/>
        </w:rPr>
        <w:t>C. Blockchain for Traceability</w:t>
      </w:r>
    </w:p>
    <w:p>
      <w:pPr>
        <w:pStyle w:val="ListBullet"/>
        <w:spacing w:line="360" w:lineRule="auto" w:after="80"/>
        <w:jc w:val="both"/>
      </w:pPr>
      <w:r>
        <w:rPr>
          <w:rFonts w:ascii="Times New Roman" w:hAnsi="Times New Roman" w:cs="Times New Roman"/>
          <w:b w:val="0"/>
          <w:i w:val="0"/>
          <w:sz w:val="24"/>
        </w:rPr>
        <w:t>Each produce batch is assigned a QR-linked digital passport stored on a permissioned Hyperledger Fabric network.</w:t>
      </w:r>
    </w:p>
    <w:p>
      <w:pPr>
        <w:pStyle w:val="ListBullet"/>
        <w:spacing w:line="360" w:lineRule="auto" w:after="80"/>
        <w:jc w:val="both"/>
      </w:pPr>
      <w:r>
        <w:rPr>
          <w:rFonts w:ascii="Times New Roman" w:hAnsi="Times New Roman" w:cs="Times New Roman"/>
          <w:b w:val="0"/>
          <w:i w:val="0"/>
          <w:sz w:val="24"/>
        </w:rPr>
        <w:t>Buyers can trace produce from seed to shelf, supporting export-grade compliance and premium organic pricing.</w:t>
      </w:r>
    </w:p>
    <w:p>
      <w:pPr>
        <w:pStyle w:val="ListBullet"/>
        <w:spacing w:line="360" w:lineRule="auto" w:after="80"/>
        <w:jc w:val="both"/>
      </w:pPr>
      <w:r>
        <w:rPr>
          <w:rFonts w:ascii="Times New Roman" w:hAnsi="Times New Roman" w:cs="Times New Roman"/>
          <w:b w:val="0"/>
          <w:i w:val="0"/>
          <w:sz w:val="24"/>
        </w:rPr>
        <w:t>Blockchain-based smart contracts automate payment release on delivery confirmation.</w:t>
      </w:r>
    </w:p>
    <w:p>
      <w:pPr>
        <w:keepNext/>
        <w:spacing w:before="160" w:after="80"/>
        <w:jc w:val="left"/>
      </w:pPr>
      <w:r>
        <w:rPr>
          <w:rFonts w:ascii="Times New Roman" w:hAnsi="Times New Roman" w:cs="Times New Roman"/>
          <w:b/>
          <w:i/>
          <w:sz w:val="24"/>
        </w:rPr>
        <w:t>D. Satellite and Drone Imagery</w:t>
      </w:r>
    </w:p>
    <w:p>
      <w:pPr>
        <w:pStyle w:val="ListBullet"/>
        <w:spacing w:line="360" w:lineRule="auto" w:after="80"/>
        <w:jc w:val="both"/>
      </w:pPr>
      <w:r>
        <w:rPr>
          <w:rFonts w:ascii="Times New Roman" w:hAnsi="Times New Roman" w:cs="Times New Roman"/>
          <w:b w:val="0"/>
          <w:i w:val="0"/>
          <w:sz w:val="24"/>
        </w:rPr>
        <w:t>Integration with ISRO Bhuvan and ESA Sentinel-2 imagery for NDVI-based crop-health monitoring at 10-metre resolution.</w:t>
      </w:r>
    </w:p>
    <w:p>
      <w:pPr>
        <w:pStyle w:val="ListBullet"/>
        <w:spacing w:line="360" w:lineRule="auto" w:after="80"/>
        <w:jc w:val="both"/>
      </w:pPr>
      <w:r>
        <w:rPr>
          <w:rFonts w:ascii="Times New Roman" w:hAnsi="Times New Roman" w:cs="Times New Roman"/>
          <w:b w:val="0"/>
          <w:i w:val="0"/>
          <w:sz w:val="24"/>
        </w:rPr>
        <w:t>Drone-based variable-rate spraying via partner DGCA-certified drone operators.</w:t>
      </w:r>
    </w:p>
    <w:p>
      <w:pPr>
        <w:pStyle w:val="ListBullet"/>
        <w:spacing w:line="360" w:lineRule="auto" w:after="80"/>
        <w:jc w:val="both"/>
      </w:pPr>
      <w:r>
        <w:rPr>
          <w:rFonts w:ascii="Times New Roman" w:hAnsi="Times New Roman" w:cs="Times New Roman"/>
          <w:b w:val="0"/>
          <w:i w:val="0"/>
          <w:sz w:val="24"/>
        </w:rPr>
        <w:t>AI-driven yield estimation 30 to 45 days before harvest, enabling better forward contracts.</w:t>
      </w:r>
    </w:p>
    <w:p>
      <w:pPr>
        <w:keepNext/>
        <w:spacing w:before="160" w:after="80"/>
        <w:jc w:val="left"/>
      </w:pPr>
      <w:r>
        <w:rPr>
          <w:rFonts w:ascii="Times New Roman" w:hAnsi="Times New Roman" w:cs="Times New Roman"/>
          <w:b/>
          <w:i/>
          <w:sz w:val="24"/>
        </w:rPr>
        <w:t>E. ONDC and UPI Integration</w:t>
      </w:r>
    </w:p>
    <w:p>
      <w:pPr>
        <w:pStyle w:val="ListBullet"/>
        <w:spacing w:line="360" w:lineRule="auto" w:after="80"/>
        <w:jc w:val="both"/>
      </w:pPr>
      <w:r>
        <w:rPr>
          <w:rFonts w:ascii="Times New Roman" w:hAnsi="Times New Roman" w:cs="Times New Roman"/>
          <w:b w:val="0"/>
          <w:i w:val="0"/>
          <w:sz w:val="24"/>
        </w:rPr>
        <w:t>Native integration with ONDC opens KrishiConnect produce listings to all ONDC buyer apps — multiplying buyer-side liquidity at zero acquisition cost.</w:t>
      </w:r>
    </w:p>
    <w:p>
      <w:pPr>
        <w:pStyle w:val="ListBullet"/>
        <w:spacing w:line="360" w:lineRule="auto" w:after="80"/>
        <w:jc w:val="both"/>
      </w:pPr>
      <w:r>
        <w:rPr>
          <w:rFonts w:ascii="Times New Roman" w:hAnsi="Times New Roman" w:cs="Times New Roman"/>
          <w:b w:val="0"/>
          <w:i w:val="0"/>
          <w:sz w:val="24"/>
        </w:rPr>
        <w:t>UPI AutoPay, AutoCollect, and Aadhaar-Enabled Payments handle settlement seamlessly, including for unbanked farmers using only their Aadhaar number.</w:t>
      </w:r>
    </w:p>
    <w:p>
      <w:pPr>
        <w:keepNext/>
        <w:spacing w:before="160" w:after="80"/>
        <w:jc w:val="left"/>
      </w:pPr>
      <w:r>
        <w:rPr>
          <w:rFonts w:ascii="Times New Roman" w:hAnsi="Times New Roman" w:cs="Times New Roman"/>
          <w:b/>
          <w:i/>
          <w:sz w:val="24"/>
        </w:rPr>
        <w:t>F. Generative AI Chatbot — "KrishiSakhi"</w:t>
      </w:r>
    </w:p>
    <w:p>
      <w:pPr>
        <w:pStyle w:val="ListBullet"/>
        <w:spacing w:line="360" w:lineRule="auto" w:after="80"/>
        <w:jc w:val="both"/>
      </w:pPr>
      <w:r>
        <w:rPr>
          <w:rFonts w:ascii="Times New Roman" w:hAnsi="Times New Roman" w:cs="Times New Roman"/>
          <w:b w:val="0"/>
          <w:i w:val="0"/>
          <w:sz w:val="24"/>
        </w:rPr>
        <w:t>Built on a fine-tuned, India-centric open-source LLM, KrishiSakhi answers farming queries in 11 regional languages with citations from ICAR research bulletins.</w:t>
      </w:r>
    </w:p>
    <w:p>
      <w:pPr>
        <w:pStyle w:val="ListBullet"/>
        <w:spacing w:line="360" w:lineRule="auto" w:after="80"/>
        <w:jc w:val="both"/>
      </w:pPr>
      <w:r>
        <w:rPr>
          <w:rFonts w:ascii="Times New Roman" w:hAnsi="Times New Roman" w:cs="Times New Roman"/>
          <w:b w:val="0"/>
          <w:i w:val="0"/>
          <w:sz w:val="24"/>
        </w:rPr>
        <w:t>Voice-in, voice-out interaction model — no typing required.</w:t>
      </w:r>
    </w:p>
    <w:p>
      <w:pPr>
        <w:pStyle w:val="ListBullet"/>
        <w:spacing w:line="360" w:lineRule="auto" w:after="80"/>
        <w:jc w:val="both"/>
      </w:pPr>
      <w:r>
        <w:rPr>
          <w:rFonts w:ascii="Times New Roman" w:hAnsi="Times New Roman" w:cs="Times New Roman"/>
          <w:b w:val="0"/>
          <w:i w:val="0"/>
          <w:sz w:val="24"/>
        </w:rPr>
        <w:t>On-device fallback responses for connectivity-poor zones.</w:t>
      </w:r>
    </w:p>
    <w:p>
      <w:pPr>
        <w:keepNext/>
        <w:spacing w:before="240" w:after="160"/>
        <w:jc w:val="left"/>
      </w:pPr>
      <w:r>
        <w:rPr>
          <w:rFonts w:ascii="Times New Roman" w:hAnsi="Times New Roman" w:cs="Times New Roman"/>
          <w:b/>
          <w:i w:val="0"/>
          <w:sz w:val="28"/>
        </w:rPr>
        <w:t>4.3 Conceptual Technology Architecture</w:t>
      </w:r>
    </w:p>
    <w:p>
      <w:pPr>
        <w:spacing w:line="360" w:lineRule="auto" w:after="160"/>
        <w:jc w:val="both"/>
      </w:pPr>
      <w:r>
        <w:rPr>
          <w:rFonts w:ascii="Times New Roman" w:hAnsi="Times New Roman" w:cs="Times New Roman"/>
          <w:b w:val="0"/>
          <w:i w:val="0"/>
          <w:sz w:val="24"/>
        </w:rPr>
        <w:t>The platform follows a microservices architecture deployed on AWS Mumbai, with a mobile-first React Native client and a complementary web portal for buyers, FPOs and administrators. Key architectural layers are:</w:t>
      </w:r>
    </w:p>
    <w:p>
      <w:pPr>
        <w:pStyle w:val="ListBullet"/>
        <w:spacing w:line="360" w:lineRule="auto" w:after="80"/>
        <w:jc w:val="both"/>
      </w:pPr>
      <w:r>
        <w:rPr>
          <w:rFonts w:ascii="Times New Roman" w:hAnsi="Times New Roman" w:cs="Times New Roman"/>
          <w:b/>
          <w:i w:val="0"/>
          <w:sz w:val="24"/>
        </w:rPr>
        <w:t>React Native (Android-first, iOS later); Progressive Web App for buyers; voice-first interaction handled via on-device Whisper-Lite speech models.</w:t>
      </w:r>
      <w:r>
        <w:rPr>
          <w:rFonts w:ascii="Times New Roman" w:hAnsi="Times New Roman" w:cs="Times New Roman"/>
          <w:b w:val="0"/>
          <w:i w:val="0"/>
          <w:sz w:val="24"/>
        </w:rPr>
        <w:t xml:space="preserve">Presentation Layer: </w:t>
      </w:r>
    </w:p>
    <w:p>
      <w:pPr>
        <w:pStyle w:val="ListBullet"/>
        <w:spacing w:line="360" w:lineRule="auto" w:after="80"/>
        <w:jc w:val="both"/>
      </w:pPr>
      <w:r>
        <w:rPr>
          <w:rFonts w:ascii="Times New Roman" w:hAnsi="Times New Roman" w:cs="Times New Roman"/>
          <w:b/>
          <w:i w:val="0"/>
          <w:sz w:val="24"/>
        </w:rPr>
        <w:t>Kong API Gateway with rate-limiting, authentication, and OAuth 2.0.</w:t>
      </w:r>
      <w:r>
        <w:rPr>
          <w:rFonts w:ascii="Times New Roman" w:hAnsi="Times New Roman" w:cs="Times New Roman"/>
          <w:b w:val="0"/>
          <w:i w:val="0"/>
          <w:sz w:val="24"/>
        </w:rPr>
        <w:t xml:space="preserve">API Gateway: </w:t>
      </w:r>
    </w:p>
    <w:p>
      <w:pPr>
        <w:pStyle w:val="ListBullet"/>
        <w:spacing w:line="360" w:lineRule="auto" w:after="80"/>
        <w:jc w:val="both"/>
      </w:pPr>
      <w:r>
        <w:rPr>
          <w:rFonts w:ascii="Times New Roman" w:hAnsi="Times New Roman" w:cs="Times New Roman"/>
          <w:b/>
          <w:i w:val="0"/>
          <w:sz w:val="24"/>
        </w:rPr>
        <w:t>Independent services for User, Catalog, Order, Payment, Logistics, Advisory, Finance, and Notifications, written in Node.js (TypeScript) and Go.</w:t>
      </w:r>
      <w:r>
        <w:rPr>
          <w:rFonts w:ascii="Times New Roman" w:hAnsi="Times New Roman" w:cs="Times New Roman"/>
          <w:b w:val="0"/>
          <w:i w:val="0"/>
          <w:sz w:val="24"/>
        </w:rPr>
        <w:t xml:space="preserve">Microservices: </w:t>
      </w:r>
    </w:p>
    <w:p>
      <w:pPr>
        <w:pStyle w:val="ListBullet"/>
        <w:spacing w:line="360" w:lineRule="auto" w:after="80"/>
        <w:jc w:val="both"/>
      </w:pPr>
      <w:r>
        <w:rPr>
          <w:rFonts w:ascii="Times New Roman" w:hAnsi="Times New Roman" w:cs="Times New Roman"/>
          <w:b/>
          <w:i w:val="0"/>
          <w:sz w:val="24"/>
        </w:rPr>
        <w:t>PostgreSQL for transactions; MongoDB for product catalogue; Redis for caching; Elasticsearch for search; Apache Kafka for event streaming.</w:t>
      </w:r>
      <w:r>
        <w:rPr>
          <w:rFonts w:ascii="Times New Roman" w:hAnsi="Times New Roman" w:cs="Times New Roman"/>
          <w:b w:val="0"/>
          <w:i w:val="0"/>
          <w:sz w:val="24"/>
        </w:rPr>
        <w:t xml:space="preserve">Data Layer: </w:t>
      </w:r>
    </w:p>
    <w:p>
      <w:pPr>
        <w:pStyle w:val="ListBullet"/>
        <w:spacing w:line="360" w:lineRule="auto" w:after="80"/>
        <w:jc w:val="both"/>
      </w:pPr>
      <w:r>
        <w:rPr>
          <w:rFonts w:ascii="Times New Roman" w:hAnsi="Times New Roman" w:cs="Times New Roman"/>
          <w:b/>
          <w:i w:val="0"/>
          <w:sz w:val="24"/>
        </w:rPr>
        <w:t>PyTorch and TensorFlow for training; ONNX runtime for portable inference; on-device TensorFlow Lite for offline diagnosis.</w:t>
      </w:r>
      <w:r>
        <w:rPr>
          <w:rFonts w:ascii="Times New Roman" w:hAnsi="Times New Roman" w:cs="Times New Roman"/>
          <w:b w:val="0"/>
          <w:i w:val="0"/>
          <w:sz w:val="24"/>
        </w:rPr>
        <w:t xml:space="preserve">AI/ML Layer: </w:t>
      </w:r>
    </w:p>
    <w:p>
      <w:pPr>
        <w:pStyle w:val="ListBullet"/>
        <w:spacing w:line="360" w:lineRule="auto" w:after="80"/>
        <w:jc w:val="both"/>
      </w:pPr>
      <w:r>
        <w:rPr>
          <w:rFonts w:ascii="Times New Roman" w:hAnsi="Times New Roman" w:cs="Times New Roman"/>
          <w:b/>
          <w:i w:val="0"/>
          <w:sz w:val="24"/>
        </w:rPr>
        <w:t>Connectors for ONDC, e-NAM, UPI, IMD weather APIs, ISRO Bhuvan, NABARD, and partner NBFC/insurer APIs.</w:t>
      </w:r>
      <w:r>
        <w:rPr>
          <w:rFonts w:ascii="Times New Roman" w:hAnsi="Times New Roman" w:cs="Times New Roman"/>
          <w:b w:val="0"/>
          <w:i w:val="0"/>
          <w:sz w:val="24"/>
        </w:rPr>
        <w:t xml:space="preserve">Integration Layer: </w:t>
      </w:r>
    </w:p>
    <w:p>
      <w:pPr>
        <w:pStyle w:val="ListBullet"/>
        <w:spacing w:line="360" w:lineRule="auto" w:after="80"/>
        <w:jc w:val="both"/>
      </w:pPr>
      <w:r>
        <w:rPr>
          <w:rFonts w:ascii="Times New Roman" w:hAnsi="Times New Roman" w:cs="Times New Roman"/>
          <w:b/>
          <w:i w:val="0"/>
          <w:sz w:val="24"/>
        </w:rPr>
        <w:t>AES-256 at rest, TLS 1.3 in transit, SOC 2 readiness, DPDPA-compliant consent flows, ISO 27001 ISMS framework.</w:t>
      </w:r>
      <w:r>
        <w:rPr>
          <w:rFonts w:ascii="Times New Roman" w:hAnsi="Times New Roman" w:cs="Times New Roman"/>
          <w:b w:val="0"/>
          <w:i w:val="0"/>
          <w:sz w:val="24"/>
        </w:rPr>
        <w:t xml:space="preserve">Security &amp; Compliance: </w:t>
      </w:r>
    </w:p>
    <w:p>
      <w:pPr>
        <w:keepNext/>
        <w:spacing w:before="240" w:after="160"/>
        <w:jc w:val="left"/>
      </w:pPr>
      <w:r>
        <w:rPr>
          <w:rFonts w:ascii="Times New Roman" w:hAnsi="Times New Roman" w:cs="Times New Roman"/>
          <w:b/>
          <w:i w:val="0"/>
          <w:sz w:val="28"/>
        </w:rPr>
        <w:t>4.4 Creative Differentiator — Designing for Trust</w:t>
      </w:r>
    </w:p>
    <w:p>
      <w:pPr>
        <w:spacing w:line="360" w:lineRule="auto" w:after="160"/>
        <w:jc w:val="both"/>
      </w:pPr>
      <w:r>
        <w:rPr>
          <w:rFonts w:ascii="Times New Roman" w:hAnsi="Times New Roman" w:cs="Times New Roman"/>
          <w:b w:val="0"/>
          <w:i w:val="0"/>
          <w:sz w:val="24"/>
        </w:rPr>
        <w:t>A common failure mode in rural-tech ventures is excellent technology that the user cannot, or will not, use. KrishiConnect therefore invests heavily in trust design: voice-first interfaces, transparent in-app fee disclosures, video testimonials from verified farmers in the user's own dialect, on-ground demos in local festivals and haats, partnership with respected FPOs that already enjoy farmer confidence, and a 24x7 IVR helpline at 1800-KRISHI staffed by agronomy graduates. The platform is designed not merely to be downloadable but to be desirable to use.</w:t>
      </w:r>
    </w:p>
    <w:p>
      <w:r>
        <w:br w:type="page"/>
      </w:r>
    </w:p>
    <w:p>
      <w:pPr>
        <w:keepNext/>
        <w:spacing w:before="360" w:after="280"/>
        <w:jc w:val="left"/>
      </w:pPr>
      <w:r>
        <w:rPr>
          <w:rFonts w:ascii="Times New Roman" w:hAnsi="Times New Roman" w:cs="Times New Roman"/>
          <w:b/>
          <w:i w:val="0"/>
          <w:sz w:val="32"/>
        </w:rPr>
        <w:t>5. Proposed Business Model and Feasibility</w:t>
      </w:r>
    </w:p>
    <w:p>
      <w:pPr>
        <w:keepNext/>
        <w:spacing w:before="240" w:after="160"/>
        <w:jc w:val="left"/>
      </w:pPr>
      <w:r>
        <w:rPr>
          <w:rFonts w:ascii="Times New Roman" w:hAnsi="Times New Roman" w:cs="Times New Roman"/>
          <w:b/>
          <w:i w:val="0"/>
          <w:sz w:val="28"/>
        </w:rPr>
        <w:t>5.1 Business Model Overview</w:t>
      </w:r>
    </w:p>
    <w:p>
      <w:pPr>
        <w:spacing w:line="360" w:lineRule="auto" w:after="160"/>
        <w:jc w:val="both"/>
      </w:pPr>
      <w:r>
        <w:rPr>
          <w:rFonts w:ascii="Times New Roman" w:hAnsi="Times New Roman" w:cs="Times New Roman"/>
          <w:b w:val="0"/>
          <w:i w:val="0"/>
          <w:sz w:val="24"/>
        </w:rPr>
        <w:t>KrishiConnect adopts a multi-sided platform model with five complementary revenue streams, ensuring no single-source dependency and balanced unit economics across transactional and subscription components.</w:t>
      </w:r>
    </w:p>
    <w:p>
      <w:pPr>
        <w:keepNext/>
        <w:spacing w:before="160" w:after="80"/>
        <w:jc w:val="left"/>
      </w:pPr>
      <w:r>
        <w:rPr>
          <w:rFonts w:ascii="Times New Roman" w:hAnsi="Times New Roman" w:cs="Times New Roman"/>
          <w:b/>
          <w:i/>
          <w:sz w:val="24"/>
        </w:rPr>
        <w:t>Table 5.1 — Revenue Streams of KrishiConnect</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line="276" w:lineRule="auto" w:after="40"/>
              <w:jc w:val="left"/>
            </w:pPr>
            <w:r/>
            <w:r>
              <w:rPr>
                <w:rFonts w:ascii="Times New Roman" w:hAnsi="Times New Roman" w:cs="Times New Roman"/>
                <w:b/>
                <w:i w:val="0"/>
                <w:sz w:val="22"/>
              </w:rPr>
              <w:t>Revenue Stream</w:t>
            </w:r>
          </w:p>
        </w:tc>
        <w:tc>
          <w:tcPr>
            <w:tcW w:type="dxa" w:w="3000"/>
          </w:tcPr>
          <w:p>
            <w:pPr>
              <w:spacing w:line="276" w:lineRule="auto" w:after="40"/>
              <w:jc w:val="left"/>
            </w:pPr>
            <w:r/>
            <w:r>
              <w:rPr>
                <w:rFonts w:ascii="Times New Roman" w:hAnsi="Times New Roman" w:cs="Times New Roman"/>
                <w:b/>
                <w:i w:val="0"/>
                <w:sz w:val="22"/>
              </w:rPr>
              <w:t>Mechanism</w:t>
            </w:r>
          </w:p>
        </w:tc>
        <w:tc>
          <w:tcPr>
            <w:tcW w:type="dxa" w:w="3000"/>
          </w:tcPr>
          <w:p>
            <w:pPr>
              <w:spacing w:line="276" w:lineRule="auto" w:after="40"/>
              <w:jc w:val="left"/>
            </w:pPr>
            <w:r/>
            <w:r>
              <w:rPr>
                <w:rFonts w:ascii="Times New Roman" w:hAnsi="Times New Roman" w:cs="Times New Roman"/>
                <w:b/>
                <w:i w:val="0"/>
                <w:sz w:val="22"/>
              </w:rPr>
              <w:t>Year-3 Share</w:t>
            </w:r>
          </w:p>
        </w:tc>
      </w:tr>
      <w:tr>
        <w:tc>
          <w:tcPr>
            <w:tcW w:type="dxa" w:w="3000"/>
          </w:tcPr>
          <w:p>
            <w:pPr>
              <w:spacing w:line="276" w:lineRule="auto" w:after="40"/>
              <w:jc w:val="left"/>
            </w:pPr>
            <w:r/>
            <w:r>
              <w:rPr>
                <w:rFonts w:ascii="Times New Roman" w:hAnsi="Times New Roman" w:cs="Times New Roman"/>
                <w:b w:val="0"/>
                <w:i w:val="0"/>
                <w:sz w:val="22"/>
              </w:rPr>
              <w:t>Marketplace Commission</w:t>
            </w:r>
          </w:p>
        </w:tc>
        <w:tc>
          <w:tcPr>
            <w:tcW w:type="dxa" w:w="3000"/>
          </w:tcPr>
          <w:p>
            <w:pPr>
              <w:spacing w:line="276" w:lineRule="auto" w:after="40"/>
              <w:jc w:val="left"/>
            </w:pPr>
            <w:r/>
            <w:r>
              <w:rPr>
                <w:rFonts w:ascii="Times New Roman" w:hAnsi="Times New Roman" w:cs="Times New Roman"/>
                <w:b w:val="0"/>
                <w:i w:val="0"/>
                <w:sz w:val="22"/>
              </w:rPr>
              <w:t>2 to 4 percent on every B2B / B2C produce transaction</w:t>
            </w:r>
          </w:p>
        </w:tc>
        <w:tc>
          <w:tcPr>
            <w:tcW w:type="dxa" w:w="3000"/>
          </w:tcPr>
          <w:p>
            <w:pPr>
              <w:spacing w:line="276" w:lineRule="auto" w:after="40"/>
              <w:jc w:val="left"/>
            </w:pPr>
            <w:r/>
            <w:r>
              <w:rPr>
                <w:rFonts w:ascii="Times New Roman" w:hAnsi="Times New Roman" w:cs="Times New Roman"/>
                <w:b w:val="0"/>
                <w:i w:val="0"/>
                <w:sz w:val="22"/>
              </w:rPr>
              <w:t>45%</w:t>
            </w:r>
          </w:p>
        </w:tc>
      </w:tr>
      <w:tr>
        <w:tc>
          <w:tcPr>
            <w:tcW w:type="dxa" w:w="3000"/>
          </w:tcPr>
          <w:p>
            <w:pPr>
              <w:spacing w:line="276" w:lineRule="auto" w:after="40"/>
              <w:jc w:val="left"/>
            </w:pPr>
            <w:r/>
            <w:r>
              <w:rPr>
                <w:rFonts w:ascii="Times New Roman" w:hAnsi="Times New Roman" w:cs="Times New Roman"/>
                <w:b w:val="0"/>
                <w:i w:val="0"/>
                <w:sz w:val="22"/>
              </w:rPr>
              <w:t>Input Store Margin</w:t>
            </w:r>
          </w:p>
        </w:tc>
        <w:tc>
          <w:tcPr>
            <w:tcW w:type="dxa" w:w="3000"/>
          </w:tcPr>
          <w:p>
            <w:pPr>
              <w:spacing w:line="276" w:lineRule="auto" w:after="40"/>
              <w:jc w:val="left"/>
            </w:pPr>
            <w:r/>
            <w:r>
              <w:rPr>
                <w:rFonts w:ascii="Times New Roman" w:hAnsi="Times New Roman" w:cs="Times New Roman"/>
                <w:b w:val="0"/>
                <w:i w:val="0"/>
                <w:sz w:val="22"/>
              </w:rPr>
              <w:t>8 to 12 percent on seeds, fertilizers, pesticides</w:t>
            </w:r>
          </w:p>
        </w:tc>
        <w:tc>
          <w:tcPr>
            <w:tcW w:type="dxa" w:w="3000"/>
          </w:tcPr>
          <w:p>
            <w:pPr>
              <w:spacing w:line="276" w:lineRule="auto" w:after="40"/>
              <w:jc w:val="left"/>
            </w:pPr>
            <w:r/>
            <w:r>
              <w:rPr>
                <w:rFonts w:ascii="Times New Roman" w:hAnsi="Times New Roman" w:cs="Times New Roman"/>
                <w:b w:val="0"/>
                <w:i w:val="0"/>
                <w:sz w:val="22"/>
              </w:rPr>
              <w:t>20%</w:t>
            </w:r>
          </w:p>
        </w:tc>
      </w:tr>
      <w:tr>
        <w:tc>
          <w:tcPr>
            <w:tcW w:type="dxa" w:w="3000"/>
          </w:tcPr>
          <w:p>
            <w:pPr>
              <w:spacing w:line="276" w:lineRule="auto" w:after="40"/>
              <w:jc w:val="left"/>
            </w:pPr>
            <w:r/>
            <w:r>
              <w:rPr>
                <w:rFonts w:ascii="Times New Roman" w:hAnsi="Times New Roman" w:cs="Times New Roman"/>
                <w:b w:val="0"/>
                <w:i w:val="0"/>
                <w:sz w:val="22"/>
              </w:rPr>
              <w:t>Equipment Rental Fee</w:t>
            </w:r>
          </w:p>
        </w:tc>
        <w:tc>
          <w:tcPr>
            <w:tcW w:type="dxa" w:w="3000"/>
          </w:tcPr>
          <w:p>
            <w:pPr>
              <w:spacing w:line="276" w:lineRule="auto" w:after="40"/>
              <w:jc w:val="left"/>
            </w:pPr>
            <w:r/>
            <w:r>
              <w:rPr>
                <w:rFonts w:ascii="Times New Roman" w:hAnsi="Times New Roman" w:cs="Times New Roman"/>
                <w:b w:val="0"/>
                <w:i w:val="0"/>
                <w:sz w:val="22"/>
              </w:rPr>
              <w:t>15 percent commission per booking from owners</w:t>
            </w:r>
          </w:p>
        </w:tc>
        <w:tc>
          <w:tcPr>
            <w:tcW w:type="dxa" w:w="3000"/>
          </w:tcPr>
          <w:p>
            <w:pPr>
              <w:spacing w:line="276" w:lineRule="auto" w:after="40"/>
              <w:jc w:val="left"/>
            </w:pPr>
            <w:r/>
            <w:r>
              <w:rPr>
                <w:rFonts w:ascii="Times New Roman" w:hAnsi="Times New Roman" w:cs="Times New Roman"/>
                <w:b w:val="0"/>
                <w:i w:val="0"/>
                <w:sz w:val="22"/>
              </w:rPr>
              <w:t>10%</w:t>
            </w:r>
          </w:p>
        </w:tc>
      </w:tr>
      <w:tr>
        <w:tc>
          <w:tcPr>
            <w:tcW w:type="dxa" w:w="3000"/>
          </w:tcPr>
          <w:p>
            <w:pPr>
              <w:spacing w:line="276" w:lineRule="auto" w:after="40"/>
              <w:jc w:val="left"/>
            </w:pPr>
            <w:r/>
            <w:r>
              <w:rPr>
                <w:rFonts w:ascii="Times New Roman" w:hAnsi="Times New Roman" w:cs="Times New Roman"/>
                <w:b w:val="0"/>
                <w:i w:val="0"/>
                <w:sz w:val="22"/>
              </w:rPr>
              <w:t>Embedded Finance &amp; Insurance</w:t>
            </w:r>
          </w:p>
        </w:tc>
        <w:tc>
          <w:tcPr>
            <w:tcW w:type="dxa" w:w="3000"/>
          </w:tcPr>
          <w:p>
            <w:pPr>
              <w:spacing w:line="276" w:lineRule="auto" w:after="40"/>
              <w:jc w:val="left"/>
            </w:pPr>
            <w:r/>
            <w:r>
              <w:rPr>
                <w:rFonts w:ascii="Times New Roman" w:hAnsi="Times New Roman" w:cs="Times New Roman"/>
                <w:b w:val="0"/>
                <w:i w:val="0"/>
                <w:sz w:val="22"/>
              </w:rPr>
              <w:t>0.8 to 1.5 percent commission from NBFCs / insurers</w:t>
            </w:r>
          </w:p>
        </w:tc>
        <w:tc>
          <w:tcPr>
            <w:tcW w:type="dxa" w:w="3000"/>
          </w:tcPr>
          <w:p>
            <w:pPr>
              <w:spacing w:line="276" w:lineRule="auto" w:after="40"/>
              <w:jc w:val="left"/>
            </w:pPr>
            <w:r/>
            <w:r>
              <w:rPr>
                <w:rFonts w:ascii="Times New Roman" w:hAnsi="Times New Roman" w:cs="Times New Roman"/>
                <w:b w:val="0"/>
                <w:i w:val="0"/>
                <w:sz w:val="22"/>
              </w:rPr>
              <w:t>15%</w:t>
            </w:r>
          </w:p>
        </w:tc>
      </w:tr>
      <w:tr>
        <w:tc>
          <w:tcPr>
            <w:tcW w:type="dxa" w:w="3000"/>
          </w:tcPr>
          <w:p>
            <w:pPr>
              <w:spacing w:line="276" w:lineRule="auto" w:after="40"/>
              <w:jc w:val="left"/>
            </w:pPr>
            <w:r/>
            <w:r>
              <w:rPr>
                <w:rFonts w:ascii="Times New Roman" w:hAnsi="Times New Roman" w:cs="Times New Roman"/>
                <w:b w:val="0"/>
                <w:i w:val="0"/>
                <w:sz w:val="22"/>
              </w:rPr>
              <w:t>Premium Subscription (KrishiPro)</w:t>
            </w:r>
          </w:p>
        </w:tc>
        <w:tc>
          <w:tcPr>
            <w:tcW w:type="dxa" w:w="3000"/>
          </w:tcPr>
          <w:p>
            <w:pPr>
              <w:spacing w:line="276" w:lineRule="auto" w:after="40"/>
              <w:jc w:val="left"/>
            </w:pPr>
            <w:r/>
            <w:r>
              <w:rPr>
                <w:rFonts w:ascii="Times New Roman" w:hAnsi="Times New Roman" w:cs="Times New Roman"/>
                <w:b w:val="0"/>
                <w:i w:val="0"/>
                <w:sz w:val="22"/>
              </w:rPr>
              <w:t>₹99 per month for advanced advisory and analytics</w:t>
            </w:r>
          </w:p>
        </w:tc>
        <w:tc>
          <w:tcPr>
            <w:tcW w:type="dxa" w:w="3000"/>
          </w:tcPr>
          <w:p>
            <w:pPr>
              <w:spacing w:line="276" w:lineRule="auto" w:after="40"/>
              <w:jc w:val="left"/>
            </w:pPr>
            <w:r/>
            <w:r>
              <w:rPr>
                <w:rFonts w:ascii="Times New Roman" w:hAnsi="Times New Roman" w:cs="Times New Roman"/>
                <w:b w:val="0"/>
                <w:i w:val="0"/>
                <w:sz w:val="22"/>
              </w:rPr>
              <w:t>10%</w:t>
            </w:r>
          </w:p>
        </w:tc>
      </w:tr>
    </w:tbl>
    <w:p>
      <w:pPr>
        <w:keepNext/>
        <w:spacing w:before="240" w:after="160"/>
        <w:jc w:val="left"/>
      </w:pPr>
      <w:r>
        <w:rPr>
          <w:rFonts w:ascii="Times New Roman" w:hAnsi="Times New Roman" w:cs="Times New Roman"/>
          <w:b/>
          <w:i w:val="0"/>
          <w:sz w:val="28"/>
        </w:rPr>
        <w:t>5.2 Detailed Revenue Stream Mechanics</w:t>
      </w:r>
    </w:p>
    <w:p>
      <w:pPr>
        <w:keepNext/>
        <w:spacing w:before="160" w:after="80"/>
        <w:jc w:val="left"/>
      </w:pPr>
      <w:r>
        <w:rPr>
          <w:rFonts w:ascii="Times New Roman" w:hAnsi="Times New Roman" w:cs="Times New Roman"/>
          <w:b/>
          <w:i/>
          <w:sz w:val="24"/>
        </w:rPr>
        <w:t>A. Marketplace Commission</w:t>
      </w:r>
    </w:p>
    <w:p>
      <w:pPr>
        <w:pStyle w:val="ListBullet"/>
        <w:spacing w:line="360" w:lineRule="auto" w:after="80"/>
        <w:jc w:val="both"/>
      </w:pPr>
      <w:r>
        <w:rPr>
          <w:rFonts w:ascii="Times New Roman" w:hAnsi="Times New Roman" w:cs="Times New Roman"/>
          <w:b w:val="0"/>
          <w:i w:val="0"/>
          <w:sz w:val="24"/>
        </w:rPr>
        <w:t>2.0 percent on staple grains (paddy, wheat, maize) — high volume, low margin.</w:t>
      </w:r>
    </w:p>
    <w:p>
      <w:pPr>
        <w:pStyle w:val="ListBullet"/>
        <w:spacing w:line="360" w:lineRule="auto" w:after="80"/>
        <w:jc w:val="both"/>
      </w:pPr>
      <w:r>
        <w:rPr>
          <w:rFonts w:ascii="Times New Roman" w:hAnsi="Times New Roman" w:cs="Times New Roman"/>
          <w:b w:val="0"/>
          <w:i w:val="0"/>
          <w:sz w:val="24"/>
        </w:rPr>
        <w:t>3.5 percent on perishables (fruits, vegetables, dairy) — moderate volume, higher value-add.</w:t>
      </w:r>
    </w:p>
    <w:p>
      <w:pPr>
        <w:pStyle w:val="ListBullet"/>
        <w:spacing w:line="360" w:lineRule="auto" w:after="80"/>
        <w:jc w:val="both"/>
      </w:pPr>
      <w:r>
        <w:rPr>
          <w:rFonts w:ascii="Times New Roman" w:hAnsi="Times New Roman" w:cs="Times New Roman"/>
          <w:b w:val="0"/>
          <w:i w:val="0"/>
          <w:sz w:val="24"/>
        </w:rPr>
        <w:t>4.0 percent on premium organic, branded and export-grade produce.</w:t>
      </w:r>
    </w:p>
    <w:p>
      <w:pPr>
        <w:pStyle w:val="ListBullet"/>
        <w:spacing w:line="360" w:lineRule="auto" w:after="80"/>
        <w:jc w:val="both"/>
      </w:pPr>
      <w:r>
        <w:rPr>
          <w:rFonts w:ascii="Times New Roman" w:hAnsi="Times New Roman" w:cs="Times New Roman"/>
          <w:b w:val="0"/>
          <w:i w:val="0"/>
          <w:sz w:val="24"/>
        </w:rPr>
        <w:t>No commission charged on first three transactions for new farmers — to drive adoption.</w:t>
      </w:r>
    </w:p>
    <w:p>
      <w:pPr>
        <w:keepNext/>
        <w:spacing w:before="160" w:after="80"/>
        <w:jc w:val="left"/>
      </w:pPr>
      <w:r>
        <w:rPr>
          <w:rFonts w:ascii="Times New Roman" w:hAnsi="Times New Roman" w:cs="Times New Roman"/>
          <w:b/>
          <w:i/>
          <w:sz w:val="24"/>
        </w:rPr>
        <w:t>B. Input Store Margin</w:t>
      </w:r>
    </w:p>
    <w:p>
      <w:pPr>
        <w:pStyle w:val="ListBullet"/>
        <w:spacing w:line="360" w:lineRule="auto" w:after="80"/>
        <w:jc w:val="both"/>
      </w:pPr>
      <w:r>
        <w:rPr>
          <w:rFonts w:ascii="Times New Roman" w:hAnsi="Times New Roman" w:cs="Times New Roman"/>
          <w:b w:val="0"/>
          <w:i w:val="0"/>
          <w:sz w:val="24"/>
        </w:rPr>
        <w:t>Seeds — 8 percent margin negotiated with manufacturers like Rasi Seeds, Mahyco, Nuziveedu.</w:t>
      </w:r>
    </w:p>
    <w:p>
      <w:pPr>
        <w:pStyle w:val="ListBullet"/>
        <w:spacing w:line="360" w:lineRule="auto" w:after="80"/>
        <w:jc w:val="both"/>
      </w:pPr>
      <w:r>
        <w:rPr>
          <w:rFonts w:ascii="Times New Roman" w:hAnsi="Times New Roman" w:cs="Times New Roman"/>
          <w:b w:val="0"/>
          <w:i w:val="0"/>
          <w:sz w:val="24"/>
        </w:rPr>
        <w:t>Fertilizers — 10 percent margin negotiated with IFFCO, Coromandel, Mangalore Chemicals.</w:t>
      </w:r>
    </w:p>
    <w:p>
      <w:pPr>
        <w:pStyle w:val="ListBullet"/>
        <w:spacing w:line="360" w:lineRule="auto" w:after="80"/>
        <w:jc w:val="both"/>
      </w:pPr>
      <w:r>
        <w:rPr>
          <w:rFonts w:ascii="Times New Roman" w:hAnsi="Times New Roman" w:cs="Times New Roman"/>
          <w:b w:val="0"/>
          <w:i w:val="0"/>
          <w:sz w:val="24"/>
        </w:rPr>
        <w:t>Pesticides and crop protection — 12 percent margin with UPL, Bayer, Syngenta.</w:t>
      </w:r>
    </w:p>
    <w:p>
      <w:pPr>
        <w:pStyle w:val="ListBullet"/>
        <w:spacing w:line="360" w:lineRule="auto" w:after="80"/>
        <w:jc w:val="both"/>
      </w:pPr>
      <w:r>
        <w:rPr>
          <w:rFonts w:ascii="Times New Roman" w:hAnsi="Times New Roman" w:cs="Times New Roman"/>
          <w:b w:val="0"/>
          <w:i w:val="0"/>
          <w:sz w:val="24"/>
        </w:rPr>
        <w:t>Free home delivery on input orders above ₹2,000; ₹49 below.</w:t>
      </w:r>
    </w:p>
    <w:p>
      <w:pPr>
        <w:keepNext/>
        <w:spacing w:before="160" w:after="80"/>
        <w:jc w:val="left"/>
      </w:pPr>
      <w:r>
        <w:rPr>
          <w:rFonts w:ascii="Times New Roman" w:hAnsi="Times New Roman" w:cs="Times New Roman"/>
          <w:b/>
          <w:i/>
          <w:sz w:val="24"/>
        </w:rPr>
        <w:t>C. Equipment Rental</w:t>
      </w:r>
    </w:p>
    <w:p>
      <w:pPr>
        <w:pStyle w:val="ListBullet"/>
        <w:spacing w:line="360" w:lineRule="auto" w:after="80"/>
        <w:jc w:val="both"/>
      </w:pPr>
      <w:r>
        <w:rPr>
          <w:rFonts w:ascii="Times New Roman" w:hAnsi="Times New Roman" w:cs="Times New Roman"/>
          <w:b w:val="0"/>
          <w:i w:val="0"/>
          <w:sz w:val="24"/>
        </w:rPr>
        <w:t>Equipment owners receive 85 percent of rental fees; KrishiConnect retains 15 percent.</w:t>
      </w:r>
    </w:p>
    <w:p>
      <w:pPr>
        <w:pStyle w:val="ListBullet"/>
        <w:spacing w:line="360" w:lineRule="auto" w:after="80"/>
        <w:jc w:val="both"/>
      </w:pPr>
      <w:r>
        <w:rPr>
          <w:rFonts w:ascii="Times New Roman" w:hAnsi="Times New Roman" w:cs="Times New Roman"/>
          <w:b w:val="0"/>
          <w:i w:val="0"/>
          <w:sz w:val="24"/>
        </w:rPr>
        <w:t>Dynamic pricing across seasons — premium rates during sowing peaks (April-May, October-November).</w:t>
      </w:r>
    </w:p>
    <w:p>
      <w:pPr>
        <w:pStyle w:val="ListBullet"/>
        <w:spacing w:line="360" w:lineRule="auto" w:after="80"/>
        <w:jc w:val="both"/>
      </w:pPr>
      <w:r>
        <w:rPr>
          <w:rFonts w:ascii="Times New Roman" w:hAnsi="Times New Roman" w:cs="Times New Roman"/>
          <w:b w:val="0"/>
          <w:i w:val="0"/>
          <w:sz w:val="24"/>
        </w:rPr>
        <w:t>Comprehensive on-platform insurance for equipment and operator.</w:t>
      </w:r>
    </w:p>
    <w:p>
      <w:pPr>
        <w:keepNext/>
        <w:spacing w:before="160" w:after="80"/>
        <w:jc w:val="left"/>
      </w:pPr>
      <w:r>
        <w:rPr>
          <w:rFonts w:ascii="Times New Roman" w:hAnsi="Times New Roman" w:cs="Times New Roman"/>
          <w:b/>
          <w:i/>
          <w:sz w:val="24"/>
        </w:rPr>
        <w:t>D. Embedded Finance and Insurance</w:t>
      </w:r>
    </w:p>
    <w:p>
      <w:pPr>
        <w:pStyle w:val="ListBullet"/>
        <w:spacing w:line="360" w:lineRule="auto" w:after="80"/>
        <w:jc w:val="both"/>
      </w:pPr>
      <w:r>
        <w:rPr>
          <w:rFonts w:ascii="Times New Roman" w:hAnsi="Times New Roman" w:cs="Times New Roman"/>
          <w:b w:val="0"/>
          <w:i w:val="0"/>
          <w:sz w:val="24"/>
        </w:rPr>
        <w:t>1.0 percent commission on every disbursed crop loan (target: ₹500 crore disbursement by Year 3).</w:t>
      </w:r>
    </w:p>
    <w:p>
      <w:pPr>
        <w:pStyle w:val="ListBullet"/>
        <w:spacing w:line="360" w:lineRule="auto" w:after="80"/>
        <w:jc w:val="both"/>
      </w:pPr>
      <w:r>
        <w:rPr>
          <w:rFonts w:ascii="Times New Roman" w:hAnsi="Times New Roman" w:cs="Times New Roman"/>
          <w:b w:val="0"/>
          <w:i w:val="0"/>
          <w:sz w:val="24"/>
        </w:rPr>
        <w:t>1.5 percent commission on insurance premiums (PMFBY top-up, weather-index, livestock).</w:t>
      </w:r>
    </w:p>
    <w:p>
      <w:pPr>
        <w:pStyle w:val="ListBullet"/>
        <w:spacing w:line="360" w:lineRule="auto" w:after="80"/>
        <w:jc w:val="both"/>
      </w:pPr>
      <w:r>
        <w:rPr>
          <w:rFonts w:ascii="Times New Roman" w:hAnsi="Times New Roman" w:cs="Times New Roman"/>
          <w:b w:val="0"/>
          <w:i w:val="0"/>
          <w:sz w:val="24"/>
        </w:rPr>
        <w:t>Partner network: Samunnati, Jai Kisan, Bharatpe Agri, ICICI Lombard, HDFC Ergo.</w:t>
      </w:r>
    </w:p>
    <w:p>
      <w:pPr>
        <w:keepNext/>
        <w:spacing w:before="160" w:after="80"/>
        <w:jc w:val="left"/>
      </w:pPr>
      <w:r>
        <w:rPr>
          <w:rFonts w:ascii="Times New Roman" w:hAnsi="Times New Roman" w:cs="Times New Roman"/>
          <w:b/>
          <w:i/>
          <w:sz w:val="24"/>
        </w:rPr>
        <w:t>E. KrishiPro Subscription</w:t>
      </w:r>
    </w:p>
    <w:p>
      <w:pPr>
        <w:pStyle w:val="ListBullet"/>
        <w:spacing w:line="360" w:lineRule="auto" w:after="80"/>
        <w:jc w:val="both"/>
      </w:pPr>
      <w:r>
        <w:rPr>
          <w:rFonts w:ascii="Times New Roman" w:hAnsi="Times New Roman" w:cs="Times New Roman"/>
          <w:b w:val="0"/>
          <w:i w:val="0"/>
          <w:sz w:val="24"/>
        </w:rPr>
        <w:t>₹99 per month or ₹999 per year — unlocks AI advisor priority, market-price predictions, soil-test reports, and zero-commission selling on the first five transactions of the month.</w:t>
      </w:r>
    </w:p>
    <w:p>
      <w:pPr>
        <w:pStyle w:val="ListBullet"/>
        <w:spacing w:line="360" w:lineRule="auto" w:after="80"/>
        <w:jc w:val="both"/>
      </w:pPr>
      <w:r>
        <w:rPr>
          <w:rFonts w:ascii="Times New Roman" w:hAnsi="Times New Roman" w:cs="Times New Roman"/>
          <w:b w:val="0"/>
          <w:i w:val="0"/>
          <w:sz w:val="24"/>
        </w:rPr>
        <w:t>Targeted at progressive farmers and FPO members.</w:t>
      </w:r>
    </w:p>
    <w:p>
      <w:pPr>
        <w:pStyle w:val="ListBullet"/>
        <w:spacing w:line="360" w:lineRule="auto" w:after="80"/>
        <w:jc w:val="both"/>
      </w:pPr>
      <w:r>
        <w:rPr>
          <w:rFonts w:ascii="Times New Roman" w:hAnsi="Times New Roman" w:cs="Times New Roman"/>
          <w:b w:val="0"/>
          <w:i w:val="0"/>
          <w:sz w:val="24"/>
        </w:rPr>
        <w:t>Year-3 subscriber target: 1.2 lakh paying users.</w:t>
      </w:r>
    </w:p>
    <w:p>
      <w:pPr>
        <w:keepNext/>
        <w:spacing w:before="240" w:after="160"/>
        <w:jc w:val="left"/>
      </w:pPr>
      <w:r>
        <w:rPr>
          <w:rFonts w:ascii="Times New Roman" w:hAnsi="Times New Roman" w:cs="Times New Roman"/>
          <w:b/>
          <w:i w:val="0"/>
          <w:sz w:val="28"/>
        </w:rPr>
        <w:t>5.3 Feasibility Analysis</w:t>
      </w:r>
    </w:p>
    <w:p>
      <w:pPr>
        <w:keepNext/>
        <w:spacing w:before="160" w:after="80"/>
        <w:jc w:val="left"/>
      </w:pPr>
      <w:r>
        <w:rPr>
          <w:rFonts w:ascii="Times New Roman" w:hAnsi="Times New Roman" w:cs="Times New Roman"/>
          <w:b/>
          <w:i/>
          <w:sz w:val="24"/>
        </w:rPr>
        <w:t>A. Technical Feasibility</w:t>
      </w:r>
    </w:p>
    <w:p>
      <w:pPr>
        <w:spacing w:line="360" w:lineRule="auto" w:after="160"/>
        <w:jc w:val="both"/>
      </w:pPr>
      <w:r>
        <w:rPr>
          <w:rFonts w:ascii="Times New Roman" w:hAnsi="Times New Roman" w:cs="Times New Roman"/>
          <w:b w:val="0"/>
          <w:i w:val="0"/>
          <w:sz w:val="24"/>
        </w:rPr>
        <w:t>The platform is engineered using mature, cost-effective, and proven technologies. All components — from speech recognition for Indian languages to ONDC adapters and satellite imagery APIs — are commercially available or buildable on open-source foundations. A functional Minimum Viable Product (MVP) can be developed in 5 to 6 months by a team of 8 engineers, at an estimated cost of ₹35 lakh including AI training. Cloud operating costs at 1 lakh Daily Active Users are estimated at ₹3.5 lakh per month — comfortably within the projected revenue at that scale.</w:t>
      </w:r>
    </w:p>
    <w:p>
      <w:pPr>
        <w:keepNext/>
        <w:spacing w:before="160" w:after="80"/>
        <w:jc w:val="left"/>
      </w:pPr>
      <w:r>
        <w:rPr>
          <w:rFonts w:ascii="Times New Roman" w:hAnsi="Times New Roman" w:cs="Times New Roman"/>
          <w:b/>
          <w:i/>
          <w:sz w:val="24"/>
        </w:rPr>
        <w:t>B. Market Feasibility</w:t>
      </w:r>
    </w:p>
    <w:p>
      <w:pPr>
        <w:pStyle w:val="ListBullet"/>
        <w:spacing w:line="360" w:lineRule="auto" w:after="80"/>
        <w:jc w:val="both"/>
      </w:pPr>
      <w:r>
        <w:rPr>
          <w:rFonts w:ascii="Times New Roman" w:hAnsi="Times New Roman" w:cs="Times New Roman"/>
          <w:b w:val="0"/>
          <w:i w:val="0"/>
          <w:sz w:val="24"/>
        </w:rPr>
        <w:t>India has 14.6 crore operational landholdings — an enormous, underserved user base.</w:t>
      </w:r>
    </w:p>
    <w:p>
      <w:pPr>
        <w:pStyle w:val="ListBullet"/>
        <w:spacing w:line="360" w:lineRule="auto" w:after="80"/>
        <w:jc w:val="both"/>
      </w:pPr>
      <w:r>
        <w:rPr>
          <w:rFonts w:ascii="Times New Roman" w:hAnsi="Times New Roman" w:cs="Times New Roman"/>
          <w:b w:val="0"/>
          <w:i w:val="0"/>
          <w:sz w:val="24"/>
        </w:rPr>
        <w:t>FY 2024-25 saw USD 2.4 billion in Agri-Tech funding — robust capital availability.</w:t>
      </w:r>
    </w:p>
    <w:p>
      <w:pPr>
        <w:pStyle w:val="ListBullet"/>
        <w:spacing w:line="360" w:lineRule="auto" w:after="80"/>
        <w:jc w:val="both"/>
      </w:pPr>
      <w:r>
        <w:rPr>
          <w:rFonts w:ascii="Times New Roman" w:hAnsi="Times New Roman" w:cs="Times New Roman"/>
          <w:b w:val="0"/>
          <w:i w:val="0"/>
          <w:sz w:val="24"/>
        </w:rPr>
        <w:t>Government rails (e-NAM, ONDC, PM-KISAN) have reduced go-to-market friction by an estimated 40 percent.</w:t>
      </w:r>
    </w:p>
    <w:p>
      <w:pPr>
        <w:pStyle w:val="ListBullet"/>
        <w:spacing w:line="360" w:lineRule="auto" w:after="80"/>
        <w:jc w:val="both"/>
      </w:pPr>
      <w:r>
        <w:rPr>
          <w:rFonts w:ascii="Times New Roman" w:hAnsi="Times New Roman" w:cs="Times New Roman"/>
          <w:b w:val="0"/>
          <w:i w:val="0"/>
          <w:sz w:val="24"/>
        </w:rPr>
        <w:t>Pilot studies by similar players (DeHaat, AgroStar) show 40 to 60 percent repeat usage within 6 months — proving stickiness.</w:t>
      </w:r>
    </w:p>
    <w:p>
      <w:pPr>
        <w:keepNext/>
        <w:spacing w:before="160" w:after="80"/>
        <w:jc w:val="left"/>
      </w:pPr>
      <w:r>
        <w:rPr>
          <w:rFonts w:ascii="Times New Roman" w:hAnsi="Times New Roman" w:cs="Times New Roman"/>
          <w:b/>
          <w:i/>
          <w:sz w:val="24"/>
        </w:rPr>
        <w:t>C. Operational Feasibility</w:t>
      </w:r>
    </w:p>
    <w:p>
      <w:pPr>
        <w:pStyle w:val="ListBullet"/>
        <w:spacing w:line="360" w:lineRule="auto" w:after="80"/>
        <w:jc w:val="both"/>
      </w:pPr>
      <w:r>
        <w:rPr>
          <w:rFonts w:ascii="Times New Roman" w:hAnsi="Times New Roman" w:cs="Times New Roman"/>
          <w:b w:val="0"/>
          <w:i w:val="0"/>
          <w:sz w:val="24"/>
        </w:rPr>
        <w:t>FPO partnerships dramatically reduce farmer onboarding cost — a single FPO MoU brings 200 to 800 farmers at near-zero CAC.</w:t>
      </w:r>
    </w:p>
    <w:p>
      <w:pPr>
        <w:pStyle w:val="ListBullet"/>
        <w:spacing w:line="360" w:lineRule="auto" w:after="80"/>
        <w:jc w:val="both"/>
      </w:pPr>
      <w:r>
        <w:rPr>
          <w:rFonts w:ascii="Times New Roman" w:hAnsi="Times New Roman" w:cs="Times New Roman"/>
          <w:b w:val="0"/>
          <w:i w:val="0"/>
          <w:sz w:val="24"/>
        </w:rPr>
        <w:t>Existing rural logistics partners (Delhivery Rural, India Post Parcel) can handle last-mile input delivery without building proprietary fleet.</w:t>
      </w:r>
    </w:p>
    <w:p>
      <w:pPr>
        <w:pStyle w:val="ListBullet"/>
        <w:spacing w:line="360" w:lineRule="auto" w:after="80"/>
        <w:jc w:val="both"/>
      </w:pPr>
      <w:r>
        <w:rPr>
          <w:rFonts w:ascii="Times New Roman" w:hAnsi="Times New Roman" w:cs="Times New Roman"/>
          <w:b w:val="0"/>
          <w:i w:val="0"/>
          <w:sz w:val="24"/>
        </w:rPr>
        <w:t>Krishi Mitra field officer model is asset-light, performance-linked, and scalable.</w:t>
      </w:r>
    </w:p>
    <w:p>
      <w:pPr>
        <w:keepNext/>
        <w:spacing w:before="160" w:after="80"/>
        <w:jc w:val="left"/>
      </w:pPr>
      <w:r>
        <w:rPr>
          <w:rFonts w:ascii="Times New Roman" w:hAnsi="Times New Roman" w:cs="Times New Roman"/>
          <w:b/>
          <w:i/>
          <w:sz w:val="24"/>
        </w:rPr>
        <w:t>D. Financial Feasibility</w:t>
      </w:r>
    </w:p>
    <w:p>
      <w:pPr>
        <w:pStyle w:val="ListBullet"/>
        <w:spacing w:line="360" w:lineRule="auto" w:after="80"/>
        <w:jc w:val="both"/>
      </w:pPr>
      <w:r>
        <w:rPr>
          <w:rFonts w:ascii="Times New Roman" w:hAnsi="Times New Roman" w:cs="Times New Roman"/>
          <w:b w:val="0"/>
          <w:i w:val="0"/>
          <w:sz w:val="24"/>
        </w:rPr>
        <w:t>Initial investment of ₹95 lakh is achievable through a combination of founder equity, NABARD Agri-Tech grants, and angel investors.</w:t>
      </w:r>
    </w:p>
    <w:p>
      <w:pPr>
        <w:pStyle w:val="ListBullet"/>
        <w:spacing w:line="360" w:lineRule="auto" w:after="80"/>
        <w:jc w:val="both"/>
      </w:pPr>
      <w:r>
        <w:rPr>
          <w:rFonts w:ascii="Times New Roman" w:hAnsi="Times New Roman" w:cs="Times New Roman"/>
          <w:b w:val="0"/>
          <w:i w:val="0"/>
          <w:sz w:val="24"/>
        </w:rPr>
        <w:t>Strong unit economics: contribution margin per active farmer reaches ₹420 per year by Month 18.</w:t>
      </w:r>
    </w:p>
    <w:p>
      <w:pPr>
        <w:pStyle w:val="ListBullet"/>
        <w:spacing w:line="360" w:lineRule="auto" w:after="80"/>
        <w:jc w:val="both"/>
      </w:pPr>
      <w:r>
        <w:rPr>
          <w:rFonts w:ascii="Times New Roman" w:hAnsi="Times New Roman" w:cs="Times New Roman"/>
          <w:b w:val="0"/>
          <w:i w:val="0"/>
          <w:sz w:val="24"/>
        </w:rPr>
        <w:t>Path to break-even in 30 months — comparable to top-quartile Indian SaaS startups.</w:t>
      </w:r>
    </w:p>
    <w:p>
      <w:pPr>
        <w:keepNext/>
        <w:spacing w:before="240" w:after="160"/>
        <w:jc w:val="left"/>
      </w:pPr>
      <w:r>
        <w:rPr>
          <w:rFonts w:ascii="Times New Roman" w:hAnsi="Times New Roman" w:cs="Times New Roman"/>
          <w:b/>
          <w:i w:val="0"/>
          <w:sz w:val="28"/>
        </w:rPr>
        <w:t>5.4 Business Model Canvas</w:t>
      </w:r>
    </w:p>
    <w:p>
      <w:pPr>
        <w:keepNext/>
        <w:spacing w:before="160" w:after="80"/>
        <w:jc w:val="left"/>
      </w:pPr>
      <w:r>
        <w:rPr>
          <w:rFonts w:ascii="Times New Roman" w:hAnsi="Times New Roman" w:cs="Times New Roman"/>
          <w:b/>
          <w:i/>
          <w:sz w:val="24"/>
        </w:rPr>
        <w:t>Table 5.2 — Business Model Canvas (9 Blocks)</w:t>
      </w:r>
    </w:p>
    <w:tbl>
      <w:tblPr>
        <w:tblStyle w:val="LightGrid-Accent1"/>
        <w:tblW w:type="auto" w:w="0"/>
        <w:jc w:val="center"/>
        <w:tblLook w:firstColumn="1" w:firstRow="1" w:lastColumn="0" w:lastRow="0" w:noHBand="0" w:noVBand="1" w:val="04A0"/>
      </w:tblPr>
      <w:tblGrid>
        <w:gridCol w:w="4500"/>
        <w:gridCol w:w="4500"/>
      </w:tblGrid>
      <w:tr>
        <w:tc>
          <w:tcPr>
            <w:tcW w:type="dxa" w:w="2304"/>
          </w:tcPr>
          <w:p>
            <w:pPr>
              <w:spacing w:line="276" w:lineRule="auto" w:after="40"/>
              <w:jc w:val="left"/>
            </w:pPr>
            <w:r/>
            <w:r>
              <w:rPr>
                <w:rFonts w:ascii="Times New Roman" w:hAnsi="Times New Roman" w:cs="Times New Roman"/>
                <w:b/>
                <w:i w:val="0"/>
                <w:sz w:val="22"/>
              </w:rPr>
              <w:t>Block</w:t>
            </w:r>
          </w:p>
        </w:tc>
        <w:tc>
          <w:tcPr>
            <w:tcW w:type="dxa" w:w="6624"/>
          </w:tcPr>
          <w:p>
            <w:pPr>
              <w:spacing w:line="276" w:lineRule="auto" w:after="40"/>
              <w:jc w:val="left"/>
            </w:pPr>
            <w:r/>
            <w:r>
              <w:rPr>
                <w:rFonts w:ascii="Times New Roman" w:hAnsi="Times New Roman" w:cs="Times New Roman"/>
                <w:b/>
                <w:i w:val="0"/>
                <w:sz w:val="22"/>
              </w:rPr>
              <w:t>Content</w:t>
            </w:r>
          </w:p>
        </w:tc>
      </w:tr>
      <w:tr>
        <w:tc>
          <w:tcPr>
            <w:tcW w:type="dxa" w:w="2304"/>
          </w:tcPr>
          <w:p>
            <w:pPr>
              <w:spacing w:line="276" w:lineRule="auto" w:after="40"/>
              <w:jc w:val="left"/>
            </w:pPr>
            <w:r/>
            <w:r>
              <w:rPr>
                <w:rFonts w:ascii="Times New Roman" w:hAnsi="Times New Roman" w:cs="Times New Roman"/>
                <w:b w:val="0"/>
                <w:i w:val="0"/>
                <w:sz w:val="22"/>
              </w:rPr>
              <w:t>1. Customer Segments</w:t>
            </w:r>
          </w:p>
        </w:tc>
        <w:tc>
          <w:tcPr>
            <w:tcW w:type="dxa" w:w="6624"/>
          </w:tcPr>
          <w:p>
            <w:pPr>
              <w:spacing w:line="276" w:lineRule="auto" w:after="40"/>
              <w:jc w:val="left"/>
            </w:pPr>
            <w:r/>
            <w:r>
              <w:rPr>
                <w:rFonts w:ascii="Times New Roman" w:hAnsi="Times New Roman" w:cs="Times New Roman"/>
                <w:b w:val="0"/>
                <w:i w:val="0"/>
                <w:sz w:val="22"/>
              </w:rPr>
              <w:t>Smallholder farmers, FPOs, retailers, processors, exporters, HoReCa, urban D2C households.</w:t>
            </w:r>
          </w:p>
        </w:tc>
      </w:tr>
      <w:tr>
        <w:tc>
          <w:tcPr>
            <w:tcW w:type="dxa" w:w="2304"/>
          </w:tcPr>
          <w:p>
            <w:pPr>
              <w:spacing w:line="276" w:lineRule="auto" w:after="40"/>
              <w:jc w:val="left"/>
            </w:pPr>
            <w:r/>
            <w:r>
              <w:rPr>
                <w:rFonts w:ascii="Times New Roman" w:hAnsi="Times New Roman" w:cs="Times New Roman"/>
                <w:b w:val="0"/>
                <w:i w:val="0"/>
                <w:sz w:val="22"/>
              </w:rPr>
              <w:t>2. Value Propositions</w:t>
            </w:r>
          </w:p>
        </w:tc>
        <w:tc>
          <w:tcPr>
            <w:tcW w:type="dxa" w:w="6624"/>
          </w:tcPr>
          <w:p>
            <w:pPr>
              <w:spacing w:line="276" w:lineRule="auto" w:after="40"/>
              <w:jc w:val="left"/>
            </w:pPr>
            <w:r/>
            <w:r>
              <w:rPr>
                <w:rFonts w:ascii="Times New Roman" w:hAnsi="Times New Roman" w:cs="Times New Roman"/>
                <w:b w:val="0"/>
                <w:i w:val="0"/>
                <w:sz w:val="22"/>
              </w:rPr>
              <w:t>For Farmers: 18 to 25 percent higher realisation, 30 percent cheaper inputs, instant credit, free advisory. For Buyers: traceable, quality-graded produce at 10 to 15 percent lower than mandi cost.</w:t>
            </w:r>
          </w:p>
        </w:tc>
      </w:tr>
      <w:tr>
        <w:tc>
          <w:tcPr>
            <w:tcW w:type="dxa" w:w="2304"/>
          </w:tcPr>
          <w:p>
            <w:pPr>
              <w:spacing w:line="276" w:lineRule="auto" w:after="40"/>
              <w:jc w:val="left"/>
            </w:pPr>
            <w:r/>
            <w:r>
              <w:rPr>
                <w:rFonts w:ascii="Times New Roman" w:hAnsi="Times New Roman" w:cs="Times New Roman"/>
                <w:b w:val="0"/>
                <w:i w:val="0"/>
                <w:sz w:val="22"/>
              </w:rPr>
              <w:t>3. Channels</w:t>
            </w:r>
          </w:p>
        </w:tc>
        <w:tc>
          <w:tcPr>
            <w:tcW w:type="dxa" w:w="6624"/>
          </w:tcPr>
          <w:p>
            <w:pPr>
              <w:spacing w:line="276" w:lineRule="auto" w:after="40"/>
              <w:jc w:val="left"/>
            </w:pPr>
            <w:r/>
            <w:r>
              <w:rPr>
                <w:rFonts w:ascii="Times New Roman" w:hAnsi="Times New Roman" w:cs="Times New Roman"/>
                <w:b w:val="0"/>
                <w:i w:val="0"/>
                <w:sz w:val="22"/>
              </w:rPr>
              <w:t>Mobile app (Android), web portal, FPO partnerships, IVR helpline (1800-KRISHI), social media in regional languages, on-ground demos at Krishi Vigyan Kendras and rural haats.</w:t>
            </w:r>
          </w:p>
        </w:tc>
      </w:tr>
      <w:tr>
        <w:tc>
          <w:tcPr>
            <w:tcW w:type="dxa" w:w="2304"/>
          </w:tcPr>
          <w:p>
            <w:pPr>
              <w:spacing w:line="276" w:lineRule="auto" w:after="40"/>
              <w:jc w:val="left"/>
            </w:pPr>
            <w:r/>
            <w:r>
              <w:rPr>
                <w:rFonts w:ascii="Times New Roman" w:hAnsi="Times New Roman" w:cs="Times New Roman"/>
                <w:b w:val="0"/>
                <w:i w:val="0"/>
                <w:sz w:val="22"/>
              </w:rPr>
              <w:t>4. Customer Relationships</w:t>
            </w:r>
          </w:p>
        </w:tc>
        <w:tc>
          <w:tcPr>
            <w:tcW w:type="dxa" w:w="6624"/>
          </w:tcPr>
          <w:p>
            <w:pPr>
              <w:spacing w:line="276" w:lineRule="auto" w:after="40"/>
              <w:jc w:val="left"/>
            </w:pPr>
            <w:r/>
            <w:r>
              <w:rPr>
                <w:rFonts w:ascii="Times New Roman" w:hAnsi="Times New Roman" w:cs="Times New Roman"/>
                <w:b w:val="0"/>
                <w:i w:val="0"/>
                <w:sz w:val="22"/>
              </w:rPr>
              <w:t>Self-service app + voice support; Krishi Mitra field officers in each cluster; community WhatsApp groups; in-app gamification (Kisan Points loyalty programme).</w:t>
            </w:r>
          </w:p>
        </w:tc>
      </w:tr>
      <w:tr>
        <w:tc>
          <w:tcPr>
            <w:tcW w:type="dxa" w:w="2304"/>
          </w:tcPr>
          <w:p>
            <w:pPr>
              <w:spacing w:line="276" w:lineRule="auto" w:after="40"/>
              <w:jc w:val="left"/>
            </w:pPr>
            <w:r/>
            <w:r>
              <w:rPr>
                <w:rFonts w:ascii="Times New Roman" w:hAnsi="Times New Roman" w:cs="Times New Roman"/>
                <w:b w:val="0"/>
                <w:i w:val="0"/>
                <w:sz w:val="22"/>
              </w:rPr>
              <w:t>5. Revenue Streams</w:t>
            </w:r>
          </w:p>
        </w:tc>
        <w:tc>
          <w:tcPr>
            <w:tcW w:type="dxa" w:w="6624"/>
          </w:tcPr>
          <w:p>
            <w:pPr>
              <w:spacing w:line="276" w:lineRule="auto" w:after="40"/>
              <w:jc w:val="left"/>
            </w:pPr>
            <w:r/>
            <w:r>
              <w:rPr>
                <w:rFonts w:ascii="Times New Roman" w:hAnsi="Times New Roman" w:cs="Times New Roman"/>
                <w:b w:val="0"/>
                <w:i w:val="0"/>
                <w:sz w:val="22"/>
              </w:rPr>
              <w:t>Marketplace commission (45%), input margins (20%), equipment rental fees (10%), finance/insurance commissions (15%), KrishiPro subscriptions (10%).</w:t>
            </w:r>
          </w:p>
        </w:tc>
      </w:tr>
      <w:tr>
        <w:tc>
          <w:tcPr>
            <w:tcW w:type="dxa" w:w="2304"/>
          </w:tcPr>
          <w:p>
            <w:pPr>
              <w:spacing w:line="276" w:lineRule="auto" w:after="40"/>
              <w:jc w:val="left"/>
            </w:pPr>
            <w:r/>
            <w:r>
              <w:rPr>
                <w:rFonts w:ascii="Times New Roman" w:hAnsi="Times New Roman" w:cs="Times New Roman"/>
                <w:b w:val="0"/>
                <w:i w:val="0"/>
                <w:sz w:val="22"/>
              </w:rPr>
              <w:t>6. Key Resources</w:t>
            </w:r>
          </w:p>
        </w:tc>
        <w:tc>
          <w:tcPr>
            <w:tcW w:type="dxa" w:w="6624"/>
          </w:tcPr>
          <w:p>
            <w:pPr>
              <w:spacing w:line="276" w:lineRule="auto" w:after="40"/>
              <w:jc w:val="left"/>
            </w:pPr>
            <w:r/>
            <w:r>
              <w:rPr>
                <w:rFonts w:ascii="Times New Roman" w:hAnsi="Times New Roman" w:cs="Times New Roman"/>
                <w:b w:val="0"/>
                <w:i w:val="0"/>
                <w:sz w:val="22"/>
              </w:rPr>
              <w:t>Technology platform, proprietary AI/ML models, dataset of crops/diseases/prices, FPO partnership network, field-officer base, brand trust in rural India.</w:t>
            </w:r>
          </w:p>
        </w:tc>
      </w:tr>
      <w:tr>
        <w:tc>
          <w:tcPr>
            <w:tcW w:type="dxa" w:w="2304"/>
          </w:tcPr>
          <w:p>
            <w:pPr>
              <w:spacing w:line="276" w:lineRule="auto" w:after="40"/>
              <w:jc w:val="left"/>
            </w:pPr>
            <w:r/>
            <w:r>
              <w:rPr>
                <w:rFonts w:ascii="Times New Roman" w:hAnsi="Times New Roman" w:cs="Times New Roman"/>
                <w:b w:val="0"/>
                <w:i w:val="0"/>
                <w:sz w:val="22"/>
              </w:rPr>
              <w:t>7. Key Activities</w:t>
            </w:r>
          </w:p>
        </w:tc>
        <w:tc>
          <w:tcPr>
            <w:tcW w:type="dxa" w:w="6624"/>
          </w:tcPr>
          <w:p>
            <w:pPr>
              <w:spacing w:line="276" w:lineRule="auto" w:after="40"/>
              <w:jc w:val="left"/>
            </w:pPr>
            <w:r/>
            <w:r>
              <w:rPr>
                <w:rFonts w:ascii="Times New Roman" w:hAnsi="Times New Roman" w:cs="Times New Roman"/>
                <w:b w:val="0"/>
                <w:i w:val="0"/>
                <w:sz w:val="22"/>
              </w:rPr>
              <w:t>Farmer and buyer onboarding, platform development, AI model training, quality assurance, last-mile logistics coordination, regulatory compliance, financial settlements.</w:t>
            </w:r>
          </w:p>
        </w:tc>
      </w:tr>
      <w:tr>
        <w:tc>
          <w:tcPr>
            <w:tcW w:type="dxa" w:w="2304"/>
          </w:tcPr>
          <w:p>
            <w:pPr>
              <w:spacing w:line="276" w:lineRule="auto" w:after="40"/>
              <w:jc w:val="left"/>
            </w:pPr>
            <w:r/>
            <w:r>
              <w:rPr>
                <w:rFonts w:ascii="Times New Roman" w:hAnsi="Times New Roman" w:cs="Times New Roman"/>
                <w:b w:val="0"/>
                <w:i w:val="0"/>
                <w:sz w:val="22"/>
              </w:rPr>
              <w:t>8. Key Partners</w:t>
            </w:r>
          </w:p>
        </w:tc>
        <w:tc>
          <w:tcPr>
            <w:tcW w:type="dxa" w:w="6624"/>
          </w:tcPr>
          <w:p>
            <w:pPr>
              <w:spacing w:line="276" w:lineRule="auto" w:after="40"/>
              <w:jc w:val="left"/>
            </w:pPr>
            <w:r/>
            <w:r>
              <w:rPr>
                <w:rFonts w:ascii="Times New Roman" w:hAnsi="Times New Roman" w:cs="Times New Roman"/>
                <w:b w:val="0"/>
                <w:i w:val="0"/>
                <w:sz w:val="22"/>
              </w:rPr>
              <w:t>NBFCs (Samunnati, Jai Kisan), insurance firms (HDFC Ergo, ICICI Lombard), logistics (Delhivery, Ecom Express), input manufacturers (UPL, Coromandel, Mahindra), state agriculture departments, FPOs, ONDC, NABARD.</w:t>
            </w:r>
          </w:p>
        </w:tc>
      </w:tr>
      <w:tr>
        <w:tc>
          <w:tcPr>
            <w:tcW w:type="dxa" w:w="2304"/>
          </w:tcPr>
          <w:p>
            <w:pPr>
              <w:spacing w:line="276" w:lineRule="auto" w:after="40"/>
              <w:jc w:val="left"/>
            </w:pPr>
            <w:r/>
            <w:r>
              <w:rPr>
                <w:rFonts w:ascii="Times New Roman" w:hAnsi="Times New Roman" w:cs="Times New Roman"/>
                <w:b w:val="0"/>
                <w:i w:val="0"/>
                <w:sz w:val="22"/>
              </w:rPr>
              <w:t>9. Cost Structure</w:t>
            </w:r>
          </w:p>
        </w:tc>
        <w:tc>
          <w:tcPr>
            <w:tcW w:type="dxa" w:w="6624"/>
          </w:tcPr>
          <w:p>
            <w:pPr>
              <w:spacing w:line="276" w:lineRule="auto" w:after="40"/>
              <w:jc w:val="left"/>
            </w:pPr>
            <w:r/>
            <w:r>
              <w:rPr>
                <w:rFonts w:ascii="Times New Roman" w:hAnsi="Times New Roman" w:cs="Times New Roman"/>
                <w:b w:val="0"/>
                <w:i w:val="0"/>
                <w:sz w:val="22"/>
              </w:rPr>
              <w:t>Cloud and infrastructure (15%), salaries — tech and field (45%), marketing and onboarding incentives (20%), logistics subsidy (8%), AI training compute (5%), customer support (4%), legal and compliance (3%).</w:t>
            </w:r>
          </w:p>
        </w:tc>
      </w:tr>
    </w:tbl>
    <w:p>
      <w:r>
        <w:br w:type="page"/>
      </w:r>
    </w:p>
    <w:p>
      <w:pPr>
        <w:keepNext/>
        <w:spacing w:before="360" w:after="280"/>
        <w:jc w:val="left"/>
      </w:pPr>
      <w:r>
        <w:rPr>
          <w:rFonts w:ascii="Times New Roman" w:hAnsi="Times New Roman" w:cs="Times New Roman"/>
          <w:b/>
          <w:i w:val="0"/>
          <w:sz w:val="32"/>
        </w:rPr>
        <w:t>6. Market Analysis and Competition</w:t>
      </w:r>
    </w:p>
    <w:p>
      <w:pPr>
        <w:keepNext/>
        <w:spacing w:before="240" w:after="160"/>
        <w:jc w:val="left"/>
      </w:pPr>
      <w:r>
        <w:rPr>
          <w:rFonts w:ascii="Times New Roman" w:hAnsi="Times New Roman" w:cs="Times New Roman"/>
          <w:b/>
          <w:i w:val="0"/>
          <w:sz w:val="28"/>
        </w:rPr>
        <w:t>6.1 Industry Overview</w:t>
      </w:r>
    </w:p>
    <w:p>
      <w:pPr>
        <w:spacing w:line="360" w:lineRule="auto" w:after="160"/>
        <w:jc w:val="both"/>
      </w:pPr>
      <w:r>
        <w:rPr>
          <w:rFonts w:ascii="Times New Roman" w:hAnsi="Times New Roman" w:cs="Times New Roman"/>
          <w:b w:val="0"/>
          <w:i w:val="0"/>
          <w:sz w:val="24"/>
        </w:rPr>
        <w:t>The Indian agricultural sector, valued at approximately USD 407 billion in 2025, is the world's second largest by output and the largest by employment. Within this, the addressable Agri-Tech market — encompassing market linkage, input commerce, advisory, fintech, equipment, and post-harvest services — was valued at USD 24.1 billion in 2025 and is projected to grow to USD 34 billion by 2027 (Bain &amp; Company joint study with EY-NASSCOM, 2024). Within this, market linkage and farmer commerce platforms — the core of KrishiConnect's offering — constitute the fastest-growing sub-segment, with projected CAGR of 38 percent through 2030.</w:t>
      </w:r>
    </w:p>
    <w:p>
      <w:pPr>
        <w:keepNext/>
        <w:spacing w:before="240" w:after="160"/>
        <w:jc w:val="left"/>
      </w:pPr>
      <w:r>
        <w:rPr>
          <w:rFonts w:ascii="Times New Roman" w:hAnsi="Times New Roman" w:cs="Times New Roman"/>
          <w:b/>
          <w:i w:val="0"/>
          <w:sz w:val="28"/>
        </w:rPr>
        <w:t>6.2 Market Sizing — TAM, SAM, SOM</w:t>
      </w:r>
    </w:p>
    <w:p>
      <w:pPr>
        <w:spacing w:line="360" w:lineRule="auto" w:after="160"/>
        <w:jc w:val="both"/>
      </w:pPr>
      <w:r>
        <w:rPr>
          <w:rFonts w:ascii="Times New Roman" w:hAnsi="Times New Roman" w:cs="Times New Roman"/>
          <w:b/>
          <w:i w:val="0"/>
          <w:sz w:val="24"/>
        </w:rPr>
        <w:t>Total Addressable Market (TAM):</w:t>
      </w:r>
    </w:p>
    <w:p>
      <w:pPr>
        <w:spacing w:line="360" w:lineRule="auto" w:after="160"/>
        <w:ind w:firstLine="576"/>
        <w:jc w:val="both"/>
      </w:pPr>
      <w:r>
        <w:rPr>
          <w:rFonts w:ascii="Times New Roman" w:hAnsi="Times New Roman" w:cs="Times New Roman"/>
          <w:b w:val="0"/>
          <w:i w:val="0"/>
          <w:sz w:val="24"/>
        </w:rPr>
        <w:t>The Indian Agri-Tech opportunity is estimated at USD 24.1 billion as of 2025, projected to reach USD 34 billion by 2027. KrishiConnect's services span at least 70 percent of this addressable spend.</w:t>
      </w:r>
    </w:p>
    <w:p>
      <w:pPr>
        <w:spacing w:line="360" w:lineRule="auto" w:after="160"/>
        <w:jc w:val="both"/>
      </w:pPr>
      <w:r>
        <w:rPr>
          <w:rFonts w:ascii="Times New Roman" w:hAnsi="Times New Roman" w:cs="Times New Roman"/>
          <w:b/>
          <w:i w:val="0"/>
          <w:sz w:val="24"/>
        </w:rPr>
        <w:t>Serviceable Addressable Market (SAM):</w:t>
      </w:r>
    </w:p>
    <w:p>
      <w:pPr>
        <w:spacing w:line="360" w:lineRule="auto" w:after="160"/>
        <w:ind w:firstLine="576"/>
        <w:jc w:val="both"/>
      </w:pPr>
      <w:r>
        <w:rPr>
          <w:rFonts w:ascii="Times New Roman" w:hAnsi="Times New Roman" w:cs="Times New Roman"/>
          <w:b w:val="0"/>
          <w:i w:val="0"/>
          <w:sz w:val="24"/>
        </w:rPr>
        <w:t>Focusing on the top 10 agrarian states (UP, MP, Bihar, Maharashtra, Punjab, Haryana, Karnataka, Andhra Pradesh, Telangana, West Bengal) where smartphone penetration and ONDC readiness are highest, the SAM is approximately USD 9.6 billion.</w:t>
      </w:r>
    </w:p>
    <w:p>
      <w:pPr>
        <w:spacing w:line="360" w:lineRule="auto" w:after="160"/>
        <w:jc w:val="both"/>
      </w:pPr>
      <w:r>
        <w:rPr>
          <w:rFonts w:ascii="Times New Roman" w:hAnsi="Times New Roman" w:cs="Times New Roman"/>
          <w:b/>
          <w:i w:val="0"/>
          <w:sz w:val="24"/>
        </w:rPr>
        <w:t>Serviceable Obtainable Market (SOM):</w:t>
      </w:r>
    </w:p>
    <w:p>
      <w:pPr>
        <w:spacing w:line="360" w:lineRule="auto" w:after="160"/>
        <w:ind w:firstLine="576"/>
        <w:jc w:val="both"/>
      </w:pPr>
      <w:r>
        <w:rPr>
          <w:rFonts w:ascii="Times New Roman" w:hAnsi="Times New Roman" w:cs="Times New Roman"/>
          <w:b w:val="0"/>
          <w:i w:val="0"/>
          <w:sz w:val="24"/>
        </w:rPr>
        <w:t>A realistic five-year capture target — translating to approximately 1.2 million active farmers and 50,000 buyers — yields a SOM of USD 240 to 280 million in GMV with platform revenue of USD 9 to 14 million annually.</w:t>
      </w:r>
    </w:p>
    <w:p>
      <w:pPr>
        <w:keepNext/>
        <w:spacing w:before="240" w:after="160"/>
        <w:jc w:val="left"/>
      </w:pPr>
      <w:r>
        <w:rPr>
          <w:rFonts w:ascii="Times New Roman" w:hAnsi="Times New Roman" w:cs="Times New Roman"/>
          <w:b/>
          <w:i w:val="0"/>
          <w:sz w:val="28"/>
        </w:rPr>
        <w:t>6.3 Competitor Analysis</w:t>
      </w:r>
    </w:p>
    <w:p>
      <w:pPr>
        <w:keepNext/>
        <w:spacing w:before="160" w:after="80"/>
        <w:jc w:val="left"/>
      </w:pPr>
      <w:r>
        <w:rPr>
          <w:rFonts w:ascii="Times New Roman" w:hAnsi="Times New Roman" w:cs="Times New Roman"/>
          <w:b/>
          <w:i/>
          <w:sz w:val="24"/>
        </w:rPr>
        <w:t>Table 6.1 — Competitor Comparative Analysis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line="276" w:lineRule="auto" w:after="40"/>
              <w:jc w:val="left"/>
            </w:pPr>
            <w:r/>
            <w:r>
              <w:rPr>
                <w:rFonts w:ascii="Times New Roman" w:hAnsi="Times New Roman" w:cs="Times New Roman"/>
                <w:b/>
                <w:i w:val="0"/>
                <w:sz w:val="22"/>
              </w:rPr>
              <w:t>Competitor</w:t>
            </w:r>
          </w:p>
        </w:tc>
        <w:tc>
          <w:tcPr>
            <w:tcW w:type="dxa" w:w="3000"/>
          </w:tcPr>
          <w:p>
            <w:pPr>
              <w:spacing w:line="276" w:lineRule="auto" w:after="40"/>
              <w:jc w:val="left"/>
            </w:pPr>
            <w:r/>
            <w:r>
              <w:rPr>
                <w:rFonts w:ascii="Times New Roman" w:hAnsi="Times New Roman" w:cs="Times New Roman"/>
                <w:b/>
                <w:i w:val="0"/>
                <w:sz w:val="22"/>
              </w:rPr>
              <w:t>Strengths</w:t>
            </w:r>
          </w:p>
        </w:tc>
        <w:tc>
          <w:tcPr>
            <w:tcW w:type="dxa" w:w="3000"/>
          </w:tcPr>
          <w:p>
            <w:pPr>
              <w:spacing w:line="276" w:lineRule="auto" w:after="40"/>
              <w:jc w:val="left"/>
            </w:pPr>
            <w:r/>
            <w:r>
              <w:rPr>
                <w:rFonts w:ascii="Times New Roman" w:hAnsi="Times New Roman" w:cs="Times New Roman"/>
                <w:b/>
                <w:i w:val="0"/>
                <w:sz w:val="22"/>
              </w:rPr>
              <w:t>Weaknesses</w:t>
            </w:r>
          </w:p>
        </w:tc>
      </w:tr>
      <w:tr>
        <w:tc>
          <w:tcPr>
            <w:tcW w:type="dxa" w:w="3000"/>
          </w:tcPr>
          <w:p>
            <w:pPr>
              <w:spacing w:line="276" w:lineRule="auto" w:after="40"/>
              <w:jc w:val="left"/>
            </w:pPr>
            <w:r/>
            <w:r>
              <w:rPr>
                <w:rFonts w:ascii="Times New Roman" w:hAnsi="Times New Roman" w:cs="Times New Roman"/>
                <w:b w:val="0"/>
                <w:i w:val="0"/>
                <w:sz w:val="22"/>
              </w:rPr>
              <w:t>DeHaat</w:t>
            </w:r>
          </w:p>
        </w:tc>
        <w:tc>
          <w:tcPr>
            <w:tcW w:type="dxa" w:w="3000"/>
          </w:tcPr>
          <w:p>
            <w:pPr>
              <w:spacing w:line="276" w:lineRule="auto" w:after="40"/>
              <w:jc w:val="left"/>
            </w:pPr>
            <w:r/>
            <w:r>
              <w:rPr>
                <w:rFonts w:ascii="Times New Roman" w:hAnsi="Times New Roman" w:cs="Times New Roman"/>
                <w:b w:val="0"/>
                <w:i w:val="0"/>
                <w:sz w:val="22"/>
              </w:rPr>
              <w:t>Strong rural network of 11,000+ micro-entrepreneurs; full-stack model covering inputs, advisory, output sales; raised over USD 200 million.</w:t>
            </w:r>
          </w:p>
        </w:tc>
        <w:tc>
          <w:tcPr>
            <w:tcW w:type="dxa" w:w="3000"/>
          </w:tcPr>
          <w:p>
            <w:pPr>
              <w:spacing w:line="276" w:lineRule="auto" w:after="40"/>
              <w:jc w:val="left"/>
            </w:pPr>
            <w:r/>
            <w:r>
              <w:rPr>
                <w:rFonts w:ascii="Times New Roman" w:hAnsi="Times New Roman" w:cs="Times New Roman"/>
                <w:b w:val="0"/>
                <w:i w:val="0"/>
                <w:sz w:val="22"/>
              </w:rPr>
              <w:t>Heavy dependence on field officers (high opex); limited buyer-side technology; weak on equipment rental and embedded finance.</w:t>
            </w:r>
          </w:p>
        </w:tc>
      </w:tr>
      <w:tr>
        <w:tc>
          <w:tcPr>
            <w:tcW w:type="dxa" w:w="3000"/>
          </w:tcPr>
          <w:p>
            <w:pPr>
              <w:spacing w:line="276" w:lineRule="auto" w:after="40"/>
              <w:jc w:val="left"/>
            </w:pPr>
            <w:r/>
            <w:r>
              <w:rPr>
                <w:rFonts w:ascii="Times New Roman" w:hAnsi="Times New Roman" w:cs="Times New Roman"/>
                <w:b w:val="0"/>
                <w:i w:val="0"/>
                <w:sz w:val="22"/>
              </w:rPr>
              <w:t>Ninjacart</w:t>
            </w:r>
          </w:p>
        </w:tc>
        <w:tc>
          <w:tcPr>
            <w:tcW w:type="dxa" w:w="3000"/>
          </w:tcPr>
          <w:p>
            <w:pPr>
              <w:spacing w:line="276" w:lineRule="auto" w:after="40"/>
              <w:jc w:val="left"/>
            </w:pPr>
            <w:r/>
            <w:r>
              <w:rPr>
                <w:rFonts w:ascii="Times New Roman" w:hAnsi="Times New Roman" w:cs="Times New Roman"/>
                <w:b w:val="0"/>
                <w:i w:val="0"/>
                <w:sz w:val="22"/>
              </w:rPr>
              <w:t>Largest fresh-produce B2B supply chain in India; well-developed cold chain and logistics; Walmart-backed.</w:t>
            </w:r>
          </w:p>
        </w:tc>
        <w:tc>
          <w:tcPr>
            <w:tcW w:type="dxa" w:w="3000"/>
          </w:tcPr>
          <w:p>
            <w:pPr>
              <w:spacing w:line="276" w:lineRule="auto" w:after="40"/>
              <w:jc w:val="left"/>
            </w:pPr>
            <w:r/>
            <w:r>
              <w:rPr>
                <w:rFonts w:ascii="Times New Roman" w:hAnsi="Times New Roman" w:cs="Times New Roman"/>
                <w:b w:val="0"/>
                <w:i w:val="0"/>
                <w:sz w:val="22"/>
              </w:rPr>
              <w:t>Primarily focused on B2B for urban retailers; limited farmer-side empowerment (no input store, no advisory app); thin margins.</w:t>
            </w:r>
          </w:p>
        </w:tc>
      </w:tr>
      <w:tr>
        <w:tc>
          <w:tcPr>
            <w:tcW w:type="dxa" w:w="3000"/>
          </w:tcPr>
          <w:p>
            <w:pPr>
              <w:spacing w:line="276" w:lineRule="auto" w:after="40"/>
              <w:jc w:val="left"/>
            </w:pPr>
            <w:r/>
            <w:r>
              <w:rPr>
                <w:rFonts w:ascii="Times New Roman" w:hAnsi="Times New Roman" w:cs="Times New Roman"/>
                <w:b w:val="0"/>
                <w:i w:val="0"/>
                <w:sz w:val="22"/>
              </w:rPr>
              <w:t>AgroStar</w:t>
            </w:r>
          </w:p>
        </w:tc>
        <w:tc>
          <w:tcPr>
            <w:tcW w:type="dxa" w:w="3000"/>
          </w:tcPr>
          <w:p>
            <w:pPr>
              <w:spacing w:line="276" w:lineRule="auto" w:after="40"/>
              <w:jc w:val="left"/>
            </w:pPr>
            <w:r/>
            <w:r>
              <w:rPr>
                <w:rFonts w:ascii="Times New Roman" w:hAnsi="Times New Roman" w:cs="Times New Roman"/>
                <w:b w:val="0"/>
                <w:i w:val="0"/>
                <w:sz w:val="22"/>
              </w:rPr>
              <w:t>Strong farmer-app adoption (5 million+); excellent product catalog for inputs; great vernacular UX.</w:t>
            </w:r>
          </w:p>
        </w:tc>
        <w:tc>
          <w:tcPr>
            <w:tcW w:type="dxa" w:w="3000"/>
          </w:tcPr>
          <w:p>
            <w:pPr>
              <w:spacing w:line="276" w:lineRule="auto" w:after="40"/>
              <w:jc w:val="left"/>
            </w:pPr>
            <w:r/>
            <w:r>
              <w:rPr>
                <w:rFonts w:ascii="Times New Roman" w:hAnsi="Times New Roman" w:cs="Times New Roman"/>
                <w:b w:val="0"/>
                <w:i w:val="0"/>
                <w:sz w:val="22"/>
              </w:rPr>
              <w:t>Almost no marketplace for selling produce — one-way "selling to farmer" rather than two-way; minimal AI-driven services.</w:t>
            </w:r>
          </w:p>
        </w:tc>
      </w:tr>
      <w:tr>
        <w:tc>
          <w:tcPr>
            <w:tcW w:type="dxa" w:w="3000"/>
          </w:tcPr>
          <w:p>
            <w:pPr>
              <w:spacing w:line="276" w:lineRule="auto" w:after="40"/>
              <w:jc w:val="left"/>
            </w:pPr>
            <w:r/>
            <w:r>
              <w:rPr>
                <w:rFonts w:ascii="Times New Roman" w:hAnsi="Times New Roman" w:cs="Times New Roman"/>
                <w:b w:val="0"/>
                <w:i w:val="0"/>
                <w:sz w:val="22"/>
              </w:rPr>
              <w:t>Crofarm / Otipy</w:t>
            </w:r>
          </w:p>
        </w:tc>
        <w:tc>
          <w:tcPr>
            <w:tcW w:type="dxa" w:w="3000"/>
          </w:tcPr>
          <w:p>
            <w:pPr>
              <w:spacing w:line="276" w:lineRule="auto" w:after="40"/>
              <w:jc w:val="left"/>
            </w:pPr>
            <w:r/>
            <w:r>
              <w:rPr>
                <w:rFonts w:ascii="Times New Roman" w:hAnsi="Times New Roman" w:cs="Times New Roman"/>
                <w:b w:val="0"/>
                <w:i w:val="0"/>
                <w:sz w:val="22"/>
              </w:rPr>
              <w:t>Strong direct-to-consumer model; community-buying logistics innovation.</w:t>
            </w:r>
          </w:p>
        </w:tc>
        <w:tc>
          <w:tcPr>
            <w:tcW w:type="dxa" w:w="3000"/>
          </w:tcPr>
          <w:p>
            <w:pPr>
              <w:spacing w:line="276" w:lineRule="auto" w:after="40"/>
              <w:jc w:val="left"/>
            </w:pPr>
            <w:r/>
            <w:r>
              <w:rPr>
                <w:rFonts w:ascii="Times New Roman" w:hAnsi="Times New Roman" w:cs="Times New Roman"/>
                <w:b w:val="0"/>
                <w:i w:val="0"/>
                <w:sz w:val="22"/>
              </w:rPr>
              <w:t>Limited geographic reach; high perishable wastage; not built for upstream farmer empowerment.</w:t>
            </w:r>
          </w:p>
        </w:tc>
      </w:tr>
      <w:tr>
        <w:tc>
          <w:tcPr>
            <w:tcW w:type="dxa" w:w="3000"/>
          </w:tcPr>
          <w:p>
            <w:pPr>
              <w:spacing w:line="276" w:lineRule="auto" w:after="40"/>
              <w:jc w:val="left"/>
            </w:pPr>
            <w:r/>
            <w:r>
              <w:rPr>
                <w:rFonts w:ascii="Times New Roman" w:hAnsi="Times New Roman" w:cs="Times New Roman"/>
                <w:b w:val="0"/>
                <w:i w:val="0"/>
                <w:sz w:val="22"/>
              </w:rPr>
              <w:t>Reliance JioKrishi</w:t>
            </w:r>
          </w:p>
        </w:tc>
        <w:tc>
          <w:tcPr>
            <w:tcW w:type="dxa" w:w="3000"/>
          </w:tcPr>
          <w:p>
            <w:pPr>
              <w:spacing w:line="276" w:lineRule="auto" w:after="40"/>
              <w:jc w:val="left"/>
            </w:pPr>
            <w:r/>
            <w:r>
              <w:rPr>
                <w:rFonts w:ascii="Times New Roman" w:hAnsi="Times New Roman" w:cs="Times New Roman"/>
                <w:b w:val="0"/>
                <w:i w:val="0"/>
                <w:sz w:val="22"/>
              </w:rPr>
              <w:t>Massive parent-brand scale and capital; access to JioMart consumer base.</w:t>
            </w:r>
          </w:p>
        </w:tc>
        <w:tc>
          <w:tcPr>
            <w:tcW w:type="dxa" w:w="3000"/>
          </w:tcPr>
          <w:p>
            <w:pPr>
              <w:spacing w:line="276" w:lineRule="auto" w:after="40"/>
              <w:jc w:val="left"/>
            </w:pPr>
            <w:r/>
            <w:r>
              <w:rPr>
                <w:rFonts w:ascii="Times New Roman" w:hAnsi="Times New Roman" w:cs="Times New Roman"/>
                <w:b w:val="0"/>
                <w:i w:val="0"/>
                <w:sz w:val="22"/>
              </w:rPr>
              <w:t>Late entrant; closed ecosystem; not ONDC-native; limited AI personalisation as of 2025.</w:t>
            </w:r>
          </w:p>
        </w:tc>
      </w:tr>
    </w:tbl>
    <w:p>
      <w:pPr>
        <w:spacing w:line="360" w:lineRule="auto" w:after="160"/>
        <w:jc w:val="both"/>
      </w:pPr>
      <w:r>
        <w:rPr>
          <w:rFonts w:ascii="Times New Roman" w:hAnsi="Times New Roman" w:cs="Times New Roman"/>
          <w:b w:val="0"/>
          <w:i w:val="0"/>
          <w:sz w:val="24"/>
        </w:rPr>
        <w:t xml:space="preserve"> </w:t>
      </w:r>
    </w:p>
    <w:p>
      <w:pPr>
        <w:keepNext/>
        <w:spacing w:before="240" w:after="160"/>
        <w:jc w:val="left"/>
      </w:pPr>
      <w:r>
        <w:rPr>
          <w:rFonts w:ascii="Times New Roman" w:hAnsi="Times New Roman" w:cs="Times New Roman"/>
          <w:b/>
          <w:i w:val="0"/>
          <w:sz w:val="28"/>
        </w:rPr>
        <w:t>6.4 KrishiConnect — Competitive Edge</w:t>
      </w:r>
    </w:p>
    <w:p>
      <w:pPr>
        <w:spacing w:line="360" w:lineRule="auto" w:after="160"/>
        <w:jc w:val="both"/>
      </w:pPr>
      <w:r>
        <w:rPr>
          <w:rFonts w:ascii="Times New Roman" w:hAnsi="Times New Roman" w:cs="Times New Roman"/>
          <w:b w:val="0"/>
          <w:i w:val="0"/>
          <w:sz w:val="24"/>
        </w:rPr>
        <w:t>KrishiConnect occupies a clearly identifiable white space in the competitive landscape, differentiated on five vectors:</w:t>
      </w:r>
    </w:p>
    <w:p>
      <w:pPr>
        <w:pStyle w:val="ListBullet"/>
        <w:spacing w:line="360" w:lineRule="auto" w:after="80"/>
        <w:jc w:val="both"/>
      </w:pPr>
      <w:r>
        <w:rPr>
          <w:rFonts w:ascii="Times New Roman" w:hAnsi="Times New Roman" w:cs="Times New Roman"/>
          <w:b w:val="0"/>
          <w:i w:val="0"/>
          <w:sz w:val="24"/>
        </w:rPr>
        <w:t>A two-sided marketplace combined with input store, equipment rental, advisory, and finance — all unified. Competitors typically offer only two or three.</w:t>
      </w:r>
    </w:p>
    <w:p>
      <w:pPr>
        <w:pStyle w:val="ListBullet"/>
        <w:spacing w:line="360" w:lineRule="auto" w:after="80"/>
        <w:jc w:val="both"/>
      </w:pPr>
      <w:r>
        <w:rPr>
          <w:rFonts w:ascii="Times New Roman" w:hAnsi="Times New Roman" w:cs="Times New Roman"/>
          <w:b w:val="0"/>
          <w:i w:val="0"/>
          <w:sz w:val="24"/>
        </w:rPr>
        <w:t>AI-first, low-touch model that scales without proportional field-staff costs — yielding better unit economics than DeHaat.</w:t>
      </w:r>
    </w:p>
    <w:p>
      <w:pPr>
        <w:pStyle w:val="ListBullet"/>
        <w:spacing w:line="360" w:lineRule="auto" w:after="80"/>
        <w:jc w:val="both"/>
      </w:pPr>
      <w:r>
        <w:rPr>
          <w:rFonts w:ascii="Times New Roman" w:hAnsi="Times New Roman" w:cs="Times New Roman"/>
          <w:b w:val="0"/>
          <w:i w:val="0"/>
          <w:sz w:val="24"/>
        </w:rPr>
        <w:t>ONDC-native architecture from day one — KrishiConnect produce is automatically discoverable across the entire ONDC buyer ecosystem.</w:t>
      </w:r>
    </w:p>
    <w:p>
      <w:pPr>
        <w:pStyle w:val="ListBullet"/>
        <w:spacing w:line="360" w:lineRule="auto" w:after="80"/>
        <w:jc w:val="both"/>
      </w:pPr>
      <w:r>
        <w:rPr>
          <w:rFonts w:ascii="Times New Roman" w:hAnsi="Times New Roman" w:cs="Times New Roman"/>
          <w:b w:val="0"/>
          <w:i w:val="0"/>
          <w:sz w:val="24"/>
        </w:rPr>
        <w:t>Reverse-auction price-discovery mechanism — unique in this segment.</w:t>
      </w:r>
    </w:p>
    <w:p>
      <w:pPr>
        <w:pStyle w:val="ListBullet"/>
        <w:spacing w:line="360" w:lineRule="auto" w:after="80"/>
        <w:jc w:val="both"/>
      </w:pPr>
      <w:r>
        <w:rPr>
          <w:rFonts w:ascii="Times New Roman" w:hAnsi="Times New Roman" w:cs="Times New Roman"/>
          <w:b w:val="0"/>
          <w:i w:val="0"/>
          <w:sz w:val="24"/>
        </w:rPr>
        <w:t>Voice-first vernacular UX — addressing the long tail of low-literacy farmers ignored by competitors.</w:t>
      </w:r>
    </w:p>
    <w:p>
      <w:pPr>
        <w:keepNext/>
        <w:spacing w:before="240" w:after="160"/>
        <w:jc w:val="left"/>
      </w:pPr>
      <w:r>
        <w:rPr>
          <w:rFonts w:ascii="Times New Roman" w:hAnsi="Times New Roman" w:cs="Times New Roman"/>
          <w:b/>
          <w:i w:val="0"/>
          <w:sz w:val="28"/>
        </w:rPr>
        <w:t>6.5 SWOT Analysis</w:t>
      </w:r>
    </w:p>
    <w:p>
      <w:pPr>
        <w:keepNext/>
        <w:spacing w:before="160" w:after="80"/>
        <w:jc w:val="left"/>
      </w:pPr>
      <w:r>
        <w:rPr>
          <w:rFonts w:ascii="Times New Roman" w:hAnsi="Times New Roman" w:cs="Times New Roman"/>
          <w:b/>
          <w:i/>
          <w:sz w:val="24"/>
        </w:rPr>
        <w:t>Table 6.2 — SWOT Analysis Matrix</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line="276" w:lineRule="auto" w:after="40"/>
              <w:jc w:val="left"/>
            </w:pPr>
            <w:r/>
            <w:r>
              <w:rPr>
                <w:rFonts w:ascii="Times New Roman" w:hAnsi="Times New Roman" w:cs="Times New Roman"/>
                <w:b/>
                <w:i w:val="0"/>
                <w:sz w:val="22"/>
              </w:rPr>
              <w:t>Strengths</w:t>
            </w:r>
          </w:p>
        </w:tc>
        <w:tc>
          <w:tcPr>
            <w:tcW w:type="dxa" w:w="4500"/>
          </w:tcPr>
          <w:p>
            <w:pPr>
              <w:spacing w:line="276" w:lineRule="auto" w:after="40"/>
              <w:jc w:val="left"/>
            </w:pPr>
            <w:r/>
            <w:r>
              <w:rPr>
                <w:rFonts w:ascii="Times New Roman" w:hAnsi="Times New Roman" w:cs="Times New Roman"/>
                <w:b/>
                <w:i w:val="0"/>
                <w:sz w:val="22"/>
              </w:rPr>
              <w:t>Weaknesses</w:t>
            </w:r>
          </w:p>
        </w:tc>
      </w:tr>
      <w:tr>
        <w:tc>
          <w:tcPr>
            <w:tcW w:type="dxa" w:w="4500"/>
          </w:tcPr>
          <w:p>
            <w:pPr>
              <w:spacing w:line="276" w:lineRule="auto" w:after="40"/>
              <w:jc w:val="left"/>
            </w:pPr>
            <w:r/>
            <w:r>
              <w:rPr>
                <w:rFonts w:ascii="Times New Roman" w:hAnsi="Times New Roman" w:cs="Times New Roman"/>
                <w:b w:val="0"/>
                <w:i w:val="0"/>
                <w:sz w:val="22"/>
              </w:rPr>
              <w:t>• Tech-first, scalable architecture</w:t>
              <w:br/>
              <w:t>• Strong vernacular and voice UX</w:t>
              <w:br/>
              <w:t>• Multi-stream revenue (low concentration)</w:t>
              <w:br/>
              <w:t>• ONDC-native from day one</w:t>
              <w:br/>
              <w:t>• Founder commitment to social mission</w:t>
            </w:r>
          </w:p>
        </w:tc>
        <w:tc>
          <w:tcPr>
            <w:tcW w:type="dxa" w:w="4500"/>
          </w:tcPr>
          <w:p>
            <w:pPr>
              <w:spacing w:line="276" w:lineRule="auto" w:after="40"/>
              <w:jc w:val="left"/>
            </w:pPr>
            <w:r/>
            <w:r>
              <w:rPr>
                <w:rFonts w:ascii="Times New Roman" w:hAnsi="Times New Roman" w:cs="Times New Roman"/>
                <w:b w:val="0"/>
                <w:i w:val="0"/>
                <w:sz w:val="22"/>
              </w:rPr>
              <w:t>• New brand without rural recognition initially</w:t>
              <w:br/>
              <w:t>• High customer-acquisition cost in early phase</w:t>
              <w:br/>
              <w:t>• Capital-intensive logistics setup</w:t>
              <w:br/>
              <w:t>• Dependence on third-party cold-chain partners</w:t>
              <w:br/>
              <w:t>• Talent competition with larger players</w:t>
            </w:r>
          </w:p>
        </w:tc>
      </w:tr>
      <w:tr>
        <w:tc>
          <w:tcPr>
            <w:tcW w:type="dxa" w:w="4500"/>
          </w:tcPr>
          <w:p>
            <w:pPr>
              <w:spacing w:line="276" w:lineRule="auto" w:after="40"/>
              <w:jc w:val="left"/>
            </w:pPr>
            <w:r/>
            <w:r>
              <w:rPr>
                <w:rFonts w:ascii="Times New Roman" w:hAnsi="Times New Roman" w:cs="Times New Roman"/>
                <w:b w:val="0"/>
                <w:i w:val="0"/>
                <w:sz w:val="22"/>
              </w:rPr>
              <w:t>Opportunities</w:t>
            </w:r>
          </w:p>
        </w:tc>
        <w:tc>
          <w:tcPr>
            <w:tcW w:type="dxa" w:w="4500"/>
          </w:tcPr>
          <w:p>
            <w:pPr>
              <w:spacing w:line="276" w:lineRule="auto" w:after="40"/>
              <w:jc w:val="left"/>
            </w:pPr>
            <w:r/>
            <w:r>
              <w:rPr>
                <w:rFonts w:ascii="Times New Roman" w:hAnsi="Times New Roman" w:cs="Times New Roman"/>
                <w:b w:val="0"/>
                <w:i w:val="0"/>
                <w:sz w:val="22"/>
              </w:rPr>
              <w:t>Threats</w:t>
            </w:r>
          </w:p>
        </w:tc>
      </w:tr>
      <w:tr>
        <w:tc>
          <w:tcPr>
            <w:tcW w:type="dxa" w:w="4500"/>
          </w:tcPr>
          <w:p>
            <w:pPr>
              <w:spacing w:line="276" w:lineRule="auto" w:after="40"/>
              <w:jc w:val="left"/>
            </w:pPr>
            <w:r/>
            <w:r>
              <w:rPr>
                <w:rFonts w:ascii="Times New Roman" w:hAnsi="Times New Roman" w:cs="Times New Roman"/>
                <w:b w:val="0"/>
                <w:i w:val="0"/>
                <w:sz w:val="22"/>
              </w:rPr>
              <w:t>• Government-backed Digital Agriculture Mission</w:t>
              <w:br/>
              <w:t>• Rising export demand for traceable Indian produce</w:t>
              <w:br/>
              <w:t>• Growing FPO ecosystem (10,000 new FPO target)</w:t>
              <w:br/>
              <w:t>• Rapid ONDC adoption acceleration</w:t>
              <w:br/>
              <w:t>• Climate-resilient farming demand</w:t>
              <w:br/>
              <w:t>• Carbon-credit revenue stream</w:t>
            </w:r>
          </w:p>
        </w:tc>
        <w:tc>
          <w:tcPr>
            <w:tcW w:type="dxa" w:w="4500"/>
          </w:tcPr>
          <w:p>
            <w:pPr>
              <w:spacing w:line="276" w:lineRule="auto" w:after="40"/>
              <w:jc w:val="left"/>
            </w:pPr>
            <w:r/>
            <w:r>
              <w:rPr>
                <w:rFonts w:ascii="Times New Roman" w:hAnsi="Times New Roman" w:cs="Times New Roman"/>
                <w:b w:val="0"/>
                <w:i w:val="0"/>
                <w:sz w:val="22"/>
              </w:rPr>
              <w:t>• Regulatory shifts in commodity pricing or e-mandi</w:t>
              <w:br/>
              <w:t>• Big-tech entrants (Reliance JioKrishi, Amazon Kisan)</w:t>
              <w:br/>
              <w:t>• Monsoon-driven cash-flow volatility</w:t>
              <w:br/>
              <w:t>• Counterfeit input liability</w:t>
              <w:br/>
              <w:t>• Cybersecurity / data-breach risks</w:t>
            </w:r>
          </w:p>
        </w:tc>
      </w:tr>
    </w:tbl>
    <w:p>
      <w:pPr>
        <w:keepNext/>
        <w:spacing w:before="240" w:after="160"/>
        <w:jc w:val="left"/>
      </w:pPr>
      <w:r>
        <w:rPr>
          <w:rFonts w:ascii="Times New Roman" w:hAnsi="Times New Roman" w:cs="Times New Roman"/>
          <w:b/>
          <w:i w:val="0"/>
          <w:sz w:val="28"/>
        </w:rPr>
        <w:t>6.6 PESTEL Analysis</w:t>
      </w:r>
    </w:p>
    <w:p>
      <w:pPr>
        <w:keepNext/>
        <w:spacing w:before="160" w:after="80"/>
        <w:jc w:val="left"/>
      </w:pPr>
      <w:r>
        <w:rPr>
          <w:rFonts w:ascii="Times New Roman" w:hAnsi="Times New Roman" w:cs="Times New Roman"/>
          <w:b/>
          <w:i/>
          <w:sz w:val="24"/>
        </w:rPr>
        <w:t>Table 6.3 — PESTEL Analysis of the Indian Agri-Tech Landscape</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line="276" w:lineRule="auto" w:after="40"/>
              <w:jc w:val="left"/>
            </w:pPr>
            <w:r/>
            <w:r>
              <w:rPr>
                <w:rFonts w:ascii="Times New Roman" w:hAnsi="Times New Roman" w:cs="Times New Roman"/>
                <w:b/>
                <w:i w:val="0"/>
                <w:sz w:val="22"/>
              </w:rPr>
              <w:t>Factor</w:t>
            </w:r>
          </w:p>
        </w:tc>
        <w:tc>
          <w:tcPr>
            <w:tcW w:type="dxa" w:w="4500"/>
          </w:tcPr>
          <w:p>
            <w:pPr>
              <w:spacing w:line="276" w:lineRule="auto" w:after="40"/>
              <w:jc w:val="left"/>
            </w:pPr>
            <w:r/>
            <w:r>
              <w:rPr>
                <w:rFonts w:ascii="Times New Roman" w:hAnsi="Times New Roman" w:cs="Times New Roman"/>
                <w:b/>
                <w:i w:val="0"/>
                <w:sz w:val="22"/>
              </w:rPr>
              <w:t>Implications for KrishiConnect</w:t>
            </w:r>
          </w:p>
        </w:tc>
      </w:tr>
      <w:tr>
        <w:tc>
          <w:tcPr>
            <w:tcW w:type="dxa" w:w="4500"/>
          </w:tcPr>
          <w:p>
            <w:pPr>
              <w:spacing w:line="276" w:lineRule="auto" w:after="40"/>
              <w:jc w:val="left"/>
            </w:pPr>
            <w:r/>
            <w:r>
              <w:rPr>
                <w:rFonts w:ascii="Times New Roman" w:hAnsi="Times New Roman" w:cs="Times New Roman"/>
                <w:b w:val="0"/>
                <w:i w:val="0"/>
                <w:sz w:val="22"/>
              </w:rPr>
              <w:t>Political</w:t>
            </w:r>
          </w:p>
        </w:tc>
        <w:tc>
          <w:tcPr>
            <w:tcW w:type="dxa" w:w="4500"/>
          </w:tcPr>
          <w:p>
            <w:pPr>
              <w:spacing w:line="276" w:lineRule="auto" w:after="40"/>
              <w:jc w:val="left"/>
            </w:pPr>
            <w:r/>
            <w:r>
              <w:rPr>
                <w:rFonts w:ascii="Times New Roman" w:hAnsi="Times New Roman" w:cs="Times New Roman"/>
                <w:b w:val="0"/>
                <w:i w:val="0"/>
                <w:sz w:val="22"/>
              </w:rPr>
              <w:t>Strong political support for doubling farmers' income, AgriStack mandate, and ONDC adoption. State elections may alter MSP and APMC frameworks; lobbying with both ruling and opposition parties is essential.</w:t>
            </w:r>
          </w:p>
        </w:tc>
      </w:tr>
      <w:tr>
        <w:tc>
          <w:tcPr>
            <w:tcW w:type="dxa" w:w="4500"/>
          </w:tcPr>
          <w:p>
            <w:pPr>
              <w:spacing w:line="276" w:lineRule="auto" w:after="40"/>
              <w:jc w:val="left"/>
            </w:pPr>
            <w:r/>
            <w:r>
              <w:rPr>
                <w:rFonts w:ascii="Times New Roman" w:hAnsi="Times New Roman" w:cs="Times New Roman"/>
                <w:b w:val="0"/>
                <w:i w:val="0"/>
                <w:sz w:val="22"/>
              </w:rPr>
              <w:t>Economic</w:t>
            </w:r>
          </w:p>
        </w:tc>
        <w:tc>
          <w:tcPr>
            <w:tcW w:type="dxa" w:w="4500"/>
          </w:tcPr>
          <w:p>
            <w:pPr>
              <w:spacing w:line="276" w:lineRule="auto" w:after="40"/>
              <w:jc w:val="left"/>
            </w:pPr>
            <w:r/>
            <w:r>
              <w:rPr>
                <w:rFonts w:ascii="Times New Roman" w:hAnsi="Times New Roman" w:cs="Times New Roman"/>
                <w:b w:val="0"/>
                <w:i w:val="0"/>
                <w:sz w:val="22"/>
              </w:rPr>
              <w:t>Rising rural incomes (FMCG growth at 6.6%), low capital cost for green/social ventures, but volatile inflation in inputs (urea, diesel) impacts farmer cash flow and platform margins.</w:t>
            </w:r>
          </w:p>
        </w:tc>
      </w:tr>
      <w:tr>
        <w:tc>
          <w:tcPr>
            <w:tcW w:type="dxa" w:w="4500"/>
          </w:tcPr>
          <w:p>
            <w:pPr>
              <w:spacing w:line="276" w:lineRule="auto" w:after="40"/>
              <w:jc w:val="left"/>
            </w:pPr>
            <w:r/>
            <w:r>
              <w:rPr>
                <w:rFonts w:ascii="Times New Roman" w:hAnsi="Times New Roman" w:cs="Times New Roman"/>
                <w:b w:val="0"/>
                <w:i w:val="0"/>
                <w:sz w:val="22"/>
              </w:rPr>
              <w:t>Social</w:t>
            </w:r>
          </w:p>
        </w:tc>
        <w:tc>
          <w:tcPr>
            <w:tcW w:type="dxa" w:w="4500"/>
          </w:tcPr>
          <w:p>
            <w:pPr>
              <w:spacing w:line="276" w:lineRule="auto" w:after="40"/>
              <w:jc w:val="left"/>
            </w:pPr>
            <w:r/>
            <w:r>
              <w:rPr>
                <w:rFonts w:ascii="Times New Roman" w:hAnsi="Times New Roman" w:cs="Times New Roman"/>
                <w:b w:val="0"/>
                <w:i w:val="0"/>
                <w:sz w:val="22"/>
              </w:rPr>
              <w:t>Demographic shift — average farmer age 51; rising aspirations of rural youth; smartphone-led behavioural change; growing trust in digital payments post-UPI.</w:t>
            </w:r>
          </w:p>
        </w:tc>
      </w:tr>
      <w:tr>
        <w:tc>
          <w:tcPr>
            <w:tcW w:type="dxa" w:w="4500"/>
          </w:tcPr>
          <w:p>
            <w:pPr>
              <w:spacing w:line="276" w:lineRule="auto" w:after="40"/>
              <w:jc w:val="left"/>
            </w:pPr>
            <w:r/>
            <w:r>
              <w:rPr>
                <w:rFonts w:ascii="Times New Roman" w:hAnsi="Times New Roman" w:cs="Times New Roman"/>
                <w:b w:val="0"/>
                <w:i w:val="0"/>
                <w:sz w:val="22"/>
              </w:rPr>
              <w:t>Technological</w:t>
            </w:r>
          </w:p>
        </w:tc>
        <w:tc>
          <w:tcPr>
            <w:tcW w:type="dxa" w:w="4500"/>
          </w:tcPr>
          <w:p>
            <w:pPr>
              <w:spacing w:line="276" w:lineRule="auto" w:after="40"/>
              <w:jc w:val="left"/>
            </w:pPr>
            <w:r/>
            <w:r>
              <w:rPr>
                <w:rFonts w:ascii="Times New Roman" w:hAnsi="Times New Roman" w:cs="Times New Roman"/>
                <w:b w:val="0"/>
                <w:i w:val="0"/>
                <w:sz w:val="22"/>
              </w:rPr>
              <w:t>AI compute costs declining; edge-AI feasible on ₹8,000 phones; ONDC infrastructure live; satellite data freely accessible via ISRO Bhuvan.</w:t>
            </w:r>
          </w:p>
        </w:tc>
      </w:tr>
      <w:tr>
        <w:tc>
          <w:tcPr>
            <w:tcW w:type="dxa" w:w="4500"/>
          </w:tcPr>
          <w:p>
            <w:pPr>
              <w:spacing w:line="276" w:lineRule="auto" w:after="40"/>
              <w:jc w:val="left"/>
            </w:pPr>
            <w:r/>
            <w:r>
              <w:rPr>
                <w:rFonts w:ascii="Times New Roman" w:hAnsi="Times New Roman" w:cs="Times New Roman"/>
                <w:b w:val="0"/>
                <w:i w:val="0"/>
                <w:sz w:val="22"/>
              </w:rPr>
              <w:t>Environmental</w:t>
            </w:r>
          </w:p>
        </w:tc>
        <w:tc>
          <w:tcPr>
            <w:tcW w:type="dxa" w:w="4500"/>
          </w:tcPr>
          <w:p>
            <w:pPr>
              <w:spacing w:line="276" w:lineRule="auto" w:after="40"/>
              <w:jc w:val="left"/>
            </w:pPr>
            <w:r/>
            <w:r>
              <w:rPr>
                <w:rFonts w:ascii="Times New Roman" w:hAnsi="Times New Roman" w:cs="Times New Roman"/>
                <w:b w:val="0"/>
                <w:i w:val="0"/>
                <w:sz w:val="22"/>
              </w:rPr>
              <w:t>Climate change driving demand for resilient practices; carbon-credit markets emerging; soil health degradation creating scope for precision-agriculture services.</w:t>
            </w:r>
          </w:p>
        </w:tc>
      </w:tr>
      <w:tr>
        <w:tc>
          <w:tcPr>
            <w:tcW w:type="dxa" w:w="4500"/>
          </w:tcPr>
          <w:p>
            <w:pPr>
              <w:spacing w:line="276" w:lineRule="auto" w:after="40"/>
              <w:jc w:val="left"/>
            </w:pPr>
            <w:r/>
            <w:r>
              <w:rPr>
                <w:rFonts w:ascii="Times New Roman" w:hAnsi="Times New Roman" w:cs="Times New Roman"/>
                <w:b w:val="0"/>
                <w:i w:val="0"/>
                <w:sz w:val="22"/>
              </w:rPr>
              <w:t>Legal</w:t>
            </w:r>
          </w:p>
        </w:tc>
        <w:tc>
          <w:tcPr>
            <w:tcW w:type="dxa" w:w="4500"/>
          </w:tcPr>
          <w:p>
            <w:pPr>
              <w:spacing w:line="276" w:lineRule="auto" w:after="40"/>
              <w:jc w:val="left"/>
            </w:pPr>
            <w:r/>
            <w:r>
              <w:rPr>
                <w:rFonts w:ascii="Times New Roman" w:hAnsi="Times New Roman" w:cs="Times New Roman"/>
                <w:b w:val="0"/>
                <w:i w:val="0"/>
                <w:sz w:val="22"/>
              </w:rPr>
              <w:t>DPDPA 2023 imposes consent and data-residency obligations; FSSAI compliance for food handling; state-level APMC variations require legal sub-strategy per state.</w:t>
            </w:r>
          </w:p>
        </w:tc>
      </w:tr>
    </w:tbl>
    <w:p>
      <w:r>
        <w:br w:type="page"/>
      </w:r>
    </w:p>
    <w:p>
      <w:pPr>
        <w:keepNext/>
        <w:spacing w:before="360" w:after="280"/>
        <w:jc w:val="left"/>
      </w:pPr>
      <w:r>
        <w:rPr>
          <w:rFonts w:ascii="Times New Roman" w:hAnsi="Times New Roman" w:cs="Times New Roman"/>
          <w:b/>
          <w:i w:val="0"/>
          <w:sz w:val="32"/>
        </w:rPr>
        <w:t>7. Operational Plan and Marketing Strategy</w:t>
      </w:r>
    </w:p>
    <w:p>
      <w:pPr>
        <w:keepNext/>
        <w:spacing w:before="240" w:after="160"/>
        <w:jc w:val="left"/>
      </w:pPr>
      <w:r>
        <w:rPr>
          <w:rFonts w:ascii="Times New Roman" w:hAnsi="Times New Roman" w:cs="Times New Roman"/>
          <w:b/>
          <w:i w:val="0"/>
          <w:sz w:val="28"/>
        </w:rPr>
        <w:t>7.1 Implementation Roadmap</w:t>
      </w:r>
    </w:p>
    <w:p>
      <w:pPr>
        <w:keepNext/>
        <w:spacing w:before="160" w:after="80"/>
        <w:jc w:val="left"/>
      </w:pPr>
      <w:r>
        <w:rPr>
          <w:rFonts w:ascii="Times New Roman" w:hAnsi="Times New Roman" w:cs="Times New Roman"/>
          <w:b/>
          <w:i/>
          <w:sz w:val="24"/>
        </w:rPr>
        <w:t>Table 7.1 — Implementation Roadmap (Phased)</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line="276" w:lineRule="auto" w:after="40"/>
              <w:jc w:val="left"/>
            </w:pPr>
            <w:r/>
            <w:r>
              <w:rPr>
                <w:rFonts w:ascii="Times New Roman" w:hAnsi="Times New Roman" w:cs="Times New Roman"/>
                <w:b/>
                <w:i w:val="0"/>
                <w:sz w:val="22"/>
              </w:rPr>
              <w:t>Phase</w:t>
            </w:r>
          </w:p>
        </w:tc>
        <w:tc>
          <w:tcPr>
            <w:tcW w:type="dxa" w:w="3000"/>
          </w:tcPr>
          <w:p>
            <w:pPr>
              <w:spacing w:line="276" w:lineRule="auto" w:after="40"/>
              <w:jc w:val="left"/>
            </w:pPr>
            <w:r/>
            <w:r>
              <w:rPr>
                <w:rFonts w:ascii="Times New Roman" w:hAnsi="Times New Roman" w:cs="Times New Roman"/>
                <w:b/>
                <w:i w:val="0"/>
                <w:sz w:val="22"/>
              </w:rPr>
              <w:t>Months</w:t>
            </w:r>
          </w:p>
        </w:tc>
        <w:tc>
          <w:tcPr>
            <w:tcW w:type="dxa" w:w="3000"/>
          </w:tcPr>
          <w:p>
            <w:pPr>
              <w:spacing w:line="276" w:lineRule="auto" w:after="40"/>
              <w:jc w:val="left"/>
            </w:pPr>
            <w:r/>
            <w:r>
              <w:rPr>
                <w:rFonts w:ascii="Times New Roman" w:hAnsi="Times New Roman" w:cs="Times New Roman"/>
                <w:b/>
                <w:i w:val="0"/>
                <w:sz w:val="22"/>
              </w:rPr>
              <w:t>Key Milestones</w:t>
            </w:r>
          </w:p>
        </w:tc>
      </w:tr>
      <w:tr>
        <w:tc>
          <w:tcPr>
            <w:tcW w:type="dxa" w:w="3000"/>
          </w:tcPr>
          <w:p>
            <w:pPr>
              <w:spacing w:line="276" w:lineRule="auto" w:after="40"/>
              <w:jc w:val="left"/>
            </w:pPr>
            <w:r/>
            <w:r>
              <w:rPr>
                <w:rFonts w:ascii="Times New Roman" w:hAnsi="Times New Roman" w:cs="Times New Roman"/>
                <w:b w:val="0"/>
                <w:i w:val="0"/>
                <w:sz w:val="22"/>
              </w:rPr>
              <w:t>Phase 1 — Foundation</w:t>
            </w:r>
          </w:p>
        </w:tc>
        <w:tc>
          <w:tcPr>
            <w:tcW w:type="dxa" w:w="3000"/>
          </w:tcPr>
          <w:p>
            <w:pPr>
              <w:spacing w:line="276" w:lineRule="auto" w:after="40"/>
              <w:jc w:val="left"/>
            </w:pPr>
            <w:r/>
            <w:r>
              <w:rPr>
                <w:rFonts w:ascii="Times New Roman" w:hAnsi="Times New Roman" w:cs="Times New Roman"/>
                <w:b w:val="0"/>
                <w:i w:val="0"/>
                <w:sz w:val="22"/>
              </w:rPr>
              <w:t>1 - 3</w:t>
            </w:r>
          </w:p>
        </w:tc>
        <w:tc>
          <w:tcPr>
            <w:tcW w:type="dxa" w:w="3000"/>
          </w:tcPr>
          <w:p>
            <w:pPr>
              <w:spacing w:line="276" w:lineRule="auto" w:after="40"/>
              <w:jc w:val="left"/>
            </w:pPr>
            <w:r/>
            <w:r>
              <w:rPr>
                <w:rFonts w:ascii="Times New Roman" w:hAnsi="Times New Roman" w:cs="Times New Roman"/>
                <w:b w:val="0"/>
                <w:i w:val="0"/>
                <w:sz w:val="22"/>
              </w:rPr>
              <w:t>Company incorporation; founding team; technology stack finalised; UI/UX design sprints; initial FPO partnerships signed.</w:t>
            </w:r>
          </w:p>
        </w:tc>
      </w:tr>
      <w:tr>
        <w:tc>
          <w:tcPr>
            <w:tcW w:type="dxa" w:w="3000"/>
          </w:tcPr>
          <w:p>
            <w:pPr>
              <w:spacing w:line="276" w:lineRule="auto" w:after="40"/>
              <w:jc w:val="left"/>
            </w:pPr>
            <w:r/>
            <w:r>
              <w:rPr>
                <w:rFonts w:ascii="Times New Roman" w:hAnsi="Times New Roman" w:cs="Times New Roman"/>
                <w:b w:val="0"/>
                <w:i w:val="0"/>
                <w:sz w:val="22"/>
              </w:rPr>
              <w:t>Phase 2 — MVP Build</w:t>
            </w:r>
          </w:p>
        </w:tc>
        <w:tc>
          <w:tcPr>
            <w:tcW w:type="dxa" w:w="3000"/>
          </w:tcPr>
          <w:p>
            <w:pPr>
              <w:spacing w:line="276" w:lineRule="auto" w:after="40"/>
              <w:jc w:val="left"/>
            </w:pPr>
            <w:r/>
            <w:r>
              <w:rPr>
                <w:rFonts w:ascii="Times New Roman" w:hAnsi="Times New Roman" w:cs="Times New Roman"/>
                <w:b w:val="0"/>
                <w:i w:val="0"/>
                <w:sz w:val="22"/>
              </w:rPr>
              <w:t>4 - 8</w:t>
            </w:r>
          </w:p>
        </w:tc>
        <w:tc>
          <w:tcPr>
            <w:tcW w:type="dxa" w:w="3000"/>
          </w:tcPr>
          <w:p>
            <w:pPr>
              <w:spacing w:line="276" w:lineRule="auto" w:after="40"/>
              <w:jc w:val="left"/>
            </w:pPr>
            <w:r/>
            <w:r>
              <w:rPr>
                <w:rFonts w:ascii="Times New Roman" w:hAnsi="Times New Roman" w:cs="Times New Roman"/>
                <w:b w:val="0"/>
                <w:i w:val="0"/>
                <w:sz w:val="22"/>
              </w:rPr>
              <w:t>Mobile app and web portal MVP; AI Crop Doctor v1 trained; ONDC integration; payments live; pilot in 3 districts of UP.</w:t>
            </w:r>
          </w:p>
        </w:tc>
      </w:tr>
      <w:tr>
        <w:tc>
          <w:tcPr>
            <w:tcW w:type="dxa" w:w="3000"/>
          </w:tcPr>
          <w:p>
            <w:pPr>
              <w:spacing w:line="276" w:lineRule="auto" w:after="40"/>
              <w:jc w:val="left"/>
            </w:pPr>
            <w:r/>
            <w:r>
              <w:rPr>
                <w:rFonts w:ascii="Times New Roman" w:hAnsi="Times New Roman" w:cs="Times New Roman"/>
                <w:b w:val="0"/>
                <w:i w:val="0"/>
                <w:sz w:val="22"/>
              </w:rPr>
              <w:t>Phase 3 — Pilot &amp; Iterate</w:t>
            </w:r>
          </w:p>
        </w:tc>
        <w:tc>
          <w:tcPr>
            <w:tcW w:type="dxa" w:w="3000"/>
          </w:tcPr>
          <w:p>
            <w:pPr>
              <w:spacing w:line="276" w:lineRule="auto" w:after="40"/>
              <w:jc w:val="left"/>
            </w:pPr>
            <w:r/>
            <w:r>
              <w:rPr>
                <w:rFonts w:ascii="Times New Roman" w:hAnsi="Times New Roman" w:cs="Times New Roman"/>
                <w:b w:val="0"/>
                <w:i w:val="0"/>
                <w:sz w:val="22"/>
              </w:rPr>
              <w:t>9 - 12</w:t>
            </w:r>
          </w:p>
        </w:tc>
        <w:tc>
          <w:tcPr>
            <w:tcW w:type="dxa" w:w="3000"/>
          </w:tcPr>
          <w:p>
            <w:pPr>
              <w:spacing w:line="276" w:lineRule="auto" w:after="40"/>
              <w:jc w:val="left"/>
            </w:pPr>
            <w:r/>
            <w:r>
              <w:rPr>
                <w:rFonts w:ascii="Times New Roman" w:hAnsi="Times New Roman" w:cs="Times New Roman"/>
                <w:b w:val="0"/>
                <w:i w:val="0"/>
                <w:sz w:val="22"/>
              </w:rPr>
              <w:t>Onboard 25,000 farmers and 500 buyers; collect telemetry; iterate UX; secure first-tranche seed funding.</w:t>
            </w:r>
          </w:p>
        </w:tc>
      </w:tr>
      <w:tr>
        <w:tc>
          <w:tcPr>
            <w:tcW w:type="dxa" w:w="3000"/>
          </w:tcPr>
          <w:p>
            <w:pPr>
              <w:spacing w:line="276" w:lineRule="auto" w:after="40"/>
              <w:jc w:val="left"/>
            </w:pPr>
            <w:r/>
            <w:r>
              <w:rPr>
                <w:rFonts w:ascii="Times New Roman" w:hAnsi="Times New Roman" w:cs="Times New Roman"/>
                <w:b w:val="0"/>
                <w:i w:val="0"/>
                <w:sz w:val="22"/>
              </w:rPr>
              <w:t>Phase 4 — Scale-Up</w:t>
            </w:r>
          </w:p>
        </w:tc>
        <w:tc>
          <w:tcPr>
            <w:tcW w:type="dxa" w:w="3000"/>
          </w:tcPr>
          <w:p>
            <w:pPr>
              <w:spacing w:line="276" w:lineRule="auto" w:after="40"/>
              <w:jc w:val="left"/>
            </w:pPr>
            <w:r/>
            <w:r>
              <w:rPr>
                <w:rFonts w:ascii="Times New Roman" w:hAnsi="Times New Roman" w:cs="Times New Roman"/>
                <w:b w:val="0"/>
                <w:i w:val="0"/>
                <w:sz w:val="22"/>
              </w:rPr>
              <w:t>13 - 24</w:t>
            </w:r>
          </w:p>
        </w:tc>
        <w:tc>
          <w:tcPr>
            <w:tcW w:type="dxa" w:w="3000"/>
          </w:tcPr>
          <w:p>
            <w:pPr>
              <w:spacing w:line="276" w:lineRule="auto" w:after="40"/>
              <w:jc w:val="left"/>
            </w:pPr>
            <w:r/>
            <w:r>
              <w:rPr>
                <w:rFonts w:ascii="Times New Roman" w:hAnsi="Times New Roman" w:cs="Times New Roman"/>
                <w:b w:val="0"/>
                <w:i w:val="0"/>
                <w:sz w:val="22"/>
              </w:rPr>
              <w:t>Expand to 10 districts; 50,000 farmers; equipment rental launch; KrishiPro subscription launch; finance and insurance modules go live.</w:t>
            </w:r>
          </w:p>
        </w:tc>
      </w:tr>
      <w:tr>
        <w:tc>
          <w:tcPr>
            <w:tcW w:type="dxa" w:w="3000"/>
          </w:tcPr>
          <w:p>
            <w:pPr>
              <w:spacing w:line="276" w:lineRule="auto" w:after="40"/>
              <w:jc w:val="left"/>
            </w:pPr>
            <w:r/>
            <w:r>
              <w:rPr>
                <w:rFonts w:ascii="Times New Roman" w:hAnsi="Times New Roman" w:cs="Times New Roman"/>
                <w:b w:val="0"/>
                <w:i w:val="0"/>
                <w:sz w:val="22"/>
              </w:rPr>
              <w:t>Phase 5 — Multi-State</w:t>
            </w:r>
          </w:p>
        </w:tc>
        <w:tc>
          <w:tcPr>
            <w:tcW w:type="dxa" w:w="3000"/>
          </w:tcPr>
          <w:p>
            <w:pPr>
              <w:spacing w:line="276" w:lineRule="auto" w:after="40"/>
              <w:jc w:val="left"/>
            </w:pPr>
            <w:r/>
            <w:r>
              <w:rPr>
                <w:rFonts w:ascii="Times New Roman" w:hAnsi="Times New Roman" w:cs="Times New Roman"/>
                <w:b w:val="0"/>
                <w:i w:val="0"/>
                <w:sz w:val="22"/>
              </w:rPr>
              <w:t>25 - 36</w:t>
            </w:r>
          </w:p>
        </w:tc>
        <w:tc>
          <w:tcPr>
            <w:tcW w:type="dxa" w:w="3000"/>
          </w:tcPr>
          <w:p>
            <w:pPr>
              <w:spacing w:line="276" w:lineRule="auto" w:after="40"/>
              <w:jc w:val="left"/>
            </w:pPr>
            <w:r/>
            <w:r>
              <w:rPr>
                <w:rFonts w:ascii="Times New Roman" w:hAnsi="Times New Roman" w:cs="Times New Roman"/>
                <w:b w:val="0"/>
                <w:i w:val="0"/>
                <w:sz w:val="22"/>
              </w:rPr>
              <w:t>Operations in 4 states; 3 lakh farmers; profitability inflection; Series A fundraise.</w:t>
            </w:r>
          </w:p>
        </w:tc>
      </w:tr>
      <w:tr>
        <w:tc>
          <w:tcPr>
            <w:tcW w:type="dxa" w:w="3000"/>
          </w:tcPr>
          <w:p>
            <w:pPr>
              <w:spacing w:line="276" w:lineRule="auto" w:after="40"/>
              <w:jc w:val="left"/>
            </w:pPr>
            <w:r/>
            <w:r>
              <w:rPr>
                <w:rFonts w:ascii="Times New Roman" w:hAnsi="Times New Roman" w:cs="Times New Roman"/>
                <w:b w:val="0"/>
                <w:i w:val="0"/>
                <w:sz w:val="22"/>
              </w:rPr>
              <w:t>Phase 6 — National</w:t>
            </w:r>
          </w:p>
        </w:tc>
        <w:tc>
          <w:tcPr>
            <w:tcW w:type="dxa" w:w="3000"/>
          </w:tcPr>
          <w:p>
            <w:pPr>
              <w:spacing w:line="276" w:lineRule="auto" w:after="40"/>
              <w:jc w:val="left"/>
            </w:pPr>
            <w:r/>
            <w:r>
              <w:rPr>
                <w:rFonts w:ascii="Times New Roman" w:hAnsi="Times New Roman" w:cs="Times New Roman"/>
                <w:b w:val="0"/>
                <w:i w:val="0"/>
                <w:sz w:val="22"/>
              </w:rPr>
              <w:t>37 - 60</w:t>
            </w:r>
          </w:p>
        </w:tc>
        <w:tc>
          <w:tcPr>
            <w:tcW w:type="dxa" w:w="3000"/>
          </w:tcPr>
          <w:p>
            <w:pPr>
              <w:spacing w:line="276" w:lineRule="auto" w:after="40"/>
              <w:jc w:val="left"/>
            </w:pPr>
            <w:r/>
            <w:r>
              <w:rPr>
                <w:rFonts w:ascii="Times New Roman" w:hAnsi="Times New Roman" w:cs="Times New Roman"/>
                <w:b w:val="0"/>
                <w:i w:val="0"/>
                <w:sz w:val="22"/>
              </w:rPr>
              <w:t>12 lakh farmers; 18 states; export module; carbon-credit pilot; Series B fundraise.</w:t>
            </w:r>
          </w:p>
        </w:tc>
      </w:tr>
    </w:tbl>
    <w:p>
      <w:pPr>
        <w:keepNext/>
        <w:spacing w:before="240" w:after="160"/>
        <w:jc w:val="left"/>
      </w:pPr>
      <w:r>
        <w:rPr>
          <w:rFonts w:ascii="Times New Roman" w:hAnsi="Times New Roman" w:cs="Times New Roman"/>
          <w:b/>
          <w:i w:val="0"/>
          <w:sz w:val="28"/>
        </w:rPr>
        <w:t>7.2 Team Structure (Year 1)</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line="276" w:lineRule="auto" w:after="40"/>
              <w:jc w:val="left"/>
            </w:pPr>
            <w:r/>
            <w:r>
              <w:rPr>
                <w:rFonts w:ascii="Times New Roman" w:hAnsi="Times New Roman" w:cs="Times New Roman"/>
                <w:b/>
                <w:i w:val="0"/>
                <w:sz w:val="22"/>
              </w:rPr>
              <w:t>Role</w:t>
            </w:r>
          </w:p>
        </w:tc>
        <w:tc>
          <w:tcPr>
            <w:tcW w:type="dxa" w:w="3000"/>
          </w:tcPr>
          <w:p>
            <w:pPr>
              <w:spacing w:line="276" w:lineRule="auto" w:after="40"/>
              <w:jc w:val="left"/>
            </w:pPr>
            <w:r/>
            <w:r>
              <w:rPr>
                <w:rFonts w:ascii="Times New Roman" w:hAnsi="Times New Roman" w:cs="Times New Roman"/>
                <w:b/>
                <w:i w:val="0"/>
                <w:sz w:val="22"/>
              </w:rPr>
              <w:t>Headcount</w:t>
            </w:r>
          </w:p>
        </w:tc>
        <w:tc>
          <w:tcPr>
            <w:tcW w:type="dxa" w:w="3000"/>
          </w:tcPr>
          <w:p>
            <w:pPr>
              <w:spacing w:line="276" w:lineRule="auto" w:after="40"/>
              <w:jc w:val="left"/>
            </w:pPr>
            <w:r/>
            <w:r>
              <w:rPr>
                <w:rFonts w:ascii="Times New Roman" w:hAnsi="Times New Roman" w:cs="Times New Roman"/>
                <w:b/>
                <w:i w:val="0"/>
                <w:sz w:val="22"/>
              </w:rPr>
              <w:t>Cost (₹ lakh / year)</w:t>
            </w:r>
          </w:p>
        </w:tc>
      </w:tr>
      <w:tr>
        <w:tc>
          <w:tcPr>
            <w:tcW w:type="dxa" w:w="3000"/>
          </w:tcPr>
          <w:p>
            <w:pPr>
              <w:spacing w:line="276" w:lineRule="auto" w:after="40"/>
              <w:jc w:val="left"/>
            </w:pPr>
            <w:r/>
            <w:r>
              <w:rPr>
                <w:rFonts w:ascii="Times New Roman" w:hAnsi="Times New Roman" w:cs="Times New Roman"/>
                <w:b w:val="0"/>
                <w:i w:val="0"/>
                <w:sz w:val="22"/>
              </w:rPr>
              <w:t>Founder / CEO</w:t>
            </w:r>
          </w:p>
        </w:tc>
        <w:tc>
          <w:tcPr>
            <w:tcW w:type="dxa" w:w="3000"/>
          </w:tcPr>
          <w:p>
            <w:pPr>
              <w:spacing w:line="276" w:lineRule="auto" w:after="40"/>
              <w:jc w:val="left"/>
            </w:pPr>
            <w:r/>
            <w:r>
              <w:rPr>
                <w:rFonts w:ascii="Times New Roman" w:hAnsi="Times New Roman" w:cs="Times New Roman"/>
                <w:b w:val="0"/>
                <w:i w:val="0"/>
                <w:sz w:val="22"/>
              </w:rPr>
              <w:t>1</w:t>
            </w:r>
          </w:p>
        </w:tc>
        <w:tc>
          <w:tcPr>
            <w:tcW w:type="dxa" w:w="3000"/>
          </w:tcPr>
          <w:p>
            <w:pPr>
              <w:spacing w:line="276" w:lineRule="auto" w:after="40"/>
              <w:jc w:val="left"/>
            </w:pPr>
            <w:r/>
            <w:r>
              <w:rPr>
                <w:rFonts w:ascii="Times New Roman" w:hAnsi="Times New Roman" w:cs="Times New Roman"/>
                <w:b w:val="0"/>
                <w:i w:val="0"/>
                <w:sz w:val="22"/>
              </w:rPr>
              <w:t>24</w:t>
            </w:r>
          </w:p>
        </w:tc>
      </w:tr>
      <w:tr>
        <w:tc>
          <w:tcPr>
            <w:tcW w:type="dxa" w:w="3000"/>
          </w:tcPr>
          <w:p>
            <w:pPr>
              <w:spacing w:line="276" w:lineRule="auto" w:after="40"/>
              <w:jc w:val="left"/>
            </w:pPr>
            <w:r/>
            <w:r>
              <w:rPr>
                <w:rFonts w:ascii="Times New Roman" w:hAnsi="Times New Roman" w:cs="Times New Roman"/>
                <w:b w:val="0"/>
                <w:i w:val="0"/>
                <w:sz w:val="22"/>
              </w:rPr>
              <w:t>CTO + Backend Engineers</w:t>
            </w:r>
          </w:p>
        </w:tc>
        <w:tc>
          <w:tcPr>
            <w:tcW w:type="dxa" w:w="3000"/>
          </w:tcPr>
          <w:p>
            <w:pPr>
              <w:spacing w:line="276" w:lineRule="auto" w:after="40"/>
              <w:jc w:val="left"/>
            </w:pPr>
            <w:r/>
            <w:r>
              <w:rPr>
                <w:rFonts w:ascii="Times New Roman" w:hAnsi="Times New Roman" w:cs="Times New Roman"/>
                <w:b w:val="0"/>
                <w:i w:val="0"/>
                <w:sz w:val="22"/>
              </w:rPr>
              <w:t>4</w:t>
            </w:r>
          </w:p>
        </w:tc>
        <w:tc>
          <w:tcPr>
            <w:tcW w:type="dxa" w:w="3000"/>
          </w:tcPr>
          <w:p>
            <w:pPr>
              <w:spacing w:line="276" w:lineRule="auto" w:after="40"/>
              <w:jc w:val="left"/>
            </w:pPr>
            <w:r/>
            <w:r>
              <w:rPr>
                <w:rFonts w:ascii="Times New Roman" w:hAnsi="Times New Roman" w:cs="Times New Roman"/>
                <w:b w:val="0"/>
                <w:i w:val="0"/>
                <w:sz w:val="22"/>
              </w:rPr>
              <w:t>60</w:t>
            </w:r>
          </w:p>
        </w:tc>
      </w:tr>
      <w:tr>
        <w:tc>
          <w:tcPr>
            <w:tcW w:type="dxa" w:w="3000"/>
          </w:tcPr>
          <w:p>
            <w:pPr>
              <w:spacing w:line="276" w:lineRule="auto" w:after="40"/>
              <w:jc w:val="left"/>
            </w:pPr>
            <w:r/>
            <w:r>
              <w:rPr>
                <w:rFonts w:ascii="Times New Roman" w:hAnsi="Times New Roman" w:cs="Times New Roman"/>
                <w:b w:val="0"/>
                <w:i w:val="0"/>
                <w:sz w:val="22"/>
              </w:rPr>
              <w:t>Frontend / Mobile Engineers</w:t>
            </w:r>
          </w:p>
        </w:tc>
        <w:tc>
          <w:tcPr>
            <w:tcW w:type="dxa" w:w="3000"/>
          </w:tcPr>
          <w:p>
            <w:pPr>
              <w:spacing w:line="276" w:lineRule="auto" w:after="40"/>
              <w:jc w:val="left"/>
            </w:pPr>
            <w:r/>
            <w:r>
              <w:rPr>
                <w:rFonts w:ascii="Times New Roman" w:hAnsi="Times New Roman" w:cs="Times New Roman"/>
                <w:b w:val="0"/>
                <w:i w:val="0"/>
                <w:sz w:val="22"/>
              </w:rPr>
              <w:t>3</w:t>
            </w:r>
          </w:p>
        </w:tc>
        <w:tc>
          <w:tcPr>
            <w:tcW w:type="dxa" w:w="3000"/>
          </w:tcPr>
          <w:p>
            <w:pPr>
              <w:spacing w:line="276" w:lineRule="auto" w:after="40"/>
              <w:jc w:val="left"/>
            </w:pPr>
            <w:r/>
            <w:r>
              <w:rPr>
                <w:rFonts w:ascii="Times New Roman" w:hAnsi="Times New Roman" w:cs="Times New Roman"/>
                <w:b w:val="0"/>
                <w:i w:val="0"/>
                <w:sz w:val="22"/>
              </w:rPr>
              <w:t>36</w:t>
            </w:r>
          </w:p>
        </w:tc>
      </w:tr>
      <w:tr>
        <w:tc>
          <w:tcPr>
            <w:tcW w:type="dxa" w:w="3000"/>
          </w:tcPr>
          <w:p>
            <w:pPr>
              <w:spacing w:line="276" w:lineRule="auto" w:after="40"/>
              <w:jc w:val="left"/>
            </w:pPr>
            <w:r/>
            <w:r>
              <w:rPr>
                <w:rFonts w:ascii="Times New Roman" w:hAnsi="Times New Roman" w:cs="Times New Roman"/>
                <w:b w:val="0"/>
                <w:i w:val="0"/>
                <w:sz w:val="22"/>
              </w:rPr>
              <w:t>Data Scientist / ML Engineer</w:t>
            </w:r>
          </w:p>
        </w:tc>
        <w:tc>
          <w:tcPr>
            <w:tcW w:type="dxa" w:w="3000"/>
          </w:tcPr>
          <w:p>
            <w:pPr>
              <w:spacing w:line="276" w:lineRule="auto" w:after="40"/>
              <w:jc w:val="left"/>
            </w:pPr>
            <w:r/>
            <w:r>
              <w:rPr>
                <w:rFonts w:ascii="Times New Roman" w:hAnsi="Times New Roman" w:cs="Times New Roman"/>
                <w:b w:val="0"/>
                <w:i w:val="0"/>
                <w:sz w:val="22"/>
              </w:rPr>
              <w:t>2</w:t>
            </w:r>
          </w:p>
        </w:tc>
        <w:tc>
          <w:tcPr>
            <w:tcW w:type="dxa" w:w="3000"/>
          </w:tcPr>
          <w:p>
            <w:pPr>
              <w:spacing w:line="276" w:lineRule="auto" w:after="40"/>
              <w:jc w:val="left"/>
            </w:pPr>
            <w:r/>
            <w:r>
              <w:rPr>
                <w:rFonts w:ascii="Times New Roman" w:hAnsi="Times New Roman" w:cs="Times New Roman"/>
                <w:b w:val="0"/>
                <w:i w:val="0"/>
                <w:sz w:val="22"/>
              </w:rPr>
              <w:t>30</w:t>
            </w:r>
          </w:p>
        </w:tc>
      </w:tr>
      <w:tr>
        <w:tc>
          <w:tcPr>
            <w:tcW w:type="dxa" w:w="3000"/>
          </w:tcPr>
          <w:p>
            <w:pPr>
              <w:spacing w:line="276" w:lineRule="auto" w:after="40"/>
              <w:jc w:val="left"/>
            </w:pPr>
            <w:r/>
            <w:r>
              <w:rPr>
                <w:rFonts w:ascii="Times New Roman" w:hAnsi="Times New Roman" w:cs="Times New Roman"/>
                <w:b w:val="0"/>
                <w:i w:val="0"/>
                <w:sz w:val="22"/>
              </w:rPr>
              <w:t>UI/UX Designer</w:t>
            </w:r>
          </w:p>
        </w:tc>
        <w:tc>
          <w:tcPr>
            <w:tcW w:type="dxa" w:w="3000"/>
          </w:tcPr>
          <w:p>
            <w:pPr>
              <w:spacing w:line="276" w:lineRule="auto" w:after="40"/>
              <w:jc w:val="left"/>
            </w:pPr>
            <w:r/>
            <w:r>
              <w:rPr>
                <w:rFonts w:ascii="Times New Roman" w:hAnsi="Times New Roman" w:cs="Times New Roman"/>
                <w:b w:val="0"/>
                <w:i w:val="0"/>
                <w:sz w:val="22"/>
              </w:rPr>
              <w:t>1</w:t>
            </w:r>
          </w:p>
        </w:tc>
        <w:tc>
          <w:tcPr>
            <w:tcW w:type="dxa" w:w="3000"/>
          </w:tcPr>
          <w:p>
            <w:pPr>
              <w:spacing w:line="276" w:lineRule="auto" w:after="40"/>
              <w:jc w:val="left"/>
            </w:pPr>
            <w:r/>
            <w:r>
              <w:rPr>
                <w:rFonts w:ascii="Times New Roman" w:hAnsi="Times New Roman" w:cs="Times New Roman"/>
                <w:b w:val="0"/>
                <w:i w:val="0"/>
                <w:sz w:val="22"/>
              </w:rPr>
              <w:t>12</w:t>
            </w:r>
          </w:p>
        </w:tc>
      </w:tr>
      <w:tr>
        <w:tc>
          <w:tcPr>
            <w:tcW w:type="dxa" w:w="3000"/>
          </w:tcPr>
          <w:p>
            <w:pPr>
              <w:spacing w:line="276" w:lineRule="auto" w:after="40"/>
              <w:jc w:val="left"/>
            </w:pPr>
            <w:r/>
            <w:r>
              <w:rPr>
                <w:rFonts w:ascii="Times New Roman" w:hAnsi="Times New Roman" w:cs="Times New Roman"/>
                <w:b w:val="0"/>
                <w:i w:val="0"/>
                <w:sz w:val="22"/>
              </w:rPr>
              <w:t>Field Operations Lead</w:t>
            </w:r>
          </w:p>
        </w:tc>
        <w:tc>
          <w:tcPr>
            <w:tcW w:type="dxa" w:w="3000"/>
          </w:tcPr>
          <w:p>
            <w:pPr>
              <w:spacing w:line="276" w:lineRule="auto" w:after="40"/>
              <w:jc w:val="left"/>
            </w:pPr>
            <w:r/>
            <w:r>
              <w:rPr>
                <w:rFonts w:ascii="Times New Roman" w:hAnsi="Times New Roman" w:cs="Times New Roman"/>
                <w:b w:val="0"/>
                <w:i w:val="0"/>
                <w:sz w:val="22"/>
              </w:rPr>
              <w:t>1</w:t>
            </w:r>
          </w:p>
        </w:tc>
        <w:tc>
          <w:tcPr>
            <w:tcW w:type="dxa" w:w="3000"/>
          </w:tcPr>
          <w:p>
            <w:pPr>
              <w:spacing w:line="276" w:lineRule="auto" w:after="40"/>
              <w:jc w:val="left"/>
            </w:pPr>
            <w:r/>
            <w:r>
              <w:rPr>
                <w:rFonts w:ascii="Times New Roman" w:hAnsi="Times New Roman" w:cs="Times New Roman"/>
                <w:b w:val="0"/>
                <w:i w:val="0"/>
                <w:sz w:val="22"/>
              </w:rPr>
              <w:t>12</w:t>
            </w:r>
          </w:p>
        </w:tc>
      </w:tr>
      <w:tr>
        <w:tc>
          <w:tcPr>
            <w:tcW w:type="dxa" w:w="3000"/>
          </w:tcPr>
          <w:p>
            <w:pPr>
              <w:spacing w:line="276" w:lineRule="auto" w:after="40"/>
              <w:jc w:val="left"/>
            </w:pPr>
            <w:r/>
            <w:r>
              <w:rPr>
                <w:rFonts w:ascii="Times New Roman" w:hAnsi="Times New Roman" w:cs="Times New Roman"/>
                <w:b w:val="0"/>
                <w:i w:val="0"/>
                <w:sz w:val="22"/>
              </w:rPr>
              <w:t>Krishi Mitra Field Officers</w:t>
            </w:r>
          </w:p>
        </w:tc>
        <w:tc>
          <w:tcPr>
            <w:tcW w:type="dxa" w:w="3000"/>
          </w:tcPr>
          <w:p>
            <w:pPr>
              <w:spacing w:line="276" w:lineRule="auto" w:after="40"/>
              <w:jc w:val="left"/>
            </w:pPr>
            <w:r/>
            <w:r>
              <w:rPr>
                <w:rFonts w:ascii="Times New Roman" w:hAnsi="Times New Roman" w:cs="Times New Roman"/>
                <w:b w:val="0"/>
                <w:i w:val="0"/>
                <w:sz w:val="22"/>
              </w:rPr>
              <w:t>20</w:t>
            </w:r>
          </w:p>
        </w:tc>
        <w:tc>
          <w:tcPr>
            <w:tcW w:type="dxa" w:w="3000"/>
          </w:tcPr>
          <w:p>
            <w:pPr>
              <w:spacing w:line="276" w:lineRule="auto" w:after="40"/>
              <w:jc w:val="left"/>
            </w:pPr>
            <w:r/>
            <w:r>
              <w:rPr>
                <w:rFonts w:ascii="Times New Roman" w:hAnsi="Times New Roman" w:cs="Times New Roman"/>
                <w:b w:val="0"/>
                <w:i w:val="0"/>
                <w:sz w:val="22"/>
              </w:rPr>
              <w:t>36</w:t>
            </w:r>
          </w:p>
        </w:tc>
      </w:tr>
      <w:tr>
        <w:tc>
          <w:tcPr>
            <w:tcW w:type="dxa" w:w="3000"/>
          </w:tcPr>
          <w:p>
            <w:pPr>
              <w:spacing w:line="276" w:lineRule="auto" w:after="40"/>
              <w:jc w:val="left"/>
            </w:pPr>
            <w:r/>
            <w:r>
              <w:rPr>
                <w:rFonts w:ascii="Times New Roman" w:hAnsi="Times New Roman" w:cs="Times New Roman"/>
                <w:b w:val="0"/>
                <w:i w:val="0"/>
                <w:sz w:val="22"/>
              </w:rPr>
              <w:t>Customer Support (multilingual)</w:t>
            </w:r>
          </w:p>
        </w:tc>
        <w:tc>
          <w:tcPr>
            <w:tcW w:type="dxa" w:w="3000"/>
          </w:tcPr>
          <w:p>
            <w:pPr>
              <w:spacing w:line="276" w:lineRule="auto" w:after="40"/>
              <w:jc w:val="left"/>
            </w:pPr>
            <w:r/>
            <w:r>
              <w:rPr>
                <w:rFonts w:ascii="Times New Roman" w:hAnsi="Times New Roman" w:cs="Times New Roman"/>
                <w:b w:val="0"/>
                <w:i w:val="0"/>
                <w:sz w:val="22"/>
              </w:rPr>
              <w:t>6</w:t>
            </w:r>
          </w:p>
        </w:tc>
        <w:tc>
          <w:tcPr>
            <w:tcW w:type="dxa" w:w="3000"/>
          </w:tcPr>
          <w:p>
            <w:pPr>
              <w:spacing w:line="276" w:lineRule="auto" w:after="40"/>
              <w:jc w:val="left"/>
            </w:pPr>
            <w:r/>
            <w:r>
              <w:rPr>
                <w:rFonts w:ascii="Times New Roman" w:hAnsi="Times New Roman" w:cs="Times New Roman"/>
                <w:b w:val="0"/>
                <w:i w:val="0"/>
                <w:sz w:val="22"/>
              </w:rPr>
              <w:t>14</w:t>
            </w:r>
          </w:p>
        </w:tc>
      </w:tr>
      <w:tr>
        <w:tc>
          <w:tcPr>
            <w:tcW w:type="dxa" w:w="3000"/>
          </w:tcPr>
          <w:p>
            <w:pPr>
              <w:spacing w:line="276" w:lineRule="auto" w:after="40"/>
              <w:jc w:val="left"/>
            </w:pPr>
            <w:r/>
            <w:r>
              <w:rPr>
                <w:rFonts w:ascii="Times New Roman" w:hAnsi="Times New Roman" w:cs="Times New Roman"/>
                <w:b w:val="0"/>
                <w:i w:val="0"/>
                <w:sz w:val="22"/>
              </w:rPr>
              <w:t>Finance &amp; Compliance</w:t>
            </w:r>
          </w:p>
        </w:tc>
        <w:tc>
          <w:tcPr>
            <w:tcW w:type="dxa" w:w="3000"/>
          </w:tcPr>
          <w:p>
            <w:pPr>
              <w:spacing w:line="276" w:lineRule="auto" w:after="40"/>
              <w:jc w:val="left"/>
            </w:pPr>
            <w:r/>
            <w:r>
              <w:rPr>
                <w:rFonts w:ascii="Times New Roman" w:hAnsi="Times New Roman" w:cs="Times New Roman"/>
                <w:b w:val="0"/>
                <w:i w:val="0"/>
                <w:sz w:val="22"/>
              </w:rPr>
              <w:t>2</w:t>
            </w:r>
          </w:p>
        </w:tc>
        <w:tc>
          <w:tcPr>
            <w:tcW w:type="dxa" w:w="3000"/>
          </w:tcPr>
          <w:p>
            <w:pPr>
              <w:spacing w:line="276" w:lineRule="auto" w:after="40"/>
              <w:jc w:val="left"/>
            </w:pPr>
            <w:r/>
            <w:r>
              <w:rPr>
                <w:rFonts w:ascii="Times New Roman" w:hAnsi="Times New Roman" w:cs="Times New Roman"/>
                <w:b w:val="0"/>
                <w:i w:val="0"/>
                <w:sz w:val="22"/>
              </w:rPr>
              <w:t>14</w:t>
            </w:r>
          </w:p>
        </w:tc>
      </w:tr>
      <w:tr>
        <w:tc>
          <w:tcPr>
            <w:tcW w:type="dxa" w:w="3000"/>
          </w:tcPr>
          <w:p>
            <w:pPr>
              <w:spacing w:line="276" w:lineRule="auto" w:after="40"/>
              <w:jc w:val="left"/>
            </w:pPr>
            <w:r/>
            <w:r>
              <w:rPr>
                <w:rFonts w:ascii="Times New Roman" w:hAnsi="Times New Roman" w:cs="Times New Roman"/>
                <w:b w:val="0"/>
                <w:i w:val="0"/>
                <w:sz w:val="22"/>
              </w:rPr>
              <w:t>Marketing &amp; Partnerships</w:t>
            </w:r>
          </w:p>
        </w:tc>
        <w:tc>
          <w:tcPr>
            <w:tcW w:type="dxa" w:w="3000"/>
          </w:tcPr>
          <w:p>
            <w:pPr>
              <w:spacing w:line="276" w:lineRule="auto" w:after="40"/>
              <w:jc w:val="left"/>
            </w:pPr>
            <w:r/>
            <w:r>
              <w:rPr>
                <w:rFonts w:ascii="Times New Roman" w:hAnsi="Times New Roman" w:cs="Times New Roman"/>
                <w:b w:val="0"/>
                <w:i w:val="0"/>
                <w:sz w:val="22"/>
              </w:rPr>
              <w:t>2</w:t>
            </w:r>
          </w:p>
        </w:tc>
        <w:tc>
          <w:tcPr>
            <w:tcW w:type="dxa" w:w="3000"/>
          </w:tcPr>
          <w:p>
            <w:pPr>
              <w:spacing w:line="276" w:lineRule="auto" w:after="40"/>
              <w:jc w:val="left"/>
            </w:pPr>
            <w:r/>
            <w:r>
              <w:rPr>
                <w:rFonts w:ascii="Times New Roman" w:hAnsi="Times New Roman" w:cs="Times New Roman"/>
                <w:b w:val="0"/>
                <w:i w:val="0"/>
                <w:sz w:val="22"/>
              </w:rPr>
              <w:t>18</w:t>
            </w:r>
          </w:p>
        </w:tc>
      </w:tr>
      <w:tr>
        <w:tc>
          <w:tcPr>
            <w:tcW w:type="dxa" w:w="3000"/>
          </w:tcPr>
          <w:p>
            <w:pPr>
              <w:spacing w:line="276" w:lineRule="auto" w:after="40"/>
              <w:jc w:val="left"/>
            </w:pPr>
            <w:r/>
            <w:r>
              <w:rPr>
                <w:rFonts w:ascii="Times New Roman" w:hAnsi="Times New Roman" w:cs="Times New Roman"/>
                <w:b w:val="0"/>
                <w:i w:val="0"/>
                <w:sz w:val="22"/>
              </w:rPr>
              <w:t>Total</w:t>
            </w:r>
          </w:p>
        </w:tc>
        <w:tc>
          <w:tcPr>
            <w:tcW w:type="dxa" w:w="3000"/>
          </w:tcPr>
          <w:p>
            <w:pPr>
              <w:spacing w:line="276" w:lineRule="auto" w:after="40"/>
              <w:jc w:val="left"/>
            </w:pPr>
            <w:r/>
            <w:r>
              <w:rPr>
                <w:rFonts w:ascii="Times New Roman" w:hAnsi="Times New Roman" w:cs="Times New Roman"/>
                <w:b w:val="0"/>
                <w:i w:val="0"/>
                <w:sz w:val="22"/>
              </w:rPr>
              <w:t>42</w:t>
            </w:r>
          </w:p>
        </w:tc>
        <w:tc>
          <w:tcPr>
            <w:tcW w:type="dxa" w:w="3000"/>
          </w:tcPr>
          <w:p>
            <w:pPr>
              <w:spacing w:line="276" w:lineRule="auto" w:after="40"/>
              <w:jc w:val="left"/>
            </w:pPr>
            <w:r/>
            <w:r>
              <w:rPr>
                <w:rFonts w:ascii="Times New Roman" w:hAnsi="Times New Roman" w:cs="Times New Roman"/>
                <w:b w:val="0"/>
                <w:i w:val="0"/>
                <w:sz w:val="22"/>
              </w:rPr>
              <w:t>256</w:t>
            </w:r>
          </w:p>
        </w:tc>
      </w:tr>
    </w:tbl>
    <w:p>
      <w:pPr>
        <w:keepNext/>
        <w:spacing w:before="240" w:after="160"/>
        <w:jc w:val="left"/>
      </w:pPr>
      <w:r>
        <w:rPr>
          <w:rFonts w:ascii="Times New Roman" w:hAnsi="Times New Roman" w:cs="Times New Roman"/>
          <w:b/>
          <w:i w:val="0"/>
          <w:sz w:val="28"/>
        </w:rPr>
        <w:t>7.3 Marketing Strategy</w:t>
      </w:r>
    </w:p>
    <w:p>
      <w:pPr>
        <w:keepNext/>
        <w:spacing w:before="160" w:after="80"/>
        <w:jc w:val="left"/>
      </w:pPr>
      <w:r>
        <w:rPr>
          <w:rFonts w:ascii="Times New Roman" w:hAnsi="Times New Roman" w:cs="Times New Roman"/>
          <w:b/>
          <w:i/>
          <w:sz w:val="24"/>
        </w:rPr>
        <w:t>A. Brand Positioning</w:t>
      </w:r>
    </w:p>
    <w:p>
      <w:pPr>
        <w:spacing w:line="360" w:lineRule="auto" w:after="160"/>
        <w:jc w:val="both"/>
      </w:pPr>
      <w:r>
        <w:rPr>
          <w:rFonts w:ascii="Times New Roman" w:hAnsi="Times New Roman" w:cs="Times New Roman"/>
          <w:b w:val="0"/>
          <w:i w:val="0"/>
          <w:sz w:val="24"/>
        </w:rPr>
        <w:t>KrishiConnect will be positioned as "Kisan Ka Apna Bazaar" — the farmer's own marketplace. The tone of communication is respectful, empowering, and grounded — avoiding the patronising "uplift" rhetoric common in rural-tech marketing.</w:t>
      </w:r>
    </w:p>
    <w:p>
      <w:pPr>
        <w:keepNext/>
        <w:spacing w:before="160" w:after="80"/>
        <w:jc w:val="left"/>
      </w:pPr>
      <w:r>
        <w:rPr>
          <w:rFonts w:ascii="Times New Roman" w:hAnsi="Times New Roman" w:cs="Times New Roman"/>
          <w:b/>
          <w:i/>
          <w:sz w:val="24"/>
        </w:rPr>
        <w:t>B. Go-to-Market Channels</w:t>
      </w:r>
    </w:p>
    <w:p>
      <w:pPr>
        <w:pStyle w:val="ListBullet"/>
        <w:spacing w:line="360" w:lineRule="auto" w:after="80"/>
        <w:jc w:val="both"/>
      </w:pPr>
      <w:r>
        <w:rPr>
          <w:rFonts w:ascii="Times New Roman" w:hAnsi="Times New Roman" w:cs="Times New Roman"/>
          <w:b w:val="0"/>
          <w:i w:val="0"/>
          <w:sz w:val="24"/>
        </w:rPr>
        <w:t>FPO Partnerships — direct MoUs with 200+ FPOs to onboard their members in clusters; this remains the lowest-CAC channel at approximately ₹85 per farmer.</w:t>
      </w:r>
    </w:p>
    <w:p>
      <w:pPr>
        <w:pStyle w:val="ListBullet"/>
        <w:spacing w:line="360" w:lineRule="auto" w:after="80"/>
        <w:jc w:val="both"/>
      </w:pPr>
      <w:r>
        <w:rPr>
          <w:rFonts w:ascii="Times New Roman" w:hAnsi="Times New Roman" w:cs="Times New Roman"/>
          <w:b w:val="0"/>
          <w:i w:val="0"/>
          <w:sz w:val="24"/>
        </w:rPr>
        <w:t>Krishi Mitra Field Officers — village-level demos, particularly during sowing and harvest seasons.</w:t>
      </w:r>
    </w:p>
    <w:p>
      <w:pPr>
        <w:pStyle w:val="ListBullet"/>
        <w:spacing w:line="360" w:lineRule="auto" w:after="80"/>
        <w:jc w:val="both"/>
      </w:pPr>
      <w:r>
        <w:rPr>
          <w:rFonts w:ascii="Times New Roman" w:hAnsi="Times New Roman" w:cs="Times New Roman"/>
          <w:b w:val="0"/>
          <w:i w:val="0"/>
          <w:sz w:val="24"/>
        </w:rPr>
        <w:t>Vernacular YouTube and ShareChat — short-form videos starring real farmers explaining outcomes; organic reach amplified by paid promotion in target districts.</w:t>
      </w:r>
    </w:p>
    <w:p>
      <w:pPr>
        <w:pStyle w:val="ListBullet"/>
        <w:spacing w:line="360" w:lineRule="auto" w:after="80"/>
        <w:jc w:val="both"/>
      </w:pPr>
      <w:r>
        <w:rPr>
          <w:rFonts w:ascii="Times New Roman" w:hAnsi="Times New Roman" w:cs="Times New Roman"/>
          <w:b w:val="0"/>
          <w:i w:val="0"/>
          <w:sz w:val="24"/>
        </w:rPr>
        <w:t>IVR Helpline 1800-KRISHI — toll-free advisory and onboarding helpline operating in 11 languages.</w:t>
      </w:r>
    </w:p>
    <w:p>
      <w:pPr>
        <w:pStyle w:val="ListBullet"/>
        <w:spacing w:line="360" w:lineRule="auto" w:after="80"/>
        <w:jc w:val="both"/>
      </w:pPr>
      <w:r>
        <w:rPr>
          <w:rFonts w:ascii="Times New Roman" w:hAnsi="Times New Roman" w:cs="Times New Roman"/>
          <w:b w:val="0"/>
          <w:i w:val="0"/>
          <w:sz w:val="24"/>
        </w:rPr>
        <w:t>Strategic tie-ups with All India Radio and Doordarshan Krishi Darshan for category awareness.</w:t>
      </w:r>
    </w:p>
    <w:p>
      <w:pPr>
        <w:pStyle w:val="ListBullet"/>
        <w:spacing w:line="360" w:lineRule="auto" w:after="80"/>
        <w:jc w:val="both"/>
      </w:pPr>
      <w:r>
        <w:rPr>
          <w:rFonts w:ascii="Times New Roman" w:hAnsi="Times New Roman" w:cs="Times New Roman"/>
          <w:b w:val="0"/>
          <w:i w:val="0"/>
          <w:sz w:val="24"/>
        </w:rPr>
        <w:t>On-ground brand activations at Krishi Melas, mandis, and rural haats.</w:t>
      </w:r>
    </w:p>
    <w:p>
      <w:pPr>
        <w:pStyle w:val="ListBullet"/>
        <w:spacing w:line="360" w:lineRule="auto" w:after="80"/>
        <w:jc w:val="both"/>
      </w:pPr>
      <w:r>
        <w:rPr>
          <w:rFonts w:ascii="Times New Roman" w:hAnsi="Times New Roman" w:cs="Times New Roman"/>
          <w:b w:val="0"/>
          <w:i w:val="0"/>
          <w:sz w:val="24"/>
        </w:rPr>
        <w:t>Referral incentives ("Mitra Banao, ₹100 Pao") to drive organic word-of-mouth in close-knit village networks.</w:t>
      </w:r>
    </w:p>
    <w:p>
      <w:pPr>
        <w:keepNext/>
        <w:spacing w:before="160" w:after="80"/>
        <w:jc w:val="left"/>
      </w:pPr>
      <w:r>
        <w:rPr>
          <w:rFonts w:ascii="Times New Roman" w:hAnsi="Times New Roman" w:cs="Times New Roman"/>
          <w:b/>
          <w:i/>
          <w:sz w:val="24"/>
        </w:rPr>
        <w:t>C. Digital Marketing for Buyer Side</w:t>
      </w:r>
    </w:p>
    <w:p>
      <w:pPr>
        <w:pStyle w:val="ListBullet"/>
        <w:spacing w:line="360" w:lineRule="auto" w:after="80"/>
        <w:jc w:val="both"/>
      </w:pPr>
      <w:r>
        <w:rPr>
          <w:rFonts w:ascii="Times New Roman" w:hAnsi="Times New Roman" w:cs="Times New Roman"/>
          <w:b w:val="0"/>
          <w:i w:val="0"/>
          <w:sz w:val="24"/>
        </w:rPr>
        <w:t>LinkedIn-led outreach to procurement heads in food-processing, modern retail, and HoReCa.</w:t>
      </w:r>
    </w:p>
    <w:p>
      <w:pPr>
        <w:pStyle w:val="ListBullet"/>
        <w:spacing w:line="360" w:lineRule="auto" w:after="80"/>
        <w:jc w:val="both"/>
      </w:pPr>
      <w:r>
        <w:rPr>
          <w:rFonts w:ascii="Times New Roman" w:hAnsi="Times New Roman" w:cs="Times New Roman"/>
          <w:b w:val="0"/>
          <w:i w:val="0"/>
          <w:sz w:val="24"/>
        </w:rPr>
        <w:t>SEO-optimised content on quality, traceability, and ONDC discoverability.</w:t>
      </w:r>
    </w:p>
    <w:p>
      <w:pPr>
        <w:pStyle w:val="ListBullet"/>
        <w:spacing w:line="360" w:lineRule="auto" w:after="80"/>
        <w:jc w:val="both"/>
      </w:pPr>
      <w:r>
        <w:rPr>
          <w:rFonts w:ascii="Times New Roman" w:hAnsi="Times New Roman" w:cs="Times New Roman"/>
          <w:b w:val="0"/>
          <w:i w:val="0"/>
          <w:sz w:val="24"/>
        </w:rPr>
        <w:t>B2B trade fairs (Anuga, SIAL, India Foodex) for export-grade buyer acquisition.</w:t>
      </w:r>
    </w:p>
    <w:p>
      <w:pPr>
        <w:keepNext/>
        <w:spacing w:before="240" w:after="160"/>
        <w:jc w:val="left"/>
      </w:pPr>
      <w:r>
        <w:rPr>
          <w:rFonts w:ascii="Times New Roman" w:hAnsi="Times New Roman" w:cs="Times New Roman"/>
          <w:b/>
          <w:i w:val="0"/>
          <w:sz w:val="28"/>
        </w:rPr>
        <w:t>7.4 Customer Retention Strategy</w:t>
      </w:r>
    </w:p>
    <w:p>
      <w:pPr>
        <w:pStyle w:val="ListBullet"/>
        <w:spacing w:line="360" w:lineRule="auto" w:after="80"/>
        <w:jc w:val="both"/>
      </w:pPr>
      <w:r>
        <w:rPr>
          <w:rFonts w:ascii="Times New Roman" w:hAnsi="Times New Roman" w:cs="Times New Roman"/>
          <w:b w:val="0"/>
          <w:i w:val="0"/>
          <w:sz w:val="24"/>
        </w:rPr>
        <w:t>Kisan Points loyalty programme — earn points on every transaction, redeemable against inputs or premium subscription.</w:t>
      </w:r>
    </w:p>
    <w:p>
      <w:pPr>
        <w:pStyle w:val="ListBullet"/>
        <w:spacing w:line="360" w:lineRule="auto" w:after="80"/>
        <w:jc w:val="both"/>
      </w:pPr>
      <w:r>
        <w:rPr>
          <w:rFonts w:ascii="Times New Roman" w:hAnsi="Times New Roman" w:cs="Times New Roman"/>
          <w:b w:val="0"/>
          <w:i w:val="0"/>
          <w:sz w:val="24"/>
        </w:rPr>
        <w:t>Personalised crop calendars and price alerts via WhatsApp.</w:t>
      </w:r>
    </w:p>
    <w:p>
      <w:pPr>
        <w:pStyle w:val="ListBullet"/>
        <w:spacing w:line="360" w:lineRule="auto" w:after="80"/>
        <w:jc w:val="both"/>
      </w:pPr>
      <w:r>
        <w:rPr>
          <w:rFonts w:ascii="Times New Roman" w:hAnsi="Times New Roman" w:cs="Times New Roman"/>
          <w:b w:val="0"/>
          <w:i w:val="0"/>
          <w:sz w:val="24"/>
        </w:rPr>
        <w:t>Access to exclusive KrishiSakhi advisory webinars in regional languages.</w:t>
      </w:r>
    </w:p>
    <w:p>
      <w:pPr>
        <w:pStyle w:val="ListBullet"/>
        <w:spacing w:line="360" w:lineRule="auto" w:after="80"/>
        <w:jc w:val="both"/>
      </w:pPr>
      <w:r>
        <w:rPr>
          <w:rFonts w:ascii="Times New Roman" w:hAnsi="Times New Roman" w:cs="Times New Roman"/>
          <w:b w:val="0"/>
          <w:i w:val="0"/>
          <w:sz w:val="24"/>
        </w:rPr>
        <w:t>Annual "Krishi Ratna" awards recognising top farmers on the platform — driving aspirational brand value.</w:t>
      </w:r>
    </w:p>
    <w:p>
      <w:r>
        <w:br w:type="page"/>
      </w:r>
    </w:p>
    <w:p>
      <w:pPr>
        <w:keepNext/>
        <w:spacing w:before="360" w:after="280"/>
        <w:jc w:val="left"/>
      </w:pPr>
      <w:r>
        <w:rPr>
          <w:rFonts w:ascii="Times New Roman" w:hAnsi="Times New Roman" w:cs="Times New Roman"/>
          <w:b/>
          <w:i w:val="0"/>
          <w:sz w:val="32"/>
        </w:rPr>
        <w:t>8. Financial Planning</w:t>
      </w:r>
    </w:p>
    <w:p>
      <w:pPr>
        <w:keepNext/>
        <w:spacing w:before="240" w:after="160"/>
        <w:jc w:val="left"/>
      </w:pPr>
      <w:r>
        <w:rPr>
          <w:rFonts w:ascii="Times New Roman" w:hAnsi="Times New Roman" w:cs="Times New Roman"/>
          <w:b/>
          <w:i w:val="0"/>
          <w:sz w:val="28"/>
        </w:rPr>
        <w:t>8.1 Initial Startup Cost</w:t>
      </w:r>
    </w:p>
    <w:p>
      <w:pPr>
        <w:keepNext/>
        <w:spacing w:before="160" w:after="80"/>
        <w:jc w:val="left"/>
      </w:pPr>
      <w:r>
        <w:rPr>
          <w:rFonts w:ascii="Times New Roman" w:hAnsi="Times New Roman" w:cs="Times New Roman"/>
          <w:b/>
          <w:i/>
          <w:sz w:val="24"/>
        </w:rPr>
        <w:t>Table 8.1 — Initial Startup Cost (Year-0 Budget for MVP and Launch)</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line="276" w:lineRule="auto" w:after="40"/>
              <w:jc w:val="left"/>
            </w:pPr>
            <w:r/>
            <w:r>
              <w:rPr>
                <w:rFonts w:ascii="Times New Roman" w:hAnsi="Times New Roman" w:cs="Times New Roman"/>
                <w:b/>
                <w:i w:val="0"/>
                <w:sz w:val="22"/>
              </w:rPr>
              <w:t>Cost Head</w:t>
            </w:r>
          </w:p>
        </w:tc>
        <w:tc>
          <w:tcPr>
            <w:tcW w:type="dxa" w:w="3000"/>
          </w:tcPr>
          <w:p>
            <w:pPr>
              <w:spacing w:line="276" w:lineRule="auto" w:after="40"/>
              <w:jc w:val="left"/>
            </w:pPr>
            <w:r/>
            <w:r>
              <w:rPr>
                <w:rFonts w:ascii="Times New Roman" w:hAnsi="Times New Roman" w:cs="Times New Roman"/>
                <w:b/>
                <w:i w:val="0"/>
                <w:sz w:val="22"/>
              </w:rPr>
              <w:t>Description</w:t>
            </w:r>
          </w:p>
        </w:tc>
        <w:tc>
          <w:tcPr>
            <w:tcW w:type="dxa" w:w="3000"/>
          </w:tcPr>
          <w:p>
            <w:pPr>
              <w:spacing w:line="276" w:lineRule="auto" w:after="40"/>
              <w:jc w:val="left"/>
            </w:pPr>
            <w:r/>
            <w:r>
              <w:rPr>
                <w:rFonts w:ascii="Times New Roman" w:hAnsi="Times New Roman" w:cs="Times New Roman"/>
                <w:b/>
                <w:i w:val="0"/>
                <w:sz w:val="22"/>
              </w:rPr>
              <w:t>Amount (₹)</w:t>
            </w:r>
          </w:p>
        </w:tc>
      </w:tr>
      <w:tr>
        <w:tc>
          <w:tcPr>
            <w:tcW w:type="dxa" w:w="3000"/>
          </w:tcPr>
          <w:p>
            <w:pPr>
              <w:spacing w:line="276" w:lineRule="auto" w:after="40"/>
              <w:jc w:val="left"/>
            </w:pPr>
            <w:r/>
            <w:r>
              <w:rPr>
                <w:rFonts w:ascii="Times New Roman" w:hAnsi="Times New Roman" w:cs="Times New Roman"/>
                <w:b w:val="0"/>
                <w:i w:val="0"/>
                <w:sz w:val="22"/>
              </w:rPr>
              <w:t>Technology Development</w:t>
            </w:r>
          </w:p>
        </w:tc>
        <w:tc>
          <w:tcPr>
            <w:tcW w:type="dxa" w:w="3000"/>
          </w:tcPr>
          <w:p>
            <w:pPr>
              <w:spacing w:line="276" w:lineRule="auto" w:after="40"/>
              <w:jc w:val="left"/>
            </w:pPr>
            <w:r/>
            <w:r>
              <w:rPr>
                <w:rFonts w:ascii="Times New Roman" w:hAnsi="Times New Roman" w:cs="Times New Roman"/>
                <w:b w:val="0"/>
                <w:i w:val="0"/>
                <w:sz w:val="22"/>
              </w:rPr>
              <w:t>MVP Mobile App + Web Portal + Admin Dashboard (8-engineer team x 6 months)</w:t>
            </w:r>
          </w:p>
        </w:tc>
        <w:tc>
          <w:tcPr>
            <w:tcW w:type="dxa" w:w="3000"/>
          </w:tcPr>
          <w:p>
            <w:pPr>
              <w:spacing w:line="276" w:lineRule="auto" w:after="40"/>
              <w:jc w:val="left"/>
            </w:pPr>
            <w:r/>
            <w:r>
              <w:rPr>
                <w:rFonts w:ascii="Times New Roman" w:hAnsi="Times New Roman" w:cs="Times New Roman"/>
                <w:b w:val="0"/>
                <w:i w:val="0"/>
                <w:sz w:val="22"/>
              </w:rPr>
              <w:t>35,00,000</w:t>
            </w:r>
          </w:p>
        </w:tc>
      </w:tr>
      <w:tr>
        <w:tc>
          <w:tcPr>
            <w:tcW w:type="dxa" w:w="3000"/>
          </w:tcPr>
          <w:p>
            <w:pPr>
              <w:spacing w:line="276" w:lineRule="auto" w:after="40"/>
              <w:jc w:val="left"/>
            </w:pPr>
            <w:r/>
            <w:r>
              <w:rPr>
                <w:rFonts w:ascii="Times New Roman" w:hAnsi="Times New Roman" w:cs="Times New Roman"/>
                <w:b w:val="0"/>
                <w:i w:val="0"/>
                <w:sz w:val="22"/>
              </w:rPr>
              <w:t>AI Model Training &amp; Datasets</w:t>
            </w:r>
          </w:p>
        </w:tc>
        <w:tc>
          <w:tcPr>
            <w:tcW w:type="dxa" w:w="3000"/>
          </w:tcPr>
          <w:p>
            <w:pPr>
              <w:spacing w:line="276" w:lineRule="auto" w:after="40"/>
              <w:jc w:val="left"/>
            </w:pPr>
            <w:r/>
            <w:r>
              <w:rPr>
                <w:rFonts w:ascii="Times New Roman" w:hAnsi="Times New Roman" w:cs="Times New Roman"/>
                <w:b w:val="0"/>
                <w:i w:val="0"/>
                <w:sz w:val="22"/>
              </w:rPr>
              <w:t>Crop disease dataset licensing, GPU hours, model fine-tuning</w:t>
            </w:r>
          </w:p>
        </w:tc>
        <w:tc>
          <w:tcPr>
            <w:tcW w:type="dxa" w:w="3000"/>
          </w:tcPr>
          <w:p>
            <w:pPr>
              <w:spacing w:line="276" w:lineRule="auto" w:after="40"/>
              <w:jc w:val="left"/>
            </w:pPr>
            <w:r/>
            <w:r>
              <w:rPr>
                <w:rFonts w:ascii="Times New Roman" w:hAnsi="Times New Roman" w:cs="Times New Roman"/>
                <w:b w:val="0"/>
                <w:i w:val="0"/>
                <w:sz w:val="22"/>
              </w:rPr>
              <w:t>6,00,000</w:t>
            </w:r>
          </w:p>
        </w:tc>
      </w:tr>
      <w:tr>
        <w:tc>
          <w:tcPr>
            <w:tcW w:type="dxa" w:w="3000"/>
          </w:tcPr>
          <w:p>
            <w:pPr>
              <w:spacing w:line="276" w:lineRule="auto" w:after="40"/>
              <w:jc w:val="left"/>
            </w:pPr>
            <w:r/>
            <w:r>
              <w:rPr>
                <w:rFonts w:ascii="Times New Roman" w:hAnsi="Times New Roman" w:cs="Times New Roman"/>
                <w:b w:val="0"/>
                <w:i w:val="0"/>
                <w:sz w:val="22"/>
              </w:rPr>
              <w:t>Cloud Infrastructure</w:t>
            </w:r>
          </w:p>
        </w:tc>
        <w:tc>
          <w:tcPr>
            <w:tcW w:type="dxa" w:w="3000"/>
          </w:tcPr>
          <w:p>
            <w:pPr>
              <w:spacing w:line="276" w:lineRule="auto" w:after="40"/>
              <w:jc w:val="left"/>
            </w:pPr>
            <w:r/>
            <w:r>
              <w:rPr>
                <w:rFonts w:ascii="Times New Roman" w:hAnsi="Times New Roman" w:cs="Times New Roman"/>
                <w:b w:val="0"/>
                <w:i w:val="0"/>
                <w:sz w:val="22"/>
              </w:rPr>
              <w:t>AWS hosting, third-party APIs (12 months)</w:t>
            </w:r>
          </w:p>
        </w:tc>
        <w:tc>
          <w:tcPr>
            <w:tcW w:type="dxa" w:w="3000"/>
          </w:tcPr>
          <w:p>
            <w:pPr>
              <w:spacing w:line="276" w:lineRule="auto" w:after="40"/>
              <w:jc w:val="left"/>
            </w:pPr>
            <w:r/>
            <w:r>
              <w:rPr>
                <w:rFonts w:ascii="Times New Roman" w:hAnsi="Times New Roman" w:cs="Times New Roman"/>
                <w:b w:val="0"/>
                <w:i w:val="0"/>
                <w:sz w:val="22"/>
              </w:rPr>
              <w:t>8,00,000</w:t>
            </w:r>
          </w:p>
        </w:tc>
      </w:tr>
      <w:tr>
        <w:tc>
          <w:tcPr>
            <w:tcW w:type="dxa" w:w="3000"/>
          </w:tcPr>
          <w:p>
            <w:pPr>
              <w:spacing w:line="276" w:lineRule="auto" w:after="40"/>
              <w:jc w:val="left"/>
            </w:pPr>
            <w:r/>
            <w:r>
              <w:rPr>
                <w:rFonts w:ascii="Times New Roman" w:hAnsi="Times New Roman" w:cs="Times New Roman"/>
                <w:b w:val="0"/>
                <w:i w:val="0"/>
                <w:sz w:val="22"/>
              </w:rPr>
              <w:t>Field Operations</w:t>
            </w:r>
          </w:p>
        </w:tc>
        <w:tc>
          <w:tcPr>
            <w:tcW w:type="dxa" w:w="3000"/>
          </w:tcPr>
          <w:p>
            <w:pPr>
              <w:spacing w:line="276" w:lineRule="auto" w:after="40"/>
              <w:jc w:val="left"/>
            </w:pPr>
            <w:r/>
            <w:r>
              <w:rPr>
                <w:rFonts w:ascii="Times New Roman" w:hAnsi="Times New Roman" w:cs="Times New Roman"/>
                <w:b w:val="0"/>
                <w:i w:val="0"/>
                <w:sz w:val="22"/>
              </w:rPr>
              <w:t>Onboarding 5,000 farmers across 10 districts; Krishi Mitra incentives</w:t>
            </w:r>
          </w:p>
        </w:tc>
        <w:tc>
          <w:tcPr>
            <w:tcW w:type="dxa" w:w="3000"/>
          </w:tcPr>
          <w:p>
            <w:pPr>
              <w:spacing w:line="276" w:lineRule="auto" w:after="40"/>
              <w:jc w:val="left"/>
            </w:pPr>
            <w:r/>
            <w:r>
              <w:rPr>
                <w:rFonts w:ascii="Times New Roman" w:hAnsi="Times New Roman" w:cs="Times New Roman"/>
                <w:b w:val="0"/>
                <w:i w:val="0"/>
                <w:sz w:val="22"/>
              </w:rPr>
              <w:t>15,00,000</w:t>
            </w:r>
          </w:p>
        </w:tc>
      </w:tr>
      <w:tr>
        <w:tc>
          <w:tcPr>
            <w:tcW w:type="dxa" w:w="3000"/>
          </w:tcPr>
          <w:p>
            <w:pPr>
              <w:spacing w:line="276" w:lineRule="auto" w:after="40"/>
              <w:jc w:val="left"/>
            </w:pPr>
            <w:r/>
            <w:r>
              <w:rPr>
                <w:rFonts w:ascii="Times New Roman" w:hAnsi="Times New Roman" w:cs="Times New Roman"/>
                <w:b w:val="0"/>
                <w:i w:val="0"/>
                <w:sz w:val="22"/>
              </w:rPr>
              <w:t>Marketing &amp; Branding</w:t>
            </w:r>
          </w:p>
        </w:tc>
        <w:tc>
          <w:tcPr>
            <w:tcW w:type="dxa" w:w="3000"/>
          </w:tcPr>
          <w:p>
            <w:pPr>
              <w:spacing w:line="276" w:lineRule="auto" w:after="40"/>
              <w:jc w:val="left"/>
            </w:pPr>
            <w:r/>
            <w:r>
              <w:rPr>
                <w:rFonts w:ascii="Times New Roman" w:hAnsi="Times New Roman" w:cs="Times New Roman"/>
                <w:b w:val="0"/>
                <w:i w:val="0"/>
                <w:sz w:val="22"/>
              </w:rPr>
              <w:t>Digital, on-ground events, regional language content production</w:t>
            </w:r>
          </w:p>
        </w:tc>
        <w:tc>
          <w:tcPr>
            <w:tcW w:type="dxa" w:w="3000"/>
          </w:tcPr>
          <w:p>
            <w:pPr>
              <w:spacing w:line="276" w:lineRule="auto" w:after="40"/>
              <w:jc w:val="left"/>
            </w:pPr>
            <w:r/>
            <w:r>
              <w:rPr>
                <w:rFonts w:ascii="Times New Roman" w:hAnsi="Times New Roman" w:cs="Times New Roman"/>
                <w:b w:val="0"/>
                <w:i w:val="0"/>
                <w:sz w:val="22"/>
              </w:rPr>
              <w:t>10,00,000</w:t>
            </w:r>
          </w:p>
        </w:tc>
      </w:tr>
      <w:tr>
        <w:tc>
          <w:tcPr>
            <w:tcW w:type="dxa" w:w="3000"/>
          </w:tcPr>
          <w:p>
            <w:pPr>
              <w:spacing w:line="276" w:lineRule="auto" w:after="40"/>
              <w:jc w:val="left"/>
            </w:pPr>
            <w:r/>
            <w:r>
              <w:rPr>
                <w:rFonts w:ascii="Times New Roman" w:hAnsi="Times New Roman" w:cs="Times New Roman"/>
                <w:b w:val="0"/>
                <w:i w:val="0"/>
                <w:sz w:val="22"/>
              </w:rPr>
              <w:t>Legal, Compliance &amp; Licenses</w:t>
            </w:r>
          </w:p>
        </w:tc>
        <w:tc>
          <w:tcPr>
            <w:tcW w:type="dxa" w:w="3000"/>
          </w:tcPr>
          <w:p>
            <w:pPr>
              <w:spacing w:line="276" w:lineRule="auto" w:after="40"/>
              <w:jc w:val="left"/>
            </w:pPr>
            <w:r/>
            <w:r>
              <w:rPr>
                <w:rFonts w:ascii="Times New Roman" w:hAnsi="Times New Roman" w:cs="Times New Roman"/>
                <w:b w:val="0"/>
                <w:i w:val="0"/>
                <w:sz w:val="22"/>
              </w:rPr>
              <w:t>Company incorporation, FSSAI, GST, ONDC participation, DPDPA compliance</w:t>
            </w:r>
          </w:p>
        </w:tc>
        <w:tc>
          <w:tcPr>
            <w:tcW w:type="dxa" w:w="3000"/>
          </w:tcPr>
          <w:p>
            <w:pPr>
              <w:spacing w:line="276" w:lineRule="auto" w:after="40"/>
              <w:jc w:val="left"/>
            </w:pPr>
            <w:r/>
            <w:r>
              <w:rPr>
                <w:rFonts w:ascii="Times New Roman" w:hAnsi="Times New Roman" w:cs="Times New Roman"/>
                <w:b w:val="0"/>
                <w:i w:val="0"/>
                <w:sz w:val="22"/>
              </w:rPr>
              <w:t>3,50,000</w:t>
            </w:r>
          </w:p>
        </w:tc>
      </w:tr>
      <w:tr>
        <w:tc>
          <w:tcPr>
            <w:tcW w:type="dxa" w:w="3000"/>
          </w:tcPr>
          <w:p>
            <w:pPr>
              <w:spacing w:line="276" w:lineRule="auto" w:after="40"/>
              <w:jc w:val="left"/>
            </w:pPr>
            <w:r/>
            <w:r>
              <w:rPr>
                <w:rFonts w:ascii="Times New Roman" w:hAnsi="Times New Roman" w:cs="Times New Roman"/>
                <w:b w:val="0"/>
                <w:i w:val="0"/>
                <w:sz w:val="22"/>
              </w:rPr>
              <w:t>Working Capital Buffer</w:t>
            </w:r>
          </w:p>
        </w:tc>
        <w:tc>
          <w:tcPr>
            <w:tcW w:type="dxa" w:w="3000"/>
          </w:tcPr>
          <w:p>
            <w:pPr>
              <w:spacing w:line="276" w:lineRule="auto" w:after="40"/>
              <w:jc w:val="left"/>
            </w:pPr>
            <w:r/>
            <w:r>
              <w:rPr>
                <w:rFonts w:ascii="Times New Roman" w:hAnsi="Times New Roman" w:cs="Times New Roman"/>
                <w:b w:val="0"/>
                <w:i w:val="0"/>
                <w:sz w:val="22"/>
              </w:rPr>
              <w:t>Logistics float, refunds, contingency</w:t>
            </w:r>
          </w:p>
        </w:tc>
        <w:tc>
          <w:tcPr>
            <w:tcW w:type="dxa" w:w="3000"/>
          </w:tcPr>
          <w:p>
            <w:pPr>
              <w:spacing w:line="276" w:lineRule="auto" w:after="40"/>
              <w:jc w:val="left"/>
            </w:pPr>
            <w:r/>
            <w:r>
              <w:rPr>
                <w:rFonts w:ascii="Times New Roman" w:hAnsi="Times New Roman" w:cs="Times New Roman"/>
                <w:b w:val="0"/>
                <w:i w:val="0"/>
                <w:sz w:val="22"/>
              </w:rPr>
              <w:t>12,00,000</w:t>
            </w:r>
          </w:p>
        </w:tc>
      </w:tr>
      <w:tr>
        <w:tc>
          <w:tcPr>
            <w:tcW w:type="dxa" w:w="3000"/>
          </w:tcPr>
          <w:p>
            <w:pPr>
              <w:spacing w:line="276" w:lineRule="auto" w:after="40"/>
              <w:jc w:val="left"/>
            </w:pPr>
            <w:r/>
            <w:r>
              <w:rPr>
                <w:rFonts w:ascii="Times New Roman" w:hAnsi="Times New Roman" w:cs="Times New Roman"/>
                <w:b w:val="0"/>
                <w:i w:val="0"/>
                <w:sz w:val="22"/>
              </w:rPr>
              <w:t>Office &amp; Operations</w:t>
            </w:r>
          </w:p>
        </w:tc>
        <w:tc>
          <w:tcPr>
            <w:tcW w:type="dxa" w:w="3000"/>
          </w:tcPr>
          <w:p>
            <w:pPr>
              <w:spacing w:line="276" w:lineRule="auto" w:after="40"/>
              <w:jc w:val="left"/>
            </w:pPr>
            <w:r/>
            <w:r>
              <w:rPr>
                <w:rFonts w:ascii="Times New Roman" w:hAnsi="Times New Roman" w:cs="Times New Roman"/>
                <w:b w:val="0"/>
                <w:i w:val="0"/>
                <w:sz w:val="22"/>
              </w:rPr>
              <w:t>Lean co-working setup in Kanpur and Bengaluru</w:t>
            </w:r>
          </w:p>
        </w:tc>
        <w:tc>
          <w:tcPr>
            <w:tcW w:type="dxa" w:w="3000"/>
          </w:tcPr>
          <w:p>
            <w:pPr>
              <w:spacing w:line="276" w:lineRule="auto" w:after="40"/>
              <w:jc w:val="left"/>
            </w:pPr>
            <w:r/>
            <w:r>
              <w:rPr>
                <w:rFonts w:ascii="Times New Roman" w:hAnsi="Times New Roman" w:cs="Times New Roman"/>
                <w:b w:val="0"/>
                <w:i w:val="0"/>
                <w:sz w:val="22"/>
              </w:rPr>
              <w:t>5,50,000</w:t>
            </w:r>
          </w:p>
        </w:tc>
      </w:tr>
      <w:tr>
        <w:tc>
          <w:tcPr>
            <w:tcW w:type="dxa" w:w="3000"/>
          </w:tcPr>
          <w:p>
            <w:pPr>
              <w:spacing w:line="276" w:lineRule="auto" w:after="40"/>
              <w:jc w:val="left"/>
            </w:pPr>
            <w:r/>
            <w:r>
              <w:rPr>
                <w:rFonts w:ascii="Times New Roman" w:hAnsi="Times New Roman" w:cs="Times New Roman"/>
                <w:b w:val="0"/>
                <w:i w:val="0"/>
                <w:sz w:val="22"/>
              </w:rPr>
              <w:t>TOTAL</w:t>
            </w:r>
          </w:p>
        </w:tc>
        <w:tc>
          <w:tcPr>
            <w:tcW w:type="dxa" w:w="3000"/>
          </w:tcPr>
          <w:p>
            <w:pPr>
              <w:spacing w:line="276" w:lineRule="auto" w:after="40"/>
              <w:jc w:val="left"/>
            </w:pPr>
            <w:r/>
            <w:r>
              <w:rPr>
                <w:rFonts w:ascii="Times New Roman" w:hAnsi="Times New Roman" w:cs="Times New Roman"/>
                <w:b w:val="0"/>
                <w:i w:val="0"/>
                <w:sz w:val="22"/>
              </w:rPr>
            </w:r>
          </w:p>
        </w:tc>
        <w:tc>
          <w:tcPr>
            <w:tcW w:type="dxa" w:w="3000"/>
          </w:tcPr>
          <w:p>
            <w:pPr>
              <w:spacing w:line="276" w:lineRule="auto" w:after="40"/>
              <w:jc w:val="left"/>
            </w:pPr>
            <w:r/>
            <w:r>
              <w:rPr>
                <w:rFonts w:ascii="Times New Roman" w:hAnsi="Times New Roman" w:cs="Times New Roman"/>
                <w:b w:val="0"/>
                <w:i w:val="0"/>
                <w:sz w:val="22"/>
              </w:rPr>
              <w:t>95,00,000 (≈ USD 115K)</w:t>
            </w:r>
          </w:p>
        </w:tc>
      </w:tr>
    </w:tbl>
    <w:p>
      <w:pPr>
        <w:keepNext/>
        <w:spacing w:before="240" w:after="160"/>
        <w:jc w:val="left"/>
      </w:pPr>
      <w:r>
        <w:rPr>
          <w:rFonts w:ascii="Times New Roman" w:hAnsi="Times New Roman" w:cs="Times New Roman"/>
          <w:b/>
          <w:i w:val="0"/>
          <w:sz w:val="28"/>
        </w:rPr>
        <w:t>8.2 Three-Year Financial Projections</w:t>
      </w:r>
    </w:p>
    <w:p>
      <w:pPr>
        <w:keepNext/>
        <w:spacing w:before="160" w:after="80"/>
        <w:jc w:val="left"/>
      </w:pPr>
      <w:r>
        <w:rPr>
          <w:rFonts w:ascii="Times New Roman" w:hAnsi="Times New Roman" w:cs="Times New Roman"/>
          <w:b/>
          <w:i/>
          <w:sz w:val="24"/>
        </w:rPr>
        <w:t>Table 8.2 — Three-Year Revenue and Profitability Projection</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pPr>
              <w:spacing w:line="276" w:lineRule="auto" w:after="40"/>
              <w:jc w:val="left"/>
            </w:pPr>
            <w:r/>
            <w:r>
              <w:rPr>
                <w:rFonts w:ascii="Times New Roman" w:hAnsi="Times New Roman" w:cs="Times New Roman"/>
                <w:b/>
                <w:i w:val="0"/>
                <w:sz w:val="22"/>
              </w:rPr>
              <w:t>Metric</w:t>
            </w:r>
          </w:p>
        </w:tc>
        <w:tc>
          <w:tcPr>
            <w:tcW w:type="dxa" w:w="2250"/>
          </w:tcPr>
          <w:p>
            <w:pPr>
              <w:spacing w:line="276" w:lineRule="auto" w:after="40"/>
              <w:jc w:val="left"/>
            </w:pPr>
            <w:r/>
            <w:r>
              <w:rPr>
                <w:rFonts w:ascii="Times New Roman" w:hAnsi="Times New Roman" w:cs="Times New Roman"/>
                <w:b/>
                <w:i w:val="0"/>
                <w:sz w:val="22"/>
              </w:rPr>
              <w:t>Year 1</w:t>
            </w:r>
          </w:p>
        </w:tc>
        <w:tc>
          <w:tcPr>
            <w:tcW w:type="dxa" w:w="2250"/>
          </w:tcPr>
          <w:p>
            <w:pPr>
              <w:spacing w:line="276" w:lineRule="auto" w:after="40"/>
              <w:jc w:val="left"/>
            </w:pPr>
            <w:r/>
            <w:r>
              <w:rPr>
                <w:rFonts w:ascii="Times New Roman" w:hAnsi="Times New Roman" w:cs="Times New Roman"/>
                <w:b/>
                <w:i w:val="0"/>
                <w:sz w:val="22"/>
              </w:rPr>
              <w:t>Year 2</w:t>
            </w:r>
          </w:p>
        </w:tc>
        <w:tc>
          <w:tcPr>
            <w:tcW w:type="dxa" w:w="2250"/>
          </w:tcPr>
          <w:p>
            <w:pPr>
              <w:spacing w:line="276" w:lineRule="auto" w:after="40"/>
              <w:jc w:val="left"/>
            </w:pPr>
            <w:r/>
            <w:r>
              <w:rPr>
                <w:rFonts w:ascii="Times New Roman" w:hAnsi="Times New Roman" w:cs="Times New Roman"/>
                <w:b/>
                <w:i w:val="0"/>
                <w:sz w:val="22"/>
              </w:rPr>
              <w:t>Year 3</w:t>
            </w:r>
          </w:p>
        </w:tc>
      </w:tr>
      <w:tr>
        <w:tc>
          <w:tcPr>
            <w:tcW w:type="dxa" w:w="2250"/>
          </w:tcPr>
          <w:p>
            <w:pPr>
              <w:spacing w:line="276" w:lineRule="auto" w:after="40"/>
              <w:jc w:val="left"/>
            </w:pPr>
            <w:r/>
            <w:r>
              <w:rPr>
                <w:rFonts w:ascii="Times New Roman" w:hAnsi="Times New Roman" w:cs="Times New Roman"/>
                <w:b w:val="0"/>
                <w:i w:val="0"/>
                <w:sz w:val="22"/>
              </w:rPr>
              <w:t>Active Farmers</w:t>
            </w:r>
          </w:p>
        </w:tc>
        <w:tc>
          <w:tcPr>
            <w:tcW w:type="dxa" w:w="2250"/>
          </w:tcPr>
          <w:p>
            <w:pPr>
              <w:spacing w:line="276" w:lineRule="auto" w:after="40"/>
              <w:jc w:val="left"/>
            </w:pPr>
            <w:r/>
            <w:r>
              <w:rPr>
                <w:rFonts w:ascii="Times New Roman" w:hAnsi="Times New Roman" w:cs="Times New Roman"/>
                <w:b w:val="0"/>
                <w:i w:val="0"/>
                <w:sz w:val="22"/>
              </w:rPr>
              <w:t>50,000</w:t>
            </w:r>
          </w:p>
        </w:tc>
        <w:tc>
          <w:tcPr>
            <w:tcW w:type="dxa" w:w="2250"/>
          </w:tcPr>
          <w:p>
            <w:pPr>
              <w:spacing w:line="276" w:lineRule="auto" w:after="40"/>
              <w:jc w:val="left"/>
            </w:pPr>
            <w:r/>
            <w:r>
              <w:rPr>
                <w:rFonts w:ascii="Times New Roman" w:hAnsi="Times New Roman" w:cs="Times New Roman"/>
                <w:b w:val="0"/>
                <w:i w:val="0"/>
                <w:sz w:val="22"/>
              </w:rPr>
              <w:t>3,00,000</w:t>
            </w:r>
          </w:p>
        </w:tc>
        <w:tc>
          <w:tcPr>
            <w:tcW w:type="dxa" w:w="2250"/>
          </w:tcPr>
          <w:p>
            <w:pPr>
              <w:spacing w:line="276" w:lineRule="auto" w:after="40"/>
              <w:jc w:val="left"/>
            </w:pPr>
            <w:r/>
            <w:r>
              <w:rPr>
                <w:rFonts w:ascii="Times New Roman" w:hAnsi="Times New Roman" w:cs="Times New Roman"/>
                <w:b w:val="0"/>
                <w:i w:val="0"/>
                <w:sz w:val="22"/>
              </w:rPr>
              <w:t>12,00,000</w:t>
            </w:r>
          </w:p>
        </w:tc>
      </w:tr>
      <w:tr>
        <w:tc>
          <w:tcPr>
            <w:tcW w:type="dxa" w:w="2250"/>
          </w:tcPr>
          <w:p>
            <w:pPr>
              <w:spacing w:line="276" w:lineRule="auto" w:after="40"/>
              <w:jc w:val="left"/>
            </w:pPr>
            <w:r/>
            <w:r>
              <w:rPr>
                <w:rFonts w:ascii="Times New Roman" w:hAnsi="Times New Roman" w:cs="Times New Roman"/>
                <w:b w:val="0"/>
                <w:i w:val="0"/>
                <w:sz w:val="22"/>
              </w:rPr>
              <w:t>Transacting Buyers</w:t>
            </w:r>
          </w:p>
        </w:tc>
        <w:tc>
          <w:tcPr>
            <w:tcW w:type="dxa" w:w="2250"/>
          </w:tcPr>
          <w:p>
            <w:pPr>
              <w:spacing w:line="276" w:lineRule="auto" w:after="40"/>
              <w:jc w:val="left"/>
            </w:pPr>
            <w:r/>
            <w:r>
              <w:rPr>
                <w:rFonts w:ascii="Times New Roman" w:hAnsi="Times New Roman" w:cs="Times New Roman"/>
                <w:b w:val="0"/>
                <w:i w:val="0"/>
                <w:sz w:val="22"/>
              </w:rPr>
              <w:t>1,200</w:t>
            </w:r>
          </w:p>
        </w:tc>
        <w:tc>
          <w:tcPr>
            <w:tcW w:type="dxa" w:w="2250"/>
          </w:tcPr>
          <w:p>
            <w:pPr>
              <w:spacing w:line="276" w:lineRule="auto" w:after="40"/>
              <w:jc w:val="left"/>
            </w:pPr>
            <w:r/>
            <w:r>
              <w:rPr>
                <w:rFonts w:ascii="Times New Roman" w:hAnsi="Times New Roman" w:cs="Times New Roman"/>
                <w:b w:val="0"/>
                <w:i w:val="0"/>
                <w:sz w:val="22"/>
              </w:rPr>
              <w:t>7,500</w:t>
            </w:r>
          </w:p>
        </w:tc>
        <w:tc>
          <w:tcPr>
            <w:tcW w:type="dxa" w:w="2250"/>
          </w:tcPr>
          <w:p>
            <w:pPr>
              <w:spacing w:line="276" w:lineRule="auto" w:after="40"/>
              <w:jc w:val="left"/>
            </w:pPr>
            <w:r/>
            <w:r>
              <w:rPr>
                <w:rFonts w:ascii="Times New Roman" w:hAnsi="Times New Roman" w:cs="Times New Roman"/>
                <w:b w:val="0"/>
                <w:i w:val="0"/>
                <w:sz w:val="22"/>
              </w:rPr>
              <w:t>35,000</w:t>
            </w:r>
          </w:p>
        </w:tc>
      </w:tr>
      <w:tr>
        <w:tc>
          <w:tcPr>
            <w:tcW w:type="dxa" w:w="2250"/>
          </w:tcPr>
          <w:p>
            <w:pPr>
              <w:spacing w:line="276" w:lineRule="auto" w:after="40"/>
              <w:jc w:val="left"/>
            </w:pPr>
            <w:r/>
            <w:r>
              <w:rPr>
                <w:rFonts w:ascii="Times New Roman" w:hAnsi="Times New Roman" w:cs="Times New Roman"/>
                <w:b w:val="0"/>
                <w:i w:val="0"/>
                <w:sz w:val="22"/>
              </w:rPr>
              <w:t>GMV (₹ Crore)</w:t>
            </w:r>
          </w:p>
        </w:tc>
        <w:tc>
          <w:tcPr>
            <w:tcW w:type="dxa" w:w="2250"/>
          </w:tcPr>
          <w:p>
            <w:pPr>
              <w:spacing w:line="276" w:lineRule="auto" w:after="40"/>
              <w:jc w:val="left"/>
            </w:pPr>
            <w:r/>
            <w:r>
              <w:rPr>
                <w:rFonts w:ascii="Times New Roman" w:hAnsi="Times New Roman" w:cs="Times New Roman"/>
                <w:b w:val="0"/>
                <w:i w:val="0"/>
                <w:sz w:val="22"/>
              </w:rPr>
              <w:t>60</w:t>
            </w:r>
          </w:p>
        </w:tc>
        <w:tc>
          <w:tcPr>
            <w:tcW w:type="dxa" w:w="2250"/>
          </w:tcPr>
          <w:p>
            <w:pPr>
              <w:spacing w:line="276" w:lineRule="auto" w:after="40"/>
              <w:jc w:val="left"/>
            </w:pPr>
            <w:r/>
            <w:r>
              <w:rPr>
                <w:rFonts w:ascii="Times New Roman" w:hAnsi="Times New Roman" w:cs="Times New Roman"/>
                <w:b w:val="0"/>
                <w:i w:val="0"/>
                <w:sz w:val="22"/>
              </w:rPr>
              <w:t>480</w:t>
            </w:r>
          </w:p>
        </w:tc>
        <w:tc>
          <w:tcPr>
            <w:tcW w:type="dxa" w:w="2250"/>
          </w:tcPr>
          <w:p>
            <w:pPr>
              <w:spacing w:line="276" w:lineRule="auto" w:after="40"/>
              <w:jc w:val="left"/>
            </w:pPr>
            <w:r/>
            <w:r>
              <w:rPr>
                <w:rFonts w:ascii="Times New Roman" w:hAnsi="Times New Roman" w:cs="Times New Roman"/>
                <w:b w:val="0"/>
                <w:i w:val="0"/>
                <w:sz w:val="22"/>
              </w:rPr>
              <w:t>2,400</w:t>
            </w:r>
          </w:p>
        </w:tc>
      </w:tr>
      <w:tr>
        <w:tc>
          <w:tcPr>
            <w:tcW w:type="dxa" w:w="2250"/>
          </w:tcPr>
          <w:p>
            <w:pPr>
              <w:spacing w:line="276" w:lineRule="auto" w:after="40"/>
              <w:jc w:val="left"/>
            </w:pPr>
            <w:r/>
            <w:r>
              <w:rPr>
                <w:rFonts w:ascii="Times New Roman" w:hAnsi="Times New Roman" w:cs="Times New Roman"/>
                <w:b w:val="0"/>
                <w:i w:val="0"/>
                <w:sz w:val="22"/>
              </w:rPr>
              <w:t>Effective Take Rate</w:t>
            </w:r>
          </w:p>
        </w:tc>
        <w:tc>
          <w:tcPr>
            <w:tcW w:type="dxa" w:w="2250"/>
          </w:tcPr>
          <w:p>
            <w:pPr>
              <w:spacing w:line="276" w:lineRule="auto" w:after="40"/>
              <w:jc w:val="left"/>
            </w:pPr>
            <w:r/>
            <w:r>
              <w:rPr>
                <w:rFonts w:ascii="Times New Roman" w:hAnsi="Times New Roman" w:cs="Times New Roman"/>
                <w:b w:val="0"/>
                <w:i w:val="0"/>
                <w:sz w:val="22"/>
              </w:rPr>
              <w:t>3.1%</w:t>
            </w:r>
          </w:p>
        </w:tc>
        <w:tc>
          <w:tcPr>
            <w:tcW w:type="dxa" w:w="2250"/>
          </w:tcPr>
          <w:p>
            <w:pPr>
              <w:spacing w:line="276" w:lineRule="auto" w:after="40"/>
              <w:jc w:val="left"/>
            </w:pPr>
            <w:r/>
            <w:r>
              <w:rPr>
                <w:rFonts w:ascii="Times New Roman" w:hAnsi="Times New Roman" w:cs="Times New Roman"/>
                <w:b w:val="0"/>
                <w:i w:val="0"/>
                <w:sz w:val="22"/>
              </w:rPr>
              <w:t>3.3%</w:t>
            </w:r>
          </w:p>
        </w:tc>
        <w:tc>
          <w:tcPr>
            <w:tcW w:type="dxa" w:w="2250"/>
          </w:tcPr>
          <w:p>
            <w:pPr>
              <w:spacing w:line="276" w:lineRule="auto" w:after="40"/>
              <w:jc w:val="left"/>
            </w:pPr>
            <w:r/>
            <w:r>
              <w:rPr>
                <w:rFonts w:ascii="Times New Roman" w:hAnsi="Times New Roman" w:cs="Times New Roman"/>
                <w:b w:val="0"/>
                <w:i w:val="0"/>
                <w:sz w:val="22"/>
              </w:rPr>
              <w:t>3.5%</w:t>
            </w:r>
          </w:p>
        </w:tc>
      </w:tr>
      <w:tr>
        <w:tc>
          <w:tcPr>
            <w:tcW w:type="dxa" w:w="2250"/>
          </w:tcPr>
          <w:p>
            <w:pPr>
              <w:spacing w:line="276" w:lineRule="auto" w:after="40"/>
              <w:jc w:val="left"/>
            </w:pPr>
            <w:r/>
            <w:r>
              <w:rPr>
                <w:rFonts w:ascii="Times New Roman" w:hAnsi="Times New Roman" w:cs="Times New Roman"/>
                <w:b w:val="0"/>
                <w:i w:val="0"/>
                <w:sz w:val="22"/>
              </w:rPr>
              <w:t>Marketplace Revenue (₹ Cr)</w:t>
            </w:r>
          </w:p>
        </w:tc>
        <w:tc>
          <w:tcPr>
            <w:tcW w:type="dxa" w:w="2250"/>
          </w:tcPr>
          <w:p>
            <w:pPr>
              <w:spacing w:line="276" w:lineRule="auto" w:after="40"/>
              <w:jc w:val="left"/>
            </w:pPr>
            <w:r/>
            <w:r>
              <w:rPr>
                <w:rFonts w:ascii="Times New Roman" w:hAnsi="Times New Roman" w:cs="Times New Roman"/>
                <w:b w:val="0"/>
                <w:i w:val="0"/>
                <w:sz w:val="22"/>
              </w:rPr>
              <w:t>0.84</w:t>
            </w:r>
          </w:p>
        </w:tc>
        <w:tc>
          <w:tcPr>
            <w:tcW w:type="dxa" w:w="2250"/>
          </w:tcPr>
          <w:p>
            <w:pPr>
              <w:spacing w:line="276" w:lineRule="auto" w:after="40"/>
              <w:jc w:val="left"/>
            </w:pPr>
            <w:r/>
            <w:r>
              <w:rPr>
                <w:rFonts w:ascii="Times New Roman" w:hAnsi="Times New Roman" w:cs="Times New Roman"/>
                <w:b w:val="0"/>
                <w:i w:val="0"/>
                <w:sz w:val="22"/>
              </w:rPr>
              <w:t>7.13</w:t>
            </w:r>
          </w:p>
        </w:tc>
        <w:tc>
          <w:tcPr>
            <w:tcW w:type="dxa" w:w="2250"/>
          </w:tcPr>
          <w:p>
            <w:pPr>
              <w:spacing w:line="276" w:lineRule="auto" w:after="40"/>
              <w:jc w:val="left"/>
            </w:pPr>
            <w:r/>
            <w:r>
              <w:rPr>
                <w:rFonts w:ascii="Times New Roman" w:hAnsi="Times New Roman" w:cs="Times New Roman"/>
                <w:b w:val="0"/>
                <w:i w:val="0"/>
                <w:sz w:val="22"/>
              </w:rPr>
              <w:t>37.80</w:t>
            </w:r>
          </w:p>
        </w:tc>
      </w:tr>
      <w:tr>
        <w:tc>
          <w:tcPr>
            <w:tcW w:type="dxa" w:w="2250"/>
          </w:tcPr>
          <w:p>
            <w:pPr>
              <w:spacing w:line="276" w:lineRule="auto" w:after="40"/>
              <w:jc w:val="left"/>
            </w:pPr>
            <w:r/>
            <w:r>
              <w:rPr>
                <w:rFonts w:ascii="Times New Roman" w:hAnsi="Times New Roman" w:cs="Times New Roman"/>
                <w:b w:val="0"/>
                <w:i w:val="0"/>
                <w:sz w:val="22"/>
              </w:rPr>
              <w:t>Input Store Revenue (₹ Cr)</w:t>
            </w:r>
          </w:p>
        </w:tc>
        <w:tc>
          <w:tcPr>
            <w:tcW w:type="dxa" w:w="2250"/>
          </w:tcPr>
          <w:p>
            <w:pPr>
              <w:spacing w:line="276" w:lineRule="auto" w:after="40"/>
              <w:jc w:val="left"/>
            </w:pPr>
            <w:r/>
            <w:r>
              <w:rPr>
                <w:rFonts w:ascii="Times New Roman" w:hAnsi="Times New Roman" w:cs="Times New Roman"/>
                <w:b w:val="0"/>
                <w:i w:val="0"/>
                <w:sz w:val="22"/>
              </w:rPr>
              <w:t>0.36</w:t>
            </w:r>
          </w:p>
        </w:tc>
        <w:tc>
          <w:tcPr>
            <w:tcW w:type="dxa" w:w="2250"/>
          </w:tcPr>
          <w:p>
            <w:pPr>
              <w:spacing w:line="276" w:lineRule="auto" w:after="40"/>
              <w:jc w:val="left"/>
            </w:pPr>
            <w:r/>
            <w:r>
              <w:rPr>
                <w:rFonts w:ascii="Times New Roman" w:hAnsi="Times New Roman" w:cs="Times New Roman"/>
                <w:b w:val="0"/>
                <w:i w:val="0"/>
                <w:sz w:val="22"/>
              </w:rPr>
              <w:t>3.17</w:t>
            </w:r>
          </w:p>
        </w:tc>
        <w:tc>
          <w:tcPr>
            <w:tcW w:type="dxa" w:w="2250"/>
          </w:tcPr>
          <w:p>
            <w:pPr>
              <w:spacing w:line="276" w:lineRule="auto" w:after="40"/>
              <w:jc w:val="left"/>
            </w:pPr>
            <w:r/>
            <w:r>
              <w:rPr>
                <w:rFonts w:ascii="Times New Roman" w:hAnsi="Times New Roman" w:cs="Times New Roman"/>
                <w:b w:val="0"/>
                <w:i w:val="0"/>
                <w:sz w:val="22"/>
              </w:rPr>
              <w:t>16.80</w:t>
            </w:r>
          </w:p>
        </w:tc>
      </w:tr>
      <w:tr>
        <w:tc>
          <w:tcPr>
            <w:tcW w:type="dxa" w:w="2250"/>
          </w:tcPr>
          <w:p>
            <w:pPr>
              <w:spacing w:line="276" w:lineRule="auto" w:after="40"/>
              <w:jc w:val="left"/>
            </w:pPr>
            <w:r/>
            <w:r>
              <w:rPr>
                <w:rFonts w:ascii="Times New Roman" w:hAnsi="Times New Roman" w:cs="Times New Roman"/>
                <w:b w:val="0"/>
                <w:i w:val="0"/>
                <w:sz w:val="22"/>
              </w:rPr>
              <w:t>Equipment Rental Revenue (₹ Cr)</w:t>
            </w:r>
          </w:p>
        </w:tc>
        <w:tc>
          <w:tcPr>
            <w:tcW w:type="dxa" w:w="2250"/>
          </w:tcPr>
          <w:p>
            <w:pPr>
              <w:spacing w:line="276" w:lineRule="auto" w:after="40"/>
              <w:jc w:val="left"/>
            </w:pPr>
            <w:r/>
            <w:r>
              <w:rPr>
                <w:rFonts w:ascii="Times New Roman" w:hAnsi="Times New Roman" w:cs="Times New Roman"/>
                <w:b w:val="0"/>
                <w:i w:val="0"/>
                <w:sz w:val="22"/>
              </w:rPr>
              <w:t>0.19</w:t>
            </w:r>
          </w:p>
        </w:tc>
        <w:tc>
          <w:tcPr>
            <w:tcW w:type="dxa" w:w="2250"/>
          </w:tcPr>
          <w:p>
            <w:pPr>
              <w:spacing w:line="276" w:lineRule="auto" w:after="40"/>
              <w:jc w:val="left"/>
            </w:pPr>
            <w:r/>
            <w:r>
              <w:rPr>
                <w:rFonts w:ascii="Times New Roman" w:hAnsi="Times New Roman" w:cs="Times New Roman"/>
                <w:b w:val="0"/>
                <w:i w:val="0"/>
                <w:sz w:val="22"/>
              </w:rPr>
              <w:t>1.58</w:t>
            </w:r>
          </w:p>
        </w:tc>
        <w:tc>
          <w:tcPr>
            <w:tcW w:type="dxa" w:w="2250"/>
          </w:tcPr>
          <w:p>
            <w:pPr>
              <w:spacing w:line="276" w:lineRule="auto" w:after="40"/>
              <w:jc w:val="left"/>
            </w:pPr>
            <w:r/>
            <w:r>
              <w:rPr>
                <w:rFonts w:ascii="Times New Roman" w:hAnsi="Times New Roman" w:cs="Times New Roman"/>
                <w:b w:val="0"/>
                <w:i w:val="0"/>
                <w:sz w:val="22"/>
              </w:rPr>
              <w:t>8.40</w:t>
            </w:r>
          </w:p>
        </w:tc>
      </w:tr>
      <w:tr>
        <w:tc>
          <w:tcPr>
            <w:tcW w:type="dxa" w:w="2250"/>
          </w:tcPr>
          <w:p>
            <w:pPr>
              <w:spacing w:line="276" w:lineRule="auto" w:after="40"/>
              <w:jc w:val="left"/>
            </w:pPr>
            <w:r/>
            <w:r>
              <w:rPr>
                <w:rFonts w:ascii="Times New Roman" w:hAnsi="Times New Roman" w:cs="Times New Roman"/>
                <w:b w:val="0"/>
                <w:i w:val="0"/>
                <w:sz w:val="22"/>
              </w:rPr>
              <w:t>Finance &amp; Insurance (₹ Cr)</w:t>
            </w:r>
          </w:p>
        </w:tc>
        <w:tc>
          <w:tcPr>
            <w:tcW w:type="dxa" w:w="2250"/>
          </w:tcPr>
          <w:p>
            <w:pPr>
              <w:spacing w:line="276" w:lineRule="auto" w:after="40"/>
              <w:jc w:val="left"/>
            </w:pPr>
            <w:r/>
            <w:r>
              <w:rPr>
                <w:rFonts w:ascii="Times New Roman" w:hAnsi="Times New Roman" w:cs="Times New Roman"/>
                <w:b w:val="0"/>
                <w:i w:val="0"/>
                <w:sz w:val="22"/>
              </w:rPr>
              <w:t>0.28</w:t>
            </w:r>
          </w:p>
        </w:tc>
        <w:tc>
          <w:tcPr>
            <w:tcW w:type="dxa" w:w="2250"/>
          </w:tcPr>
          <w:p>
            <w:pPr>
              <w:spacing w:line="276" w:lineRule="auto" w:after="40"/>
              <w:jc w:val="left"/>
            </w:pPr>
            <w:r/>
            <w:r>
              <w:rPr>
                <w:rFonts w:ascii="Times New Roman" w:hAnsi="Times New Roman" w:cs="Times New Roman"/>
                <w:b w:val="0"/>
                <w:i w:val="0"/>
                <w:sz w:val="22"/>
              </w:rPr>
              <w:t>2.38</w:t>
            </w:r>
          </w:p>
        </w:tc>
        <w:tc>
          <w:tcPr>
            <w:tcW w:type="dxa" w:w="2250"/>
          </w:tcPr>
          <w:p>
            <w:pPr>
              <w:spacing w:line="276" w:lineRule="auto" w:after="40"/>
              <w:jc w:val="left"/>
            </w:pPr>
            <w:r/>
            <w:r>
              <w:rPr>
                <w:rFonts w:ascii="Times New Roman" w:hAnsi="Times New Roman" w:cs="Times New Roman"/>
                <w:b w:val="0"/>
                <w:i w:val="0"/>
                <w:sz w:val="22"/>
              </w:rPr>
              <w:t>12.60</w:t>
            </w:r>
          </w:p>
        </w:tc>
      </w:tr>
      <w:tr>
        <w:tc>
          <w:tcPr>
            <w:tcW w:type="dxa" w:w="2250"/>
          </w:tcPr>
          <w:p>
            <w:pPr>
              <w:spacing w:line="276" w:lineRule="auto" w:after="40"/>
              <w:jc w:val="left"/>
            </w:pPr>
            <w:r/>
            <w:r>
              <w:rPr>
                <w:rFonts w:ascii="Times New Roman" w:hAnsi="Times New Roman" w:cs="Times New Roman"/>
                <w:b w:val="0"/>
                <w:i w:val="0"/>
                <w:sz w:val="22"/>
              </w:rPr>
              <w:t>KrishiPro Subscription (₹ Cr)</w:t>
            </w:r>
          </w:p>
        </w:tc>
        <w:tc>
          <w:tcPr>
            <w:tcW w:type="dxa" w:w="2250"/>
          </w:tcPr>
          <w:p>
            <w:pPr>
              <w:spacing w:line="276" w:lineRule="auto" w:after="40"/>
              <w:jc w:val="left"/>
            </w:pPr>
            <w:r/>
            <w:r>
              <w:rPr>
                <w:rFonts w:ascii="Times New Roman" w:hAnsi="Times New Roman" w:cs="Times New Roman"/>
                <w:b w:val="0"/>
                <w:i w:val="0"/>
                <w:sz w:val="22"/>
              </w:rPr>
              <w:t>0.19</w:t>
            </w:r>
          </w:p>
        </w:tc>
        <w:tc>
          <w:tcPr>
            <w:tcW w:type="dxa" w:w="2250"/>
          </w:tcPr>
          <w:p>
            <w:pPr>
              <w:spacing w:line="276" w:lineRule="auto" w:after="40"/>
              <w:jc w:val="left"/>
            </w:pPr>
            <w:r/>
            <w:r>
              <w:rPr>
                <w:rFonts w:ascii="Times New Roman" w:hAnsi="Times New Roman" w:cs="Times New Roman"/>
                <w:b w:val="0"/>
                <w:i w:val="0"/>
                <w:sz w:val="22"/>
              </w:rPr>
              <w:t>1.58</w:t>
            </w:r>
          </w:p>
        </w:tc>
        <w:tc>
          <w:tcPr>
            <w:tcW w:type="dxa" w:w="2250"/>
          </w:tcPr>
          <w:p>
            <w:pPr>
              <w:spacing w:line="276" w:lineRule="auto" w:after="40"/>
              <w:jc w:val="left"/>
            </w:pPr>
            <w:r/>
            <w:r>
              <w:rPr>
                <w:rFonts w:ascii="Times New Roman" w:hAnsi="Times New Roman" w:cs="Times New Roman"/>
                <w:b w:val="0"/>
                <w:i w:val="0"/>
                <w:sz w:val="22"/>
              </w:rPr>
              <w:t>8.40</w:t>
            </w:r>
          </w:p>
        </w:tc>
      </w:tr>
      <w:tr>
        <w:tc>
          <w:tcPr>
            <w:tcW w:type="dxa" w:w="2250"/>
          </w:tcPr>
          <w:p>
            <w:pPr>
              <w:spacing w:line="276" w:lineRule="auto" w:after="40"/>
              <w:jc w:val="left"/>
            </w:pPr>
            <w:r/>
            <w:r>
              <w:rPr>
                <w:rFonts w:ascii="Times New Roman" w:hAnsi="Times New Roman" w:cs="Times New Roman"/>
                <w:b w:val="0"/>
                <w:i w:val="0"/>
                <w:sz w:val="22"/>
              </w:rPr>
              <w:t>Total Revenue (₹ Cr)</w:t>
            </w:r>
          </w:p>
        </w:tc>
        <w:tc>
          <w:tcPr>
            <w:tcW w:type="dxa" w:w="2250"/>
          </w:tcPr>
          <w:p>
            <w:pPr>
              <w:spacing w:line="276" w:lineRule="auto" w:after="40"/>
              <w:jc w:val="left"/>
            </w:pPr>
            <w:r/>
            <w:r>
              <w:rPr>
                <w:rFonts w:ascii="Times New Roman" w:hAnsi="Times New Roman" w:cs="Times New Roman"/>
                <w:b w:val="0"/>
                <w:i w:val="0"/>
                <w:sz w:val="22"/>
              </w:rPr>
              <w:t>1.86</w:t>
            </w:r>
          </w:p>
        </w:tc>
        <w:tc>
          <w:tcPr>
            <w:tcW w:type="dxa" w:w="2250"/>
          </w:tcPr>
          <w:p>
            <w:pPr>
              <w:spacing w:line="276" w:lineRule="auto" w:after="40"/>
              <w:jc w:val="left"/>
            </w:pPr>
            <w:r/>
            <w:r>
              <w:rPr>
                <w:rFonts w:ascii="Times New Roman" w:hAnsi="Times New Roman" w:cs="Times New Roman"/>
                <w:b w:val="0"/>
                <w:i w:val="0"/>
                <w:sz w:val="22"/>
              </w:rPr>
              <w:t>15.84</w:t>
            </w:r>
          </w:p>
        </w:tc>
        <w:tc>
          <w:tcPr>
            <w:tcW w:type="dxa" w:w="2250"/>
          </w:tcPr>
          <w:p>
            <w:pPr>
              <w:spacing w:line="276" w:lineRule="auto" w:after="40"/>
              <w:jc w:val="left"/>
            </w:pPr>
            <w:r/>
            <w:r>
              <w:rPr>
                <w:rFonts w:ascii="Times New Roman" w:hAnsi="Times New Roman" w:cs="Times New Roman"/>
                <w:b w:val="0"/>
                <w:i w:val="0"/>
                <w:sz w:val="22"/>
              </w:rPr>
              <w:t>84.00</w:t>
            </w:r>
          </w:p>
        </w:tc>
      </w:tr>
      <w:tr>
        <w:tc>
          <w:tcPr>
            <w:tcW w:type="dxa" w:w="2250"/>
          </w:tcPr>
          <w:p>
            <w:pPr>
              <w:spacing w:line="276" w:lineRule="auto" w:after="40"/>
              <w:jc w:val="left"/>
            </w:pPr>
            <w:r/>
            <w:r>
              <w:rPr>
                <w:rFonts w:ascii="Times New Roman" w:hAnsi="Times New Roman" w:cs="Times New Roman"/>
                <w:b w:val="0"/>
                <w:i w:val="0"/>
                <w:sz w:val="22"/>
              </w:rPr>
              <w:t>Operating Expenses (₹ Cr)</w:t>
            </w:r>
          </w:p>
        </w:tc>
        <w:tc>
          <w:tcPr>
            <w:tcW w:type="dxa" w:w="2250"/>
          </w:tcPr>
          <w:p>
            <w:pPr>
              <w:spacing w:line="276" w:lineRule="auto" w:after="40"/>
              <w:jc w:val="left"/>
            </w:pPr>
            <w:r/>
            <w:r>
              <w:rPr>
                <w:rFonts w:ascii="Times New Roman" w:hAnsi="Times New Roman" w:cs="Times New Roman"/>
                <w:b w:val="0"/>
                <w:i w:val="0"/>
                <w:sz w:val="22"/>
              </w:rPr>
              <w:t>5.20</w:t>
            </w:r>
          </w:p>
        </w:tc>
        <w:tc>
          <w:tcPr>
            <w:tcW w:type="dxa" w:w="2250"/>
          </w:tcPr>
          <w:p>
            <w:pPr>
              <w:spacing w:line="276" w:lineRule="auto" w:after="40"/>
              <w:jc w:val="left"/>
            </w:pPr>
            <w:r/>
            <w:r>
              <w:rPr>
                <w:rFonts w:ascii="Times New Roman" w:hAnsi="Times New Roman" w:cs="Times New Roman"/>
                <w:b w:val="0"/>
                <w:i w:val="0"/>
                <w:sz w:val="22"/>
              </w:rPr>
              <w:t>19.80</w:t>
            </w:r>
          </w:p>
        </w:tc>
        <w:tc>
          <w:tcPr>
            <w:tcW w:type="dxa" w:w="2250"/>
          </w:tcPr>
          <w:p>
            <w:pPr>
              <w:spacing w:line="276" w:lineRule="auto" w:after="40"/>
              <w:jc w:val="left"/>
            </w:pPr>
            <w:r/>
            <w:r>
              <w:rPr>
                <w:rFonts w:ascii="Times New Roman" w:hAnsi="Times New Roman" w:cs="Times New Roman"/>
                <w:b w:val="0"/>
                <w:i w:val="0"/>
                <w:sz w:val="22"/>
              </w:rPr>
              <w:t>73.92</w:t>
            </w:r>
          </w:p>
        </w:tc>
      </w:tr>
      <w:tr>
        <w:tc>
          <w:tcPr>
            <w:tcW w:type="dxa" w:w="2250"/>
          </w:tcPr>
          <w:p>
            <w:pPr>
              <w:spacing w:line="276" w:lineRule="auto" w:after="40"/>
              <w:jc w:val="left"/>
            </w:pPr>
            <w:r/>
            <w:r>
              <w:rPr>
                <w:rFonts w:ascii="Times New Roman" w:hAnsi="Times New Roman" w:cs="Times New Roman"/>
                <w:b w:val="0"/>
                <w:i w:val="0"/>
                <w:sz w:val="22"/>
              </w:rPr>
              <w:t>EBITDA (₹ Cr)</w:t>
            </w:r>
          </w:p>
        </w:tc>
        <w:tc>
          <w:tcPr>
            <w:tcW w:type="dxa" w:w="2250"/>
          </w:tcPr>
          <w:p>
            <w:pPr>
              <w:spacing w:line="276" w:lineRule="auto" w:after="40"/>
              <w:jc w:val="left"/>
            </w:pPr>
            <w:r/>
            <w:r>
              <w:rPr>
                <w:rFonts w:ascii="Times New Roman" w:hAnsi="Times New Roman" w:cs="Times New Roman"/>
                <w:b w:val="0"/>
                <w:i w:val="0"/>
                <w:sz w:val="22"/>
              </w:rPr>
              <w:t>-3.34</w:t>
            </w:r>
          </w:p>
        </w:tc>
        <w:tc>
          <w:tcPr>
            <w:tcW w:type="dxa" w:w="2250"/>
          </w:tcPr>
          <w:p>
            <w:pPr>
              <w:spacing w:line="276" w:lineRule="auto" w:after="40"/>
              <w:jc w:val="left"/>
            </w:pPr>
            <w:r/>
            <w:r>
              <w:rPr>
                <w:rFonts w:ascii="Times New Roman" w:hAnsi="Times New Roman" w:cs="Times New Roman"/>
                <w:b w:val="0"/>
                <w:i w:val="0"/>
                <w:sz w:val="22"/>
              </w:rPr>
              <w:t>-3.96</w:t>
            </w:r>
          </w:p>
        </w:tc>
        <w:tc>
          <w:tcPr>
            <w:tcW w:type="dxa" w:w="2250"/>
          </w:tcPr>
          <w:p>
            <w:pPr>
              <w:spacing w:line="276" w:lineRule="auto" w:after="40"/>
              <w:jc w:val="left"/>
            </w:pPr>
            <w:r/>
            <w:r>
              <w:rPr>
                <w:rFonts w:ascii="Times New Roman" w:hAnsi="Times New Roman" w:cs="Times New Roman"/>
                <w:b w:val="0"/>
                <w:i w:val="0"/>
                <w:sz w:val="22"/>
              </w:rPr>
              <w:t>10.08</w:t>
            </w:r>
          </w:p>
        </w:tc>
      </w:tr>
      <w:tr>
        <w:tc>
          <w:tcPr>
            <w:tcW w:type="dxa" w:w="2250"/>
          </w:tcPr>
          <w:p>
            <w:pPr>
              <w:spacing w:line="276" w:lineRule="auto" w:after="40"/>
              <w:jc w:val="left"/>
            </w:pPr>
            <w:r/>
            <w:r>
              <w:rPr>
                <w:rFonts w:ascii="Times New Roman" w:hAnsi="Times New Roman" w:cs="Times New Roman"/>
                <w:b w:val="0"/>
                <w:i w:val="0"/>
                <w:sz w:val="22"/>
              </w:rPr>
              <w:t>EBITDA Margin</w:t>
            </w:r>
          </w:p>
        </w:tc>
        <w:tc>
          <w:tcPr>
            <w:tcW w:type="dxa" w:w="2250"/>
          </w:tcPr>
          <w:p>
            <w:pPr>
              <w:spacing w:line="276" w:lineRule="auto" w:after="40"/>
              <w:jc w:val="left"/>
            </w:pPr>
            <w:r/>
            <w:r>
              <w:rPr>
                <w:rFonts w:ascii="Times New Roman" w:hAnsi="Times New Roman" w:cs="Times New Roman"/>
                <w:b w:val="0"/>
                <w:i w:val="0"/>
                <w:sz w:val="22"/>
              </w:rPr>
              <w:t>-180%</w:t>
            </w:r>
          </w:p>
        </w:tc>
        <w:tc>
          <w:tcPr>
            <w:tcW w:type="dxa" w:w="2250"/>
          </w:tcPr>
          <w:p>
            <w:pPr>
              <w:spacing w:line="276" w:lineRule="auto" w:after="40"/>
              <w:jc w:val="left"/>
            </w:pPr>
            <w:r/>
            <w:r>
              <w:rPr>
                <w:rFonts w:ascii="Times New Roman" w:hAnsi="Times New Roman" w:cs="Times New Roman"/>
                <w:b w:val="0"/>
                <w:i w:val="0"/>
                <w:sz w:val="22"/>
              </w:rPr>
              <w:t>-25%</w:t>
            </w:r>
          </w:p>
        </w:tc>
        <w:tc>
          <w:tcPr>
            <w:tcW w:type="dxa" w:w="2250"/>
          </w:tcPr>
          <w:p>
            <w:pPr>
              <w:spacing w:line="276" w:lineRule="auto" w:after="40"/>
              <w:jc w:val="left"/>
            </w:pPr>
            <w:r/>
            <w:r>
              <w:rPr>
                <w:rFonts w:ascii="Times New Roman" w:hAnsi="Times New Roman" w:cs="Times New Roman"/>
                <w:b w:val="0"/>
                <w:i w:val="0"/>
                <w:sz w:val="22"/>
              </w:rPr>
              <w:t>12%</w:t>
            </w:r>
          </w:p>
        </w:tc>
      </w:tr>
    </w:tbl>
    <w:p>
      <w:pPr>
        <w:keepNext/>
        <w:spacing w:before="240" w:after="160"/>
        <w:jc w:val="left"/>
      </w:pPr>
      <w:r>
        <w:rPr>
          <w:rFonts w:ascii="Times New Roman" w:hAnsi="Times New Roman" w:cs="Times New Roman"/>
          <w:b/>
          <w:i w:val="0"/>
          <w:sz w:val="28"/>
        </w:rPr>
        <w:t>8.3 Break-Even Analysis</w:t>
      </w:r>
    </w:p>
    <w:p>
      <w:pPr>
        <w:keepNext/>
        <w:spacing w:before="160" w:after="80"/>
        <w:jc w:val="left"/>
      </w:pPr>
      <w:r>
        <w:rPr>
          <w:rFonts w:ascii="Times New Roman" w:hAnsi="Times New Roman" w:cs="Times New Roman"/>
          <w:b/>
          <w:i/>
          <w:sz w:val="24"/>
        </w:rPr>
        <w:t>Table 8.3 — Break-Even Analysis</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line="276" w:lineRule="auto" w:after="40"/>
              <w:jc w:val="left"/>
            </w:pPr>
            <w:r/>
            <w:r>
              <w:rPr>
                <w:rFonts w:ascii="Times New Roman" w:hAnsi="Times New Roman" w:cs="Times New Roman"/>
                <w:b/>
                <w:i w:val="0"/>
                <w:sz w:val="22"/>
              </w:rPr>
              <w:t>Component</w:t>
            </w:r>
          </w:p>
        </w:tc>
        <w:tc>
          <w:tcPr>
            <w:tcW w:type="dxa" w:w="4500"/>
          </w:tcPr>
          <w:p>
            <w:pPr>
              <w:spacing w:line="276" w:lineRule="auto" w:after="40"/>
              <w:jc w:val="left"/>
            </w:pPr>
            <w:r/>
            <w:r>
              <w:rPr>
                <w:rFonts w:ascii="Times New Roman" w:hAnsi="Times New Roman" w:cs="Times New Roman"/>
                <w:b/>
                <w:i w:val="0"/>
                <w:sz w:val="22"/>
              </w:rPr>
              <w:t>Value</w:t>
            </w:r>
          </w:p>
        </w:tc>
      </w:tr>
      <w:tr>
        <w:tc>
          <w:tcPr>
            <w:tcW w:type="dxa" w:w="4500"/>
          </w:tcPr>
          <w:p>
            <w:pPr>
              <w:spacing w:line="276" w:lineRule="auto" w:after="40"/>
              <w:jc w:val="left"/>
            </w:pPr>
            <w:r/>
            <w:r>
              <w:rPr>
                <w:rFonts w:ascii="Times New Roman" w:hAnsi="Times New Roman" w:cs="Times New Roman"/>
                <w:b w:val="0"/>
                <w:i w:val="0"/>
                <w:sz w:val="22"/>
              </w:rPr>
              <w:t>Fixed Monthly Costs (Year 2 average)</w:t>
            </w:r>
          </w:p>
        </w:tc>
        <w:tc>
          <w:tcPr>
            <w:tcW w:type="dxa" w:w="4500"/>
          </w:tcPr>
          <w:p>
            <w:pPr>
              <w:spacing w:line="276" w:lineRule="auto" w:after="40"/>
              <w:jc w:val="left"/>
            </w:pPr>
            <w:r/>
            <w:r>
              <w:rPr>
                <w:rFonts w:ascii="Times New Roman" w:hAnsi="Times New Roman" w:cs="Times New Roman"/>
                <w:b w:val="0"/>
                <w:i w:val="0"/>
                <w:sz w:val="22"/>
              </w:rPr>
              <w:t>₹ 1.65 crore</w:t>
            </w:r>
          </w:p>
        </w:tc>
      </w:tr>
      <w:tr>
        <w:tc>
          <w:tcPr>
            <w:tcW w:type="dxa" w:w="4500"/>
          </w:tcPr>
          <w:p>
            <w:pPr>
              <w:spacing w:line="276" w:lineRule="auto" w:after="40"/>
              <w:jc w:val="left"/>
            </w:pPr>
            <w:r/>
            <w:r>
              <w:rPr>
                <w:rFonts w:ascii="Times New Roman" w:hAnsi="Times New Roman" w:cs="Times New Roman"/>
                <w:b w:val="0"/>
                <w:i w:val="0"/>
                <w:sz w:val="22"/>
              </w:rPr>
              <w:t>Average Contribution Margin per Active Farmer per Month</w:t>
            </w:r>
          </w:p>
        </w:tc>
        <w:tc>
          <w:tcPr>
            <w:tcW w:type="dxa" w:w="4500"/>
          </w:tcPr>
          <w:p>
            <w:pPr>
              <w:spacing w:line="276" w:lineRule="auto" w:after="40"/>
              <w:jc w:val="left"/>
            </w:pPr>
            <w:r/>
            <w:r>
              <w:rPr>
                <w:rFonts w:ascii="Times New Roman" w:hAnsi="Times New Roman" w:cs="Times New Roman"/>
                <w:b w:val="0"/>
                <w:i w:val="0"/>
                <w:sz w:val="22"/>
              </w:rPr>
              <w:t>₹ 35</w:t>
            </w:r>
          </w:p>
        </w:tc>
      </w:tr>
      <w:tr>
        <w:tc>
          <w:tcPr>
            <w:tcW w:type="dxa" w:w="4500"/>
          </w:tcPr>
          <w:p>
            <w:pPr>
              <w:spacing w:line="276" w:lineRule="auto" w:after="40"/>
              <w:jc w:val="left"/>
            </w:pPr>
            <w:r/>
            <w:r>
              <w:rPr>
                <w:rFonts w:ascii="Times New Roman" w:hAnsi="Times New Roman" w:cs="Times New Roman"/>
                <w:b w:val="0"/>
                <w:i w:val="0"/>
                <w:sz w:val="22"/>
              </w:rPr>
              <w:t>Active Farmers required to Break-Even</w:t>
            </w:r>
          </w:p>
        </w:tc>
        <w:tc>
          <w:tcPr>
            <w:tcW w:type="dxa" w:w="4500"/>
          </w:tcPr>
          <w:p>
            <w:pPr>
              <w:spacing w:line="276" w:lineRule="auto" w:after="40"/>
              <w:jc w:val="left"/>
            </w:pPr>
            <w:r/>
            <w:r>
              <w:rPr>
                <w:rFonts w:ascii="Times New Roman" w:hAnsi="Times New Roman" w:cs="Times New Roman"/>
                <w:b w:val="0"/>
                <w:i w:val="0"/>
                <w:sz w:val="22"/>
              </w:rPr>
              <w:t>4,71,000</w:t>
            </w:r>
          </w:p>
        </w:tc>
      </w:tr>
      <w:tr>
        <w:tc>
          <w:tcPr>
            <w:tcW w:type="dxa" w:w="4500"/>
          </w:tcPr>
          <w:p>
            <w:pPr>
              <w:spacing w:line="276" w:lineRule="auto" w:after="40"/>
              <w:jc w:val="left"/>
            </w:pPr>
            <w:r/>
            <w:r>
              <w:rPr>
                <w:rFonts w:ascii="Times New Roman" w:hAnsi="Times New Roman" w:cs="Times New Roman"/>
                <w:b w:val="0"/>
                <w:i w:val="0"/>
                <w:sz w:val="22"/>
              </w:rPr>
              <w:t>Projected Month of Crossing 4.71 lakh Active Farmers</w:t>
            </w:r>
          </w:p>
        </w:tc>
        <w:tc>
          <w:tcPr>
            <w:tcW w:type="dxa" w:w="4500"/>
          </w:tcPr>
          <w:p>
            <w:pPr>
              <w:spacing w:line="276" w:lineRule="auto" w:after="40"/>
              <w:jc w:val="left"/>
            </w:pPr>
            <w:r/>
            <w:r>
              <w:rPr>
                <w:rFonts w:ascii="Times New Roman" w:hAnsi="Times New Roman" w:cs="Times New Roman"/>
                <w:b w:val="0"/>
                <w:i w:val="0"/>
                <w:sz w:val="22"/>
              </w:rPr>
              <w:t>Month 28</w:t>
            </w:r>
          </w:p>
        </w:tc>
      </w:tr>
      <w:tr>
        <w:tc>
          <w:tcPr>
            <w:tcW w:type="dxa" w:w="4500"/>
          </w:tcPr>
          <w:p>
            <w:pPr>
              <w:spacing w:line="276" w:lineRule="auto" w:after="40"/>
              <w:jc w:val="left"/>
            </w:pPr>
            <w:r/>
            <w:r>
              <w:rPr>
                <w:rFonts w:ascii="Times New Roman" w:hAnsi="Times New Roman" w:cs="Times New Roman"/>
                <w:b w:val="0"/>
                <w:i w:val="0"/>
                <w:sz w:val="22"/>
              </w:rPr>
              <w:t>EBITDA Break-Even Month</w:t>
            </w:r>
          </w:p>
        </w:tc>
        <w:tc>
          <w:tcPr>
            <w:tcW w:type="dxa" w:w="4500"/>
          </w:tcPr>
          <w:p>
            <w:pPr>
              <w:spacing w:line="276" w:lineRule="auto" w:after="40"/>
              <w:jc w:val="left"/>
            </w:pPr>
            <w:r/>
            <w:r>
              <w:rPr>
                <w:rFonts w:ascii="Times New Roman" w:hAnsi="Times New Roman" w:cs="Times New Roman"/>
                <w:b w:val="0"/>
                <w:i w:val="0"/>
                <w:sz w:val="22"/>
              </w:rPr>
              <w:t>Month 30</w:t>
            </w:r>
          </w:p>
        </w:tc>
      </w:tr>
      <w:tr>
        <w:tc>
          <w:tcPr>
            <w:tcW w:type="dxa" w:w="4500"/>
          </w:tcPr>
          <w:p>
            <w:pPr>
              <w:spacing w:line="276" w:lineRule="auto" w:after="40"/>
              <w:jc w:val="left"/>
            </w:pPr>
            <w:r/>
            <w:r>
              <w:rPr>
                <w:rFonts w:ascii="Times New Roman" w:hAnsi="Times New Roman" w:cs="Times New Roman"/>
                <w:b w:val="0"/>
                <w:i w:val="0"/>
                <w:sz w:val="22"/>
              </w:rPr>
              <w:t>Cumulative Cash Burn until Break-Even</w:t>
            </w:r>
          </w:p>
        </w:tc>
        <w:tc>
          <w:tcPr>
            <w:tcW w:type="dxa" w:w="4500"/>
          </w:tcPr>
          <w:p>
            <w:pPr>
              <w:spacing w:line="276" w:lineRule="auto" w:after="40"/>
              <w:jc w:val="left"/>
            </w:pPr>
            <w:r/>
            <w:r>
              <w:rPr>
                <w:rFonts w:ascii="Times New Roman" w:hAnsi="Times New Roman" w:cs="Times New Roman"/>
                <w:b w:val="0"/>
                <w:i w:val="0"/>
                <w:sz w:val="22"/>
              </w:rPr>
              <w:t>₹ 9.5 crore</w:t>
            </w:r>
          </w:p>
        </w:tc>
      </w:tr>
    </w:tbl>
    <w:p>
      <w:pPr>
        <w:keepNext/>
        <w:spacing w:before="240" w:after="160"/>
        <w:jc w:val="left"/>
      </w:pPr>
      <w:r>
        <w:rPr>
          <w:rFonts w:ascii="Times New Roman" w:hAnsi="Times New Roman" w:cs="Times New Roman"/>
          <w:b/>
          <w:i w:val="0"/>
          <w:sz w:val="28"/>
        </w:rPr>
        <w:t>8.4 Funding Strategy</w:t>
      </w:r>
    </w:p>
    <w:p>
      <w:pPr>
        <w:pStyle w:val="ListBullet"/>
        <w:spacing w:line="360" w:lineRule="auto" w:after="80"/>
        <w:jc w:val="both"/>
      </w:pPr>
      <w:r>
        <w:rPr>
          <w:rFonts w:ascii="Times New Roman" w:hAnsi="Times New Roman" w:cs="Times New Roman"/>
          <w:b w:val="0"/>
          <w:i w:val="0"/>
          <w:sz w:val="24"/>
        </w:rPr>
        <w:t>Pre-seed (₹ 95 lakh): Founder equity + NABARD Agri-Tech Grant + Angel investors. Months 1-6.</w:t>
      </w:r>
    </w:p>
    <w:p>
      <w:pPr>
        <w:pStyle w:val="ListBullet"/>
        <w:spacing w:line="360" w:lineRule="auto" w:after="80"/>
        <w:jc w:val="both"/>
      </w:pPr>
      <w:r>
        <w:rPr>
          <w:rFonts w:ascii="Times New Roman" w:hAnsi="Times New Roman" w:cs="Times New Roman"/>
          <w:b w:val="0"/>
          <w:i w:val="0"/>
          <w:sz w:val="24"/>
        </w:rPr>
        <w:t>Seed (₹ 8 crore): Equity round at ₹ 40 crore valuation. Used for state expansion, AI hires, and Series-A readiness. Month 9-12.</w:t>
      </w:r>
    </w:p>
    <w:p>
      <w:pPr>
        <w:pStyle w:val="ListBullet"/>
        <w:spacing w:line="360" w:lineRule="auto" w:after="80"/>
        <w:jc w:val="both"/>
      </w:pPr>
      <w:r>
        <w:rPr>
          <w:rFonts w:ascii="Times New Roman" w:hAnsi="Times New Roman" w:cs="Times New Roman"/>
          <w:b w:val="0"/>
          <w:i w:val="0"/>
          <w:sz w:val="24"/>
        </w:rPr>
        <w:t>Series A (USD 10 to 12 million / ₹ 85 to 100 crore): Tier-1 VC round at ₹ 350 crore valuation. Drives 4-state expansion. Month 18-24.</w:t>
      </w:r>
    </w:p>
    <w:p>
      <w:pPr>
        <w:pStyle w:val="ListBullet"/>
        <w:spacing w:line="360" w:lineRule="auto" w:after="80"/>
        <w:jc w:val="both"/>
      </w:pPr>
      <w:r>
        <w:rPr>
          <w:rFonts w:ascii="Times New Roman" w:hAnsi="Times New Roman" w:cs="Times New Roman"/>
          <w:b w:val="0"/>
          <w:i w:val="0"/>
          <w:sz w:val="24"/>
        </w:rPr>
        <w:t>Series B (USD 30 to 50 million): International / late-stage VC round at ₹ 1,500 crore valuation. Drives national expansion. Month 36-42.</w:t>
      </w:r>
    </w:p>
    <w:p>
      <w:pPr>
        <w:keepNext/>
        <w:spacing w:before="240" w:after="160"/>
        <w:jc w:val="left"/>
      </w:pPr>
      <w:r>
        <w:rPr>
          <w:rFonts w:ascii="Times New Roman" w:hAnsi="Times New Roman" w:cs="Times New Roman"/>
          <w:b/>
          <w:i w:val="0"/>
          <w:sz w:val="28"/>
        </w:rPr>
        <w:t>8.5 Sustainability and Long-Term Profitability</w:t>
      </w:r>
    </w:p>
    <w:p>
      <w:pPr>
        <w:spacing w:line="360" w:lineRule="auto" w:after="160"/>
        <w:jc w:val="both"/>
      </w:pPr>
      <w:r>
        <w:rPr>
          <w:rFonts w:ascii="Times New Roman" w:hAnsi="Times New Roman" w:cs="Times New Roman"/>
          <w:b w:val="0"/>
          <w:i w:val="0"/>
          <w:sz w:val="24"/>
        </w:rPr>
        <w:t>KrishiConnect targets EBITDA break-even by month 30 driven by three structural advantages. First, network effects — every additional farmer attracts more buyers and vice versa, reducing customer-acquisition cost over time. Second, software-driven gross margins — once the platform is built, incremental users carry near-zero marginal cost. Third, repeat-purchase behaviour — farmers transact 8 to 12 times a year for inputs and 2 to 4 times for produce, ensuring stable cash flows and high lifetime value.</w:t>
      </w:r>
    </w:p>
    <w:p>
      <w:pPr>
        <w:spacing w:line="360" w:lineRule="auto" w:after="160"/>
        <w:jc w:val="both"/>
      </w:pPr>
      <w:r>
        <w:rPr>
          <w:rFonts w:ascii="Times New Roman" w:hAnsi="Times New Roman" w:cs="Times New Roman"/>
          <w:b w:val="0"/>
          <w:i w:val="0"/>
          <w:sz w:val="24"/>
        </w:rPr>
        <w:t>Long-term sustainability is reinforced by data network effects: every transaction enriches the AI models, making advisory and credit-scoring sharper, which further increases farmer retention and lender confidence — a self-reinforcing flywheel.</w:t>
      </w:r>
    </w:p>
    <w:p>
      <w:r>
        <w:br w:type="page"/>
      </w:r>
    </w:p>
    <w:p>
      <w:pPr>
        <w:keepNext/>
        <w:spacing w:before="360" w:after="280"/>
        <w:jc w:val="left"/>
      </w:pPr>
      <w:r>
        <w:rPr>
          <w:rFonts w:ascii="Times New Roman" w:hAnsi="Times New Roman" w:cs="Times New Roman"/>
          <w:b/>
          <w:i w:val="0"/>
          <w:sz w:val="32"/>
        </w:rPr>
        <w:t>9. Social and Ethical Impact</w:t>
      </w:r>
    </w:p>
    <w:p>
      <w:pPr>
        <w:keepNext/>
        <w:spacing w:before="240" w:after="160"/>
        <w:jc w:val="left"/>
      </w:pPr>
      <w:r>
        <w:rPr>
          <w:rFonts w:ascii="Times New Roman" w:hAnsi="Times New Roman" w:cs="Times New Roman"/>
          <w:b/>
          <w:i w:val="0"/>
          <w:sz w:val="28"/>
        </w:rPr>
        <w:t>9.1 Social Impact</w:t>
      </w:r>
    </w:p>
    <w:p>
      <w:pPr>
        <w:spacing w:line="360" w:lineRule="auto" w:after="160"/>
        <w:jc w:val="both"/>
      </w:pPr>
      <w:r>
        <w:rPr>
          <w:rFonts w:ascii="Times New Roman" w:hAnsi="Times New Roman" w:cs="Times New Roman"/>
          <w:b w:val="0"/>
          <w:i w:val="0"/>
          <w:sz w:val="24"/>
        </w:rPr>
        <w:t>KrishiConnect is conceived not merely as a profit-generating enterprise but as an instrument of inclusive rural transformation. The following measurable social benefits are projected:</w:t>
      </w:r>
    </w:p>
    <w:p>
      <w:pPr>
        <w:pStyle w:val="ListBullet"/>
        <w:spacing w:line="360" w:lineRule="auto" w:after="80"/>
        <w:jc w:val="both"/>
      </w:pPr>
      <w:r>
        <w:rPr>
          <w:rFonts w:ascii="Times New Roman" w:hAnsi="Times New Roman" w:cs="Times New Roman"/>
          <w:b/>
          <w:i w:val="0"/>
          <w:sz w:val="24"/>
        </w:rPr>
        <w:t>20 to 30 percent rise in net farmer income within 18 months of platform adoption, directly contributing to the national goal of doubling farmers' incomes.</w:t>
      </w:r>
      <w:r>
        <w:rPr>
          <w:rFonts w:ascii="Times New Roman" w:hAnsi="Times New Roman" w:cs="Times New Roman"/>
          <w:b w:val="0"/>
          <w:i w:val="0"/>
          <w:sz w:val="24"/>
        </w:rPr>
        <w:t xml:space="preserve">Income Uplift — </w:t>
      </w:r>
    </w:p>
    <w:p>
      <w:pPr>
        <w:pStyle w:val="ListBullet"/>
        <w:spacing w:line="360" w:lineRule="auto" w:after="80"/>
        <w:jc w:val="both"/>
      </w:pPr>
      <w:r>
        <w:rPr>
          <w:rFonts w:ascii="Times New Roman" w:hAnsi="Times New Roman" w:cs="Times New Roman"/>
          <w:b/>
          <w:i w:val="0"/>
          <w:sz w:val="24"/>
        </w:rPr>
        <w:t>Real-time price visibility, storage finance, and forward contracts help farmers avoid forced post-harvest sales.</w:t>
      </w:r>
      <w:r>
        <w:rPr>
          <w:rFonts w:ascii="Times New Roman" w:hAnsi="Times New Roman" w:cs="Times New Roman"/>
          <w:b w:val="0"/>
          <w:i w:val="0"/>
          <w:sz w:val="24"/>
        </w:rPr>
        <w:t xml:space="preserve">Reduction in Distress Sales — </w:t>
      </w:r>
    </w:p>
    <w:p>
      <w:pPr>
        <w:pStyle w:val="ListBullet"/>
        <w:spacing w:line="360" w:lineRule="auto" w:after="80"/>
        <w:jc w:val="both"/>
      </w:pPr>
      <w:r>
        <w:rPr>
          <w:rFonts w:ascii="Times New Roman" w:hAnsi="Times New Roman" w:cs="Times New Roman"/>
          <w:b/>
          <w:i w:val="0"/>
          <w:sz w:val="24"/>
        </w:rPr>
        <w:t>Dedicated KrishiSakhi (women field-officer) and Yuva Krishak (youth entrepreneur) programmes will create rural employment for over 25,000 individuals by Year 3.</w:t>
      </w:r>
      <w:r>
        <w:rPr>
          <w:rFonts w:ascii="Times New Roman" w:hAnsi="Times New Roman" w:cs="Times New Roman"/>
          <w:b w:val="0"/>
          <w:i w:val="0"/>
          <w:sz w:val="24"/>
        </w:rPr>
        <w:t xml:space="preserve">Women &amp; Youth Empowerment — </w:t>
      </w:r>
    </w:p>
    <w:p>
      <w:pPr>
        <w:pStyle w:val="ListBullet"/>
        <w:spacing w:line="360" w:lineRule="auto" w:after="80"/>
        <w:jc w:val="both"/>
      </w:pPr>
      <w:r>
        <w:rPr>
          <w:rFonts w:ascii="Times New Roman" w:hAnsi="Times New Roman" w:cs="Times New Roman"/>
          <w:b/>
          <w:i w:val="0"/>
          <w:sz w:val="24"/>
        </w:rPr>
        <w:t>Direct buyer matching and demand forecasting can cut post-harvest losses by 15 to 18 percent.</w:t>
      </w:r>
      <w:r>
        <w:rPr>
          <w:rFonts w:ascii="Times New Roman" w:hAnsi="Times New Roman" w:cs="Times New Roman"/>
          <w:b w:val="0"/>
          <w:i w:val="0"/>
          <w:sz w:val="24"/>
        </w:rPr>
        <w:t xml:space="preserve">Reduction in Food Waste — </w:t>
      </w:r>
    </w:p>
    <w:p>
      <w:pPr>
        <w:pStyle w:val="ListBullet"/>
        <w:spacing w:line="360" w:lineRule="auto" w:after="80"/>
        <w:jc w:val="both"/>
      </w:pPr>
      <w:r>
        <w:rPr>
          <w:rFonts w:ascii="Times New Roman" w:hAnsi="Times New Roman" w:cs="Times New Roman"/>
          <w:b/>
          <w:i w:val="0"/>
          <w:sz w:val="24"/>
        </w:rPr>
        <w:t>Hyperlocal advisory promotes water-efficient, low-pesticide, climate-resilient practices.</w:t>
      </w:r>
      <w:r>
        <w:rPr>
          <w:rFonts w:ascii="Times New Roman" w:hAnsi="Times New Roman" w:cs="Times New Roman"/>
          <w:b w:val="0"/>
          <w:i w:val="0"/>
          <w:sz w:val="24"/>
        </w:rPr>
        <w:t xml:space="preserve">Climate-Smart Agriculture — </w:t>
      </w:r>
    </w:p>
    <w:p>
      <w:pPr>
        <w:pStyle w:val="ListBullet"/>
        <w:spacing w:line="360" w:lineRule="auto" w:after="80"/>
        <w:jc w:val="both"/>
      </w:pPr>
      <w:r>
        <w:rPr>
          <w:rFonts w:ascii="Times New Roman" w:hAnsi="Times New Roman" w:cs="Times New Roman"/>
          <w:b/>
          <w:i w:val="0"/>
          <w:sz w:val="24"/>
        </w:rPr>
        <w:t>Embedded credit and insurance for previously unbanked smallholders.</w:t>
      </w:r>
      <w:r>
        <w:rPr>
          <w:rFonts w:ascii="Times New Roman" w:hAnsi="Times New Roman" w:cs="Times New Roman"/>
          <w:b w:val="0"/>
          <w:i w:val="0"/>
          <w:sz w:val="24"/>
        </w:rPr>
        <w:t xml:space="preserve">Financial Inclusion — </w:t>
      </w:r>
    </w:p>
    <w:p>
      <w:pPr>
        <w:keepNext/>
        <w:spacing w:before="240" w:after="160"/>
        <w:jc w:val="left"/>
      </w:pPr>
      <w:r>
        <w:rPr>
          <w:rFonts w:ascii="Times New Roman" w:hAnsi="Times New Roman" w:cs="Times New Roman"/>
          <w:b/>
          <w:i w:val="0"/>
          <w:sz w:val="28"/>
        </w:rPr>
        <w:t>9.2 Alignment with United Nations Sustainable Development Goals</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line="276" w:lineRule="auto" w:after="40"/>
              <w:jc w:val="left"/>
            </w:pPr>
            <w:r/>
            <w:r>
              <w:rPr>
                <w:rFonts w:ascii="Times New Roman" w:hAnsi="Times New Roman" w:cs="Times New Roman"/>
                <w:b/>
                <w:i w:val="0"/>
                <w:sz w:val="22"/>
              </w:rPr>
              <w:t>SDG</w:t>
            </w:r>
          </w:p>
        </w:tc>
        <w:tc>
          <w:tcPr>
            <w:tcW w:type="dxa" w:w="4500"/>
          </w:tcPr>
          <w:p>
            <w:pPr>
              <w:spacing w:line="276" w:lineRule="auto" w:after="40"/>
              <w:jc w:val="left"/>
            </w:pPr>
            <w:r/>
            <w:r>
              <w:rPr>
                <w:rFonts w:ascii="Times New Roman" w:hAnsi="Times New Roman" w:cs="Times New Roman"/>
                <w:b/>
                <w:i w:val="0"/>
                <w:sz w:val="22"/>
              </w:rPr>
              <w:t>Contribution by KrishiConnect</w:t>
            </w:r>
          </w:p>
        </w:tc>
      </w:tr>
      <w:tr>
        <w:tc>
          <w:tcPr>
            <w:tcW w:type="dxa" w:w="4500"/>
          </w:tcPr>
          <w:p>
            <w:pPr>
              <w:spacing w:line="276" w:lineRule="auto" w:after="40"/>
              <w:jc w:val="left"/>
            </w:pPr>
            <w:r/>
            <w:r>
              <w:rPr>
                <w:rFonts w:ascii="Times New Roman" w:hAnsi="Times New Roman" w:cs="Times New Roman"/>
                <w:b w:val="0"/>
                <w:i w:val="0"/>
                <w:sz w:val="22"/>
              </w:rPr>
              <w:t>SDG 1 — No Poverty</w:t>
            </w:r>
          </w:p>
        </w:tc>
        <w:tc>
          <w:tcPr>
            <w:tcW w:type="dxa" w:w="4500"/>
          </w:tcPr>
          <w:p>
            <w:pPr>
              <w:spacing w:line="276" w:lineRule="auto" w:after="40"/>
              <w:jc w:val="left"/>
            </w:pPr>
            <w:r/>
            <w:r>
              <w:rPr>
                <w:rFonts w:ascii="Times New Roman" w:hAnsi="Times New Roman" w:cs="Times New Roman"/>
                <w:b w:val="0"/>
                <w:i w:val="0"/>
                <w:sz w:val="22"/>
              </w:rPr>
              <w:t>Income uplift of 20-30%; access to formal credit at 12-14% vs. informal 36%+.</w:t>
            </w:r>
          </w:p>
        </w:tc>
      </w:tr>
      <w:tr>
        <w:tc>
          <w:tcPr>
            <w:tcW w:type="dxa" w:w="4500"/>
          </w:tcPr>
          <w:p>
            <w:pPr>
              <w:spacing w:line="276" w:lineRule="auto" w:after="40"/>
              <w:jc w:val="left"/>
            </w:pPr>
            <w:r/>
            <w:r>
              <w:rPr>
                <w:rFonts w:ascii="Times New Roman" w:hAnsi="Times New Roman" w:cs="Times New Roman"/>
                <w:b w:val="0"/>
                <w:i w:val="0"/>
                <w:sz w:val="22"/>
              </w:rPr>
              <w:t>SDG 2 — Zero Hunger</w:t>
            </w:r>
          </w:p>
        </w:tc>
        <w:tc>
          <w:tcPr>
            <w:tcW w:type="dxa" w:w="4500"/>
          </w:tcPr>
          <w:p>
            <w:pPr>
              <w:spacing w:line="276" w:lineRule="auto" w:after="40"/>
              <w:jc w:val="left"/>
            </w:pPr>
            <w:r/>
            <w:r>
              <w:rPr>
                <w:rFonts w:ascii="Times New Roman" w:hAnsi="Times New Roman" w:cs="Times New Roman"/>
                <w:b w:val="0"/>
                <w:i w:val="0"/>
                <w:sz w:val="22"/>
              </w:rPr>
              <w:t>Improved productivity through advisory; reduction in post-harvest losses; better food distribution.</w:t>
            </w:r>
          </w:p>
        </w:tc>
      </w:tr>
      <w:tr>
        <w:tc>
          <w:tcPr>
            <w:tcW w:type="dxa" w:w="4500"/>
          </w:tcPr>
          <w:p>
            <w:pPr>
              <w:spacing w:line="276" w:lineRule="auto" w:after="40"/>
              <w:jc w:val="left"/>
            </w:pPr>
            <w:r/>
            <w:r>
              <w:rPr>
                <w:rFonts w:ascii="Times New Roman" w:hAnsi="Times New Roman" w:cs="Times New Roman"/>
                <w:b w:val="0"/>
                <w:i w:val="0"/>
                <w:sz w:val="22"/>
              </w:rPr>
              <w:t>SDG 5 — Gender Equality</w:t>
            </w:r>
          </w:p>
        </w:tc>
        <w:tc>
          <w:tcPr>
            <w:tcW w:type="dxa" w:w="4500"/>
          </w:tcPr>
          <w:p>
            <w:pPr>
              <w:spacing w:line="276" w:lineRule="auto" w:after="40"/>
              <w:jc w:val="left"/>
            </w:pPr>
            <w:r/>
            <w:r>
              <w:rPr>
                <w:rFonts w:ascii="Times New Roman" w:hAnsi="Times New Roman" w:cs="Times New Roman"/>
                <w:b w:val="0"/>
                <w:i w:val="0"/>
                <w:sz w:val="22"/>
              </w:rPr>
              <w:t>KrishiSakhi programme; women-owned FPO partnerships; gender-equitable hiring policy.</w:t>
            </w:r>
          </w:p>
        </w:tc>
      </w:tr>
      <w:tr>
        <w:tc>
          <w:tcPr>
            <w:tcW w:type="dxa" w:w="4500"/>
          </w:tcPr>
          <w:p>
            <w:pPr>
              <w:spacing w:line="276" w:lineRule="auto" w:after="40"/>
              <w:jc w:val="left"/>
            </w:pPr>
            <w:r/>
            <w:r>
              <w:rPr>
                <w:rFonts w:ascii="Times New Roman" w:hAnsi="Times New Roman" w:cs="Times New Roman"/>
                <w:b w:val="0"/>
                <w:i w:val="0"/>
                <w:sz w:val="22"/>
              </w:rPr>
              <w:t>SDG 8 — Decent Work</w:t>
            </w:r>
          </w:p>
        </w:tc>
        <w:tc>
          <w:tcPr>
            <w:tcW w:type="dxa" w:w="4500"/>
          </w:tcPr>
          <w:p>
            <w:pPr>
              <w:spacing w:line="276" w:lineRule="auto" w:after="40"/>
              <w:jc w:val="left"/>
            </w:pPr>
            <w:r/>
            <w:r>
              <w:rPr>
                <w:rFonts w:ascii="Times New Roman" w:hAnsi="Times New Roman" w:cs="Times New Roman"/>
                <w:b w:val="0"/>
                <w:i w:val="0"/>
                <w:sz w:val="22"/>
              </w:rPr>
              <w:t>25,000+ rural jobs by Year 3; training and digital-skill development.</w:t>
            </w:r>
          </w:p>
        </w:tc>
      </w:tr>
      <w:tr>
        <w:tc>
          <w:tcPr>
            <w:tcW w:type="dxa" w:w="4500"/>
          </w:tcPr>
          <w:p>
            <w:pPr>
              <w:spacing w:line="276" w:lineRule="auto" w:after="40"/>
              <w:jc w:val="left"/>
            </w:pPr>
            <w:r/>
            <w:r>
              <w:rPr>
                <w:rFonts w:ascii="Times New Roman" w:hAnsi="Times New Roman" w:cs="Times New Roman"/>
                <w:b w:val="0"/>
                <w:i w:val="0"/>
                <w:sz w:val="22"/>
              </w:rPr>
              <w:t>SDG 9 — Industry &amp; Infrastructure</w:t>
            </w:r>
          </w:p>
        </w:tc>
        <w:tc>
          <w:tcPr>
            <w:tcW w:type="dxa" w:w="4500"/>
          </w:tcPr>
          <w:p>
            <w:pPr>
              <w:spacing w:line="276" w:lineRule="auto" w:after="40"/>
              <w:jc w:val="left"/>
            </w:pPr>
            <w:r/>
            <w:r>
              <w:rPr>
                <w:rFonts w:ascii="Times New Roman" w:hAnsi="Times New Roman" w:cs="Times New Roman"/>
                <w:b w:val="0"/>
                <w:i w:val="0"/>
                <w:sz w:val="22"/>
              </w:rPr>
              <w:t>Deployment of digital infrastructure in agriculture; promotion of FPO digitisation.</w:t>
            </w:r>
          </w:p>
        </w:tc>
      </w:tr>
      <w:tr>
        <w:tc>
          <w:tcPr>
            <w:tcW w:type="dxa" w:w="4500"/>
          </w:tcPr>
          <w:p>
            <w:pPr>
              <w:spacing w:line="276" w:lineRule="auto" w:after="40"/>
              <w:jc w:val="left"/>
            </w:pPr>
            <w:r/>
            <w:r>
              <w:rPr>
                <w:rFonts w:ascii="Times New Roman" w:hAnsi="Times New Roman" w:cs="Times New Roman"/>
                <w:b w:val="0"/>
                <w:i w:val="0"/>
                <w:sz w:val="22"/>
              </w:rPr>
              <w:t>SDG 10 — Reduced Inequalities</w:t>
            </w:r>
          </w:p>
        </w:tc>
        <w:tc>
          <w:tcPr>
            <w:tcW w:type="dxa" w:w="4500"/>
          </w:tcPr>
          <w:p>
            <w:pPr>
              <w:spacing w:line="276" w:lineRule="auto" w:after="40"/>
              <w:jc w:val="left"/>
            </w:pPr>
            <w:r/>
            <w:r>
              <w:rPr>
                <w:rFonts w:ascii="Times New Roman" w:hAnsi="Times New Roman" w:cs="Times New Roman"/>
                <w:b w:val="0"/>
                <w:i w:val="0"/>
                <w:sz w:val="22"/>
              </w:rPr>
              <w:t>Bridging urban-rural digital divide; vernacular UX for low-literacy users.</w:t>
            </w:r>
          </w:p>
        </w:tc>
      </w:tr>
      <w:tr>
        <w:tc>
          <w:tcPr>
            <w:tcW w:type="dxa" w:w="4500"/>
          </w:tcPr>
          <w:p>
            <w:pPr>
              <w:spacing w:line="276" w:lineRule="auto" w:after="40"/>
              <w:jc w:val="left"/>
            </w:pPr>
            <w:r/>
            <w:r>
              <w:rPr>
                <w:rFonts w:ascii="Times New Roman" w:hAnsi="Times New Roman" w:cs="Times New Roman"/>
                <w:b w:val="0"/>
                <w:i w:val="0"/>
                <w:sz w:val="22"/>
              </w:rPr>
              <w:t>SDG 12 — Responsible Consumption</w:t>
            </w:r>
          </w:p>
        </w:tc>
        <w:tc>
          <w:tcPr>
            <w:tcW w:type="dxa" w:w="4500"/>
          </w:tcPr>
          <w:p>
            <w:pPr>
              <w:spacing w:line="276" w:lineRule="auto" w:after="40"/>
              <w:jc w:val="left"/>
            </w:pPr>
            <w:r/>
            <w:r>
              <w:rPr>
                <w:rFonts w:ascii="Times New Roman" w:hAnsi="Times New Roman" w:cs="Times New Roman"/>
                <w:b w:val="0"/>
                <w:i w:val="0"/>
                <w:sz w:val="22"/>
              </w:rPr>
              <w:t>Traceable supply chain; reduction in chemical-intensive farming through precision advisory.</w:t>
            </w:r>
          </w:p>
        </w:tc>
      </w:tr>
      <w:tr>
        <w:tc>
          <w:tcPr>
            <w:tcW w:type="dxa" w:w="4500"/>
          </w:tcPr>
          <w:p>
            <w:pPr>
              <w:spacing w:line="276" w:lineRule="auto" w:after="40"/>
              <w:jc w:val="left"/>
            </w:pPr>
            <w:r/>
            <w:r>
              <w:rPr>
                <w:rFonts w:ascii="Times New Roman" w:hAnsi="Times New Roman" w:cs="Times New Roman"/>
                <w:b w:val="0"/>
                <w:i w:val="0"/>
                <w:sz w:val="22"/>
              </w:rPr>
              <w:t>SDG 13 — Climate Action</w:t>
            </w:r>
          </w:p>
        </w:tc>
        <w:tc>
          <w:tcPr>
            <w:tcW w:type="dxa" w:w="4500"/>
          </w:tcPr>
          <w:p>
            <w:pPr>
              <w:spacing w:line="276" w:lineRule="auto" w:after="40"/>
              <w:jc w:val="left"/>
            </w:pPr>
            <w:r/>
            <w:r>
              <w:rPr>
                <w:rFonts w:ascii="Times New Roman" w:hAnsi="Times New Roman" w:cs="Times New Roman"/>
                <w:b w:val="0"/>
                <w:i w:val="0"/>
                <w:sz w:val="22"/>
              </w:rPr>
              <w:t>Carbon-credit pilot; promotion of zero-tillage, crop rotation, and bio-inputs.</w:t>
            </w:r>
          </w:p>
        </w:tc>
      </w:tr>
      <w:tr>
        <w:tc>
          <w:tcPr>
            <w:tcW w:type="dxa" w:w="4500"/>
          </w:tcPr>
          <w:p>
            <w:pPr>
              <w:spacing w:line="276" w:lineRule="auto" w:after="40"/>
              <w:jc w:val="left"/>
            </w:pPr>
            <w:r/>
            <w:r>
              <w:rPr>
                <w:rFonts w:ascii="Times New Roman" w:hAnsi="Times New Roman" w:cs="Times New Roman"/>
                <w:b w:val="0"/>
                <w:i w:val="0"/>
                <w:sz w:val="22"/>
              </w:rPr>
              <w:t>SDG 15 — Life on Land</w:t>
            </w:r>
          </w:p>
        </w:tc>
        <w:tc>
          <w:tcPr>
            <w:tcW w:type="dxa" w:w="4500"/>
          </w:tcPr>
          <w:p>
            <w:pPr>
              <w:spacing w:line="276" w:lineRule="auto" w:after="40"/>
              <w:jc w:val="left"/>
            </w:pPr>
            <w:r/>
            <w:r>
              <w:rPr>
                <w:rFonts w:ascii="Times New Roman" w:hAnsi="Times New Roman" w:cs="Times New Roman"/>
                <w:b w:val="0"/>
                <w:i w:val="0"/>
                <w:sz w:val="22"/>
              </w:rPr>
              <w:t>Soil-health monitoring; reduction in pesticide overuse; promotion of bio-fertilizers.</w:t>
            </w:r>
          </w:p>
        </w:tc>
      </w:tr>
    </w:tbl>
    <w:p>
      <w:pPr>
        <w:keepNext/>
        <w:spacing w:before="240" w:after="160"/>
        <w:jc w:val="left"/>
      </w:pPr>
      <w:r>
        <w:rPr>
          <w:rFonts w:ascii="Times New Roman" w:hAnsi="Times New Roman" w:cs="Times New Roman"/>
          <w:b/>
          <w:i w:val="0"/>
          <w:sz w:val="28"/>
        </w:rPr>
        <w:t>9.3 Ethical Considerations</w:t>
      </w:r>
    </w:p>
    <w:p>
      <w:pPr>
        <w:keepNext/>
        <w:spacing w:before="160" w:after="80"/>
        <w:jc w:val="left"/>
      </w:pPr>
      <w:r>
        <w:rPr>
          <w:rFonts w:ascii="Times New Roman" w:hAnsi="Times New Roman" w:cs="Times New Roman"/>
          <w:b/>
          <w:i/>
          <w:sz w:val="24"/>
        </w:rPr>
        <w:t>A. Data Privacy</w:t>
      </w:r>
    </w:p>
    <w:p>
      <w:pPr>
        <w:pStyle w:val="ListBullet"/>
        <w:spacing w:line="360" w:lineRule="auto" w:after="80"/>
        <w:jc w:val="both"/>
      </w:pPr>
      <w:r>
        <w:rPr>
          <w:rFonts w:ascii="Times New Roman" w:hAnsi="Times New Roman" w:cs="Times New Roman"/>
          <w:b w:val="0"/>
          <w:i w:val="0"/>
          <w:sz w:val="24"/>
        </w:rPr>
        <w:t>Full compliance with the Digital Personal Data Protection Act (DPDPA), 2023.</w:t>
      </w:r>
    </w:p>
    <w:p>
      <w:pPr>
        <w:pStyle w:val="ListBullet"/>
        <w:spacing w:line="360" w:lineRule="auto" w:after="80"/>
        <w:jc w:val="both"/>
      </w:pPr>
      <w:r>
        <w:rPr>
          <w:rFonts w:ascii="Times New Roman" w:hAnsi="Times New Roman" w:cs="Times New Roman"/>
          <w:b w:val="0"/>
          <w:i w:val="0"/>
          <w:sz w:val="24"/>
        </w:rPr>
        <w:t>Explicit, granular, language-localised consent before collecting farm location, Aadhaar (only when required for KYC), or biometric data.</w:t>
      </w:r>
    </w:p>
    <w:p>
      <w:pPr>
        <w:pStyle w:val="ListBullet"/>
        <w:spacing w:line="360" w:lineRule="auto" w:after="80"/>
        <w:jc w:val="both"/>
      </w:pPr>
      <w:r>
        <w:rPr>
          <w:rFonts w:ascii="Times New Roman" w:hAnsi="Times New Roman" w:cs="Times New Roman"/>
          <w:b w:val="0"/>
          <w:i w:val="0"/>
          <w:sz w:val="24"/>
        </w:rPr>
        <w:t>All data stored encrypted (AES-256 at rest, TLS 1.3 in transit) within Indian data centres.</w:t>
      </w:r>
    </w:p>
    <w:p>
      <w:pPr>
        <w:pStyle w:val="ListBullet"/>
        <w:spacing w:line="360" w:lineRule="auto" w:after="80"/>
        <w:jc w:val="both"/>
      </w:pPr>
      <w:r>
        <w:rPr>
          <w:rFonts w:ascii="Times New Roman" w:hAnsi="Times New Roman" w:cs="Times New Roman"/>
          <w:b w:val="0"/>
          <w:i w:val="0"/>
          <w:sz w:val="24"/>
        </w:rPr>
        <w:t>Farmers can download or delete their data at any time via in-app settings (Right to Erasure).</w:t>
      </w:r>
    </w:p>
    <w:p>
      <w:pPr>
        <w:pStyle w:val="ListBullet"/>
        <w:spacing w:line="360" w:lineRule="auto" w:after="80"/>
        <w:jc w:val="both"/>
      </w:pPr>
      <w:r>
        <w:rPr>
          <w:rFonts w:ascii="Times New Roman" w:hAnsi="Times New Roman" w:cs="Times New Roman"/>
          <w:b w:val="0"/>
          <w:i w:val="0"/>
          <w:sz w:val="24"/>
        </w:rPr>
        <w:t>Annual third-party privacy audits; transparent annual transparency report.</w:t>
      </w:r>
    </w:p>
    <w:p>
      <w:pPr>
        <w:keepNext/>
        <w:spacing w:before="160" w:after="80"/>
        <w:jc w:val="left"/>
      </w:pPr>
      <w:r>
        <w:rPr>
          <w:rFonts w:ascii="Times New Roman" w:hAnsi="Times New Roman" w:cs="Times New Roman"/>
          <w:b/>
          <w:i/>
          <w:sz w:val="24"/>
        </w:rPr>
        <w:t>B. Ethical Artificial Intelligence</w:t>
      </w:r>
    </w:p>
    <w:p>
      <w:pPr>
        <w:pStyle w:val="ListBullet"/>
        <w:spacing w:line="360" w:lineRule="auto" w:after="80"/>
        <w:jc w:val="both"/>
      </w:pPr>
      <w:r>
        <w:rPr>
          <w:rFonts w:ascii="Times New Roman" w:hAnsi="Times New Roman" w:cs="Times New Roman"/>
          <w:b w:val="0"/>
          <w:i w:val="0"/>
          <w:sz w:val="24"/>
        </w:rPr>
        <w:t>Crop-loan credit-scoring algorithms audited quarterly for bias against region, caste, gender, or land size.</w:t>
      </w:r>
    </w:p>
    <w:p>
      <w:pPr>
        <w:pStyle w:val="ListBullet"/>
        <w:spacing w:line="360" w:lineRule="auto" w:after="80"/>
        <w:jc w:val="both"/>
      </w:pPr>
      <w:r>
        <w:rPr>
          <w:rFonts w:ascii="Times New Roman" w:hAnsi="Times New Roman" w:cs="Times New Roman"/>
          <w:b w:val="0"/>
          <w:i w:val="0"/>
          <w:sz w:val="24"/>
        </w:rPr>
        <w:t>AI advisory clearly labels confidence levels and recommends consulting Krishi Vigyan Kendras for irreversible decisions — never replacing human expertise.</w:t>
      </w:r>
    </w:p>
    <w:p>
      <w:pPr>
        <w:pStyle w:val="ListBullet"/>
        <w:spacing w:line="360" w:lineRule="auto" w:after="80"/>
        <w:jc w:val="both"/>
      </w:pPr>
      <w:r>
        <w:rPr>
          <w:rFonts w:ascii="Times New Roman" w:hAnsi="Times New Roman" w:cs="Times New Roman"/>
          <w:b w:val="0"/>
          <w:i w:val="0"/>
          <w:sz w:val="24"/>
        </w:rPr>
        <w:t>Pesticide recommendations reviewed by an ICAR-certified agronomy panel before deployment.</w:t>
      </w:r>
    </w:p>
    <w:p>
      <w:pPr>
        <w:pStyle w:val="ListBullet"/>
        <w:spacing w:line="360" w:lineRule="auto" w:after="80"/>
        <w:jc w:val="both"/>
      </w:pPr>
      <w:r>
        <w:rPr>
          <w:rFonts w:ascii="Times New Roman" w:hAnsi="Times New Roman" w:cs="Times New Roman"/>
          <w:b w:val="0"/>
          <w:i w:val="0"/>
          <w:sz w:val="24"/>
        </w:rPr>
        <w:t>Explainability built into model outputs — every recommendation comes with the data that drove it.</w:t>
      </w:r>
    </w:p>
    <w:p>
      <w:pPr>
        <w:keepNext/>
        <w:spacing w:before="160" w:after="80"/>
        <w:jc w:val="left"/>
      </w:pPr>
      <w:r>
        <w:rPr>
          <w:rFonts w:ascii="Times New Roman" w:hAnsi="Times New Roman" w:cs="Times New Roman"/>
          <w:b/>
          <w:i/>
          <w:sz w:val="24"/>
        </w:rPr>
        <w:t>C. Fair Pricing and Anti-Exploitation</w:t>
      </w:r>
    </w:p>
    <w:p>
      <w:pPr>
        <w:pStyle w:val="ListBullet"/>
        <w:spacing w:line="360" w:lineRule="auto" w:after="80"/>
        <w:jc w:val="both"/>
      </w:pPr>
      <w:r>
        <w:rPr>
          <w:rFonts w:ascii="Times New Roman" w:hAnsi="Times New Roman" w:cs="Times New Roman"/>
          <w:b w:val="0"/>
          <w:i w:val="0"/>
          <w:sz w:val="24"/>
        </w:rPr>
        <w:t>No predatory commission on distress transactions (e.g., farmers losing crop to disease).</w:t>
      </w:r>
    </w:p>
    <w:p>
      <w:pPr>
        <w:pStyle w:val="ListBullet"/>
        <w:spacing w:line="360" w:lineRule="auto" w:after="80"/>
        <w:jc w:val="both"/>
      </w:pPr>
      <w:r>
        <w:rPr>
          <w:rFonts w:ascii="Times New Roman" w:hAnsi="Times New Roman" w:cs="Times New Roman"/>
          <w:b w:val="0"/>
          <w:i w:val="0"/>
          <w:sz w:val="24"/>
        </w:rPr>
        <w:t>Transparent fee disclosure — every screen shows what KrishiConnect earns from a transaction.</w:t>
      </w:r>
    </w:p>
    <w:p>
      <w:pPr>
        <w:pStyle w:val="ListBullet"/>
        <w:spacing w:line="360" w:lineRule="auto" w:after="80"/>
        <w:jc w:val="both"/>
      </w:pPr>
      <w:r>
        <w:rPr>
          <w:rFonts w:ascii="Times New Roman" w:hAnsi="Times New Roman" w:cs="Times New Roman"/>
          <w:b w:val="0"/>
          <w:i w:val="0"/>
          <w:sz w:val="24"/>
        </w:rPr>
        <w:t>Buyer rating and verification system ensures bad actors (delayed payments, weight cheating) are rapidly removed.</w:t>
      </w:r>
    </w:p>
    <w:p>
      <w:pPr>
        <w:pStyle w:val="ListBullet"/>
        <w:spacing w:line="360" w:lineRule="auto" w:after="80"/>
        <w:jc w:val="both"/>
      </w:pPr>
      <w:r>
        <w:rPr>
          <w:rFonts w:ascii="Times New Roman" w:hAnsi="Times New Roman" w:cs="Times New Roman"/>
          <w:b w:val="0"/>
          <w:i w:val="0"/>
          <w:sz w:val="24"/>
        </w:rPr>
        <w:t>No banned or red-label pesticides listed on the platform.</w:t>
      </w:r>
    </w:p>
    <w:p>
      <w:pPr>
        <w:keepNext/>
        <w:spacing w:before="160" w:after="80"/>
        <w:jc w:val="left"/>
      </w:pPr>
      <w:r>
        <w:rPr>
          <w:rFonts w:ascii="Times New Roman" w:hAnsi="Times New Roman" w:cs="Times New Roman"/>
          <w:b/>
          <w:i/>
          <w:sz w:val="24"/>
        </w:rPr>
        <w:t>D. Environmental Ethics</w:t>
      </w:r>
    </w:p>
    <w:p>
      <w:pPr>
        <w:pStyle w:val="ListBullet"/>
        <w:spacing w:line="360" w:lineRule="auto" w:after="80"/>
        <w:jc w:val="both"/>
      </w:pPr>
      <w:r>
        <w:rPr>
          <w:rFonts w:ascii="Times New Roman" w:hAnsi="Times New Roman" w:cs="Times New Roman"/>
          <w:b w:val="0"/>
          <w:i w:val="0"/>
          <w:sz w:val="24"/>
        </w:rPr>
        <w:t>Promotion of bio-fertilizers and Integrated Pest Management.</w:t>
      </w:r>
    </w:p>
    <w:p>
      <w:pPr>
        <w:pStyle w:val="ListBullet"/>
        <w:spacing w:line="360" w:lineRule="auto" w:after="80"/>
        <w:jc w:val="both"/>
      </w:pPr>
      <w:r>
        <w:rPr>
          <w:rFonts w:ascii="Times New Roman" w:hAnsi="Times New Roman" w:cs="Times New Roman"/>
          <w:b w:val="0"/>
          <w:i w:val="0"/>
          <w:sz w:val="24"/>
        </w:rPr>
        <w:t>Carbon-credit pilot for farmers practicing zero-tillage and crop rotation — generating an additional revenue line for them.</w:t>
      </w:r>
    </w:p>
    <w:p>
      <w:pPr>
        <w:pStyle w:val="ListBullet"/>
        <w:spacing w:line="360" w:lineRule="auto" w:after="80"/>
        <w:jc w:val="both"/>
      </w:pPr>
      <w:r>
        <w:rPr>
          <w:rFonts w:ascii="Times New Roman" w:hAnsi="Times New Roman" w:cs="Times New Roman"/>
          <w:b w:val="0"/>
          <w:i w:val="0"/>
          <w:sz w:val="24"/>
        </w:rPr>
        <w:t>Logistics partner selection prioritises low-emission options where feasible.</w:t>
      </w:r>
    </w:p>
    <w:p>
      <w:r>
        <w:br w:type="page"/>
      </w:r>
    </w:p>
    <w:p>
      <w:pPr>
        <w:keepNext/>
        <w:spacing w:before="360" w:after="280"/>
        <w:jc w:val="left"/>
      </w:pPr>
      <w:r>
        <w:rPr>
          <w:rFonts w:ascii="Times New Roman" w:hAnsi="Times New Roman" w:cs="Times New Roman"/>
          <w:b/>
          <w:i w:val="0"/>
          <w:sz w:val="32"/>
        </w:rPr>
        <w:t>10. Risk Management</w:t>
      </w:r>
    </w:p>
    <w:p>
      <w:pPr>
        <w:keepNext/>
        <w:spacing w:before="240" w:after="160"/>
        <w:jc w:val="left"/>
      </w:pPr>
      <w:r>
        <w:rPr>
          <w:rFonts w:ascii="Times New Roman" w:hAnsi="Times New Roman" w:cs="Times New Roman"/>
          <w:b/>
          <w:i w:val="0"/>
          <w:sz w:val="28"/>
        </w:rPr>
        <w:t>10.1 Risk Register</w:t>
      </w:r>
    </w:p>
    <w:p>
      <w:pPr>
        <w:keepNext/>
        <w:spacing w:before="160" w:after="80"/>
        <w:jc w:val="left"/>
      </w:pPr>
      <w:r>
        <w:rPr>
          <w:rFonts w:ascii="Times New Roman" w:hAnsi="Times New Roman" w:cs="Times New Roman"/>
          <w:b/>
          <w:i/>
          <w:sz w:val="24"/>
        </w:rPr>
        <w:t>Table 10.1 — Risk Register</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line="276" w:lineRule="auto" w:after="40"/>
              <w:jc w:val="left"/>
            </w:pPr>
            <w:r/>
            <w:r>
              <w:rPr>
                <w:rFonts w:ascii="Times New Roman" w:hAnsi="Times New Roman" w:cs="Times New Roman"/>
                <w:b/>
                <w:i w:val="0"/>
                <w:sz w:val="22"/>
              </w:rPr>
              <w:t>Category</w:t>
            </w:r>
          </w:p>
        </w:tc>
        <w:tc>
          <w:tcPr>
            <w:tcW w:type="dxa" w:w="3000"/>
          </w:tcPr>
          <w:p>
            <w:pPr>
              <w:spacing w:line="276" w:lineRule="auto" w:after="40"/>
              <w:jc w:val="left"/>
            </w:pPr>
            <w:r/>
            <w:r>
              <w:rPr>
                <w:rFonts w:ascii="Times New Roman" w:hAnsi="Times New Roman" w:cs="Times New Roman"/>
                <w:b/>
                <w:i w:val="0"/>
                <w:sz w:val="22"/>
              </w:rPr>
              <w:t>Risk</w:t>
            </w:r>
          </w:p>
        </w:tc>
        <w:tc>
          <w:tcPr>
            <w:tcW w:type="dxa" w:w="3000"/>
          </w:tcPr>
          <w:p>
            <w:pPr>
              <w:spacing w:line="276" w:lineRule="auto" w:after="40"/>
              <w:jc w:val="left"/>
            </w:pPr>
            <w:r/>
            <w:r>
              <w:rPr>
                <w:rFonts w:ascii="Times New Roman" w:hAnsi="Times New Roman" w:cs="Times New Roman"/>
                <w:b/>
                <w:i w:val="0"/>
                <w:sz w:val="22"/>
              </w:rPr>
              <w:t>Likelihood / Impact</w:t>
            </w:r>
          </w:p>
        </w:tc>
      </w:tr>
      <w:tr>
        <w:tc>
          <w:tcPr>
            <w:tcW w:type="dxa" w:w="3000"/>
          </w:tcPr>
          <w:p>
            <w:pPr>
              <w:spacing w:line="276" w:lineRule="auto" w:after="40"/>
              <w:jc w:val="left"/>
            </w:pPr>
            <w:r/>
            <w:r>
              <w:rPr>
                <w:rFonts w:ascii="Times New Roman" w:hAnsi="Times New Roman" w:cs="Times New Roman"/>
                <w:b w:val="0"/>
                <w:i w:val="0"/>
                <w:sz w:val="22"/>
              </w:rPr>
              <w:t>Financial</w:t>
            </w:r>
          </w:p>
        </w:tc>
        <w:tc>
          <w:tcPr>
            <w:tcW w:type="dxa" w:w="3000"/>
          </w:tcPr>
          <w:p>
            <w:pPr>
              <w:spacing w:line="276" w:lineRule="auto" w:after="40"/>
              <w:jc w:val="left"/>
            </w:pPr>
            <w:r/>
            <w:r>
              <w:rPr>
                <w:rFonts w:ascii="Times New Roman" w:hAnsi="Times New Roman" w:cs="Times New Roman"/>
                <w:b w:val="0"/>
                <w:i w:val="0"/>
                <w:sz w:val="22"/>
              </w:rPr>
              <w:t>Slow user monetisation; longer-than-expected runway burn</w:t>
            </w:r>
          </w:p>
        </w:tc>
        <w:tc>
          <w:tcPr>
            <w:tcW w:type="dxa" w:w="3000"/>
          </w:tcPr>
          <w:p>
            <w:pPr>
              <w:spacing w:line="276" w:lineRule="auto" w:after="40"/>
              <w:jc w:val="left"/>
            </w:pPr>
            <w:r/>
            <w:r>
              <w:rPr>
                <w:rFonts w:ascii="Times New Roman" w:hAnsi="Times New Roman" w:cs="Times New Roman"/>
                <w:b w:val="0"/>
                <w:i w:val="0"/>
                <w:sz w:val="22"/>
              </w:rPr>
              <w:t>High / High</w:t>
            </w:r>
          </w:p>
        </w:tc>
      </w:tr>
      <w:tr>
        <w:tc>
          <w:tcPr>
            <w:tcW w:type="dxa" w:w="3000"/>
          </w:tcPr>
          <w:p>
            <w:pPr>
              <w:spacing w:line="276" w:lineRule="auto" w:after="40"/>
              <w:jc w:val="left"/>
            </w:pPr>
            <w:r/>
            <w:r>
              <w:rPr>
                <w:rFonts w:ascii="Times New Roman" w:hAnsi="Times New Roman" w:cs="Times New Roman"/>
                <w:b w:val="0"/>
                <w:i w:val="0"/>
                <w:sz w:val="22"/>
              </w:rPr>
              <w:t>Regulatory</w:t>
            </w:r>
          </w:p>
        </w:tc>
        <w:tc>
          <w:tcPr>
            <w:tcW w:type="dxa" w:w="3000"/>
          </w:tcPr>
          <w:p>
            <w:pPr>
              <w:spacing w:line="276" w:lineRule="auto" w:after="40"/>
              <w:jc w:val="left"/>
            </w:pPr>
            <w:r/>
            <w:r>
              <w:rPr>
                <w:rFonts w:ascii="Times New Roman" w:hAnsi="Times New Roman" w:cs="Times New Roman"/>
                <w:b w:val="0"/>
                <w:i w:val="0"/>
                <w:sz w:val="22"/>
              </w:rPr>
              <w:t>Sudden changes in APMC laws, MSP regulations, or DPDPA enforcement</w:t>
            </w:r>
          </w:p>
        </w:tc>
        <w:tc>
          <w:tcPr>
            <w:tcW w:type="dxa" w:w="3000"/>
          </w:tcPr>
          <w:p>
            <w:pPr>
              <w:spacing w:line="276" w:lineRule="auto" w:after="40"/>
              <w:jc w:val="left"/>
            </w:pPr>
            <w:r/>
            <w:r>
              <w:rPr>
                <w:rFonts w:ascii="Times New Roman" w:hAnsi="Times New Roman" w:cs="Times New Roman"/>
                <w:b w:val="0"/>
                <w:i w:val="0"/>
                <w:sz w:val="22"/>
              </w:rPr>
              <w:t>Medium / High</w:t>
            </w:r>
          </w:p>
        </w:tc>
      </w:tr>
      <w:tr>
        <w:tc>
          <w:tcPr>
            <w:tcW w:type="dxa" w:w="3000"/>
          </w:tcPr>
          <w:p>
            <w:pPr>
              <w:spacing w:line="276" w:lineRule="auto" w:after="40"/>
              <w:jc w:val="left"/>
            </w:pPr>
            <w:r/>
            <w:r>
              <w:rPr>
                <w:rFonts w:ascii="Times New Roman" w:hAnsi="Times New Roman" w:cs="Times New Roman"/>
                <w:b w:val="0"/>
                <w:i w:val="0"/>
                <w:sz w:val="22"/>
              </w:rPr>
              <w:t>Technical</w:t>
            </w:r>
          </w:p>
        </w:tc>
        <w:tc>
          <w:tcPr>
            <w:tcW w:type="dxa" w:w="3000"/>
          </w:tcPr>
          <w:p>
            <w:pPr>
              <w:spacing w:line="276" w:lineRule="auto" w:after="40"/>
              <w:jc w:val="left"/>
            </w:pPr>
            <w:r/>
            <w:r>
              <w:rPr>
                <w:rFonts w:ascii="Times New Roman" w:hAnsi="Times New Roman" w:cs="Times New Roman"/>
                <w:b w:val="0"/>
                <w:i w:val="0"/>
                <w:sz w:val="22"/>
              </w:rPr>
              <w:t>Cybersecurity breach exposing farmer KYC and financial data</w:t>
            </w:r>
          </w:p>
        </w:tc>
        <w:tc>
          <w:tcPr>
            <w:tcW w:type="dxa" w:w="3000"/>
          </w:tcPr>
          <w:p>
            <w:pPr>
              <w:spacing w:line="276" w:lineRule="auto" w:after="40"/>
              <w:jc w:val="left"/>
            </w:pPr>
            <w:r/>
            <w:r>
              <w:rPr>
                <w:rFonts w:ascii="Times New Roman" w:hAnsi="Times New Roman" w:cs="Times New Roman"/>
                <w:b w:val="0"/>
                <w:i w:val="0"/>
                <w:sz w:val="22"/>
              </w:rPr>
              <w:t>Medium / Critical</w:t>
            </w:r>
          </w:p>
        </w:tc>
      </w:tr>
      <w:tr>
        <w:tc>
          <w:tcPr>
            <w:tcW w:type="dxa" w:w="3000"/>
          </w:tcPr>
          <w:p>
            <w:pPr>
              <w:spacing w:line="276" w:lineRule="auto" w:after="40"/>
              <w:jc w:val="left"/>
            </w:pPr>
            <w:r/>
            <w:r>
              <w:rPr>
                <w:rFonts w:ascii="Times New Roman" w:hAnsi="Times New Roman" w:cs="Times New Roman"/>
                <w:b w:val="0"/>
                <w:i w:val="0"/>
                <w:sz w:val="22"/>
              </w:rPr>
              <w:t>Market Adoption</w:t>
            </w:r>
          </w:p>
        </w:tc>
        <w:tc>
          <w:tcPr>
            <w:tcW w:type="dxa" w:w="3000"/>
          </w:tcPr>
          <w:p>
            <w:pPr>
              <w:spacing w:line="276" w:lineRule="auto" w:after="40"/>
              <w:jc w:val="left"/>
            </w:pPr>
            <w:r/>
            <w:r>
              <w:rPr>
                <w:rFonts w:ascii="Times New Roman" w:hAnsi="Times New Roman" w:cs="Times New Roman"/>
                <w:b w:val="0"/>
                <w:i w:val="0"/>
                <w:sz w:val="22"/>
              </w:rPr>
              <w:t>Low digital literacy hampering app uptake in deep-rural districts</w:t>
            </w:r>
          </w:p>
        </w:tc>
        <w:tc>
          <w:tcPr>
            <w:tcW w:type="dxa" w:w="3000"/>
          </w:tcPr>
          <w:p>
            <w:pPr>
              <w:spacing w:line="276" w:lineRule="auto" w:after="40"/>
              <w:jc w:val="left"/>
            </w:pPr>
            <w:r/>
            <w:r>
              <w:rPr>
                <w:rFonts w:ascii="Times New Roman" w:hAnsi="Times New Roman" w:cs="Times New Roman"/>
                <w:b w:val="0"/>
                <w:i w:val="0"/>
                <w:sz w:val="22"/>
              </w:rPr>
              <w:t>High / Medium</w:t>
            </w:r>
          </w:p>
        </w:tc>
      </w:tr>
      <w:tr>
        <w:tc>
          <w:tcPr>
            <w:tcW w:type="dxa" w:w="3000"/>
          </w:tcPr>
          <w:p>
            <w:pPr>
              <w:spacing w:line="276" w:lineRule="auto" w:after="40"/>
              <w:jc w:val="left"/>
            </w:pPr>
            <w:r/>
            <w:r>
              <w:rPr>
                <w:rFonts w:ascii="Times New Roman" w:hAnsi="Times New Roman" w:cs="Times New Roman"/>
                <w:b w:val="0"/>
                <w:i w:val="0"/>
                <w:sz w:val="22"/>
              </w:rPr>
              <w:t>Operational</w:t>
            </w:r>
          </w:p>
        </w:tc>
        <w:tc>
          <w:tcPr>
            <w:tcW w:type="dxa" w:w="3000"/>
          </w:tcPr>
          <w:p>
            <w:pPr>
              <w:spacing w:line="276" w:lineRule="auto" w:after="40"/>
              <w:jc w:val="left"/>
            </w:pPr>
            <w:r/>
            <w:r>
              <w:rPr>
                <w:rFonts w:ascii="Times New Roman" w:hAnsi="Times New Roman" w:cs="Times New Roman"/>
                <w:b w:val="0"/>
                <w:i w:val="0"/>
                <w:sz w:val="22"/>
              </w:rPr>
              <w:t>Logistics partner failure during peak harvest leading to spoilage and refunds</w:t>
            </w:r>
          </w:p>
        </w:tc>
        <w:tc>
          <w:tcPr>
            <w:tcW w:type="dxa" w:w="3000"/>
          </w:tcPr>
          <w:p>
            <w:pPr>
              <w:spacing w:line="276" w:lineRule="auto" w:after="40"/>
              <w:jc w:val="left"/>
            </w:pPr>
            <w:r/>
            <w:r>
              <w:rPr>
                <w:rFonts w:ascii="Times New Roman" w:hAnsi="Times New Roman" w:cs="Times New Roman"/>
                <w:b w:val="0"/>
                <w:i w:val="0"/>
                <w:sz w:val="22"/>
              </w:rPr>
              <w:t>Medium / High</w:t>
            </w:r>
          </w:p>
        </w:tc>
      </w:tr>
      <w:tr>
        <w:tc>
          <w:tcPr>
            <w:tcW w:type="dxa" w:w="3000"/>
          </w:tcPr>
          <w:p>
            <w:pPr>
              <w:spacing w:line="276" w:lineRule="auto" w:after="40"/>
              <w:jc w:val="left"/>
            </w:pPr>
            <w:r/>
            <w:r>
              <w:rPr>
                <w:rFonts w:ascii="Times New Roman" w:hAnsi="Times New Roman" w:cs="Times New Roman"/>
                <w:b w:val="0"/>
                <w:i w:val="0"/>
                <w:sz w:val="22"/>
              </w:rPr>
              <w:t>Competition</w:t>
            </w:r>
          </w:p>
        </w:tc>
        <w:tc>
          <w:tcPr>
            <w:tcW w:type="dxa" w:w="3000"/>
          </w:tcPr>
          <w:p>
            <w:pPr>
              <w:spacing w:line="276" w:lineRule="auto" w:after="40"/>
              <w:jc w:val="left"/>
            </w:pPr>
            <w:r/>
            <w:r>
              <w:rPr>
                <w:rFonts w:ascii="Times New Roman" w:hAnsi="Times New Roman" w:cs="Times New Roman"/>
                <w:b w:val="0"/>
                <w:i w:val="0"/>
                <w:sz w:val="22"/>
              </w:rPr>
              <w:t>Big-tech (Reliance JioKrishi, Amazon Kisan) entering with subsidised pricing</w:t>
            </w:r>
          </w:p>
        </w:tc>
        <w:tc>
          <w:tcPr>
            <w:tcW w:type="dxa" w:w="3000"/>
          </w:tcPr>
          <w:p>
            <w:pPr>
              <w:spacing w:line="276" w:lineRule="auto" w:after="40"/>
              <w:jc w:val="left"/>
            </w:pPr>
            <w:r/>
            <w:r>
              <w:rPr>
                <w:rFonts w:ascii="Times New Roman" w:hAnsi="Times New Roman" w:cs="Times New Roman"/>
                <w:b w:val="0"/>
                <w:i w:val="0"/>
                <w:sz w:val="22"/>
              </w:rPr>
              <w:t>Medium / High</w:t>
            </w:r>
          </w:p>
        </w:tc>
      </w:tr>
      <w:tr>
        <w:tc>
          <w:tcPr>
            <w:tcW w:type="dxa" w:w="3000"/>
          </w:tcPr>
          <w:p>
            <w:pPr>
              <w:spacing w:line="276" w:lineRule="auto" w:after="40"/>
              <w:jc w:val="left"/>
            </w:pPr>
            <w:r/>
            <w:r>
              <w:rPr>
                <w:rFonts w:ascii="Times New Roman" w:hAnsi="Times New Roman" w:cs="Times New Roman"/>
                <w:b w:val="0"/>
                <w:i w:val="0"/>
                <w:sz w:val="22"/>
              </w:rPr>
              <w:t>Climate / Macro</w:t>
            </w:r>
          </w:p>
        </w:tc>
        <w:tc>
          <w:tcPr>
            <w:tcW w:type="dxa" w:w="3000"/>
          </w:tcPr>
          <w:p>
            <w:pPr>
              <w:spacing w:line="276" w:lineRule="auto" w:after="40"/>
              <w:jc w:val="left"/>
            </w:pPr>
            <w:r/>
            <w:r>
              <w:rPr>
                <w:rFonts w:ascii="Times New Roman" w:hAnsi="Times New Roman" w:cs="Times New Roman"/>
                <w:b w:val="0"/>
                <w:i w:val="0"/>
                <w:sz w:val="22"/>
              </w:rPr>
              <w:t>Successive bad monsoons reducing transaction volumes</w:t>
            </w:r>
          </w:p>
        </w:tc>
        <w:tc>
          <w:tcPr>
            <w:tcW w:type="dxa" w:w="3000"/>
          </w:tcPr>
          <w:p>
            <w:pPr>
              <w:spacing w:line="276" w:lineRule="auto" w:after="40"/>
              <w:jc w:val="left"/>
            </w:pPr>
            <w:r/>
            <w:r>
              <w:rPr>
                <w:rFonts w:ascii="Times New Roman" w:hAnsi="Times New Roman" w:cs="Times New Roman"/>
                <w:b w:val="0"/>
                <w:i w:val="0"/>
                <w:sz w:val="22"/>
              </w:rPr>
              <w:t>Medium / High</w:t>
            </w:r>
          </w:p>
        </w:tc>
      </w:tr>
      <w:tr>
        <w:tc>
          <w:tcPr>
            <w:tcW w:type="dxa" w:w="3000"/>
          </w:tcPr>
          <w:p>
            <w:pPr>
              <w:spacing w:line="276" w:lineRule="auto" w:after="40"/>
              <w:jc w:val="left"/>
            </w:pPr>
            <w:r/>
            <w:r>
              <w:rPr>
                <w:rFonts w:ascii="Times New Roman" w:hAnsi="Times New Roman" w:cs="Times New Roman"/>
                <w:b w:val="0"/>
                <w:i w:val="0"/>
                <w:sz w:val="22"/>
              </w:rPr>
              <w:t>Talent</w:t>
            </w:r>
          </w:p>
        </w:tc>
        <w:tc>
          <w:tcPr>
            <w:tcW w:type="dxa" w:w="3000"/>
          </w:tcPr>
          <w:p>
            <w:pPr>
              <w:spacing w:line="276" w:lineRule="auto" w:after="40"/>
              <w:jc w:val="left"/>
            </w:pPr>
            <w:r/>
            <w:r>
              <w:rPr>
                <w:rFonts w:ascii="Times New Roman" w:hAnsi="Times New Roman" w:cs="Times New Roman"/>
                <w:b w:val="0"/>
                <w:i w:val="0"/>
                <w:sz w:val="22"/>
              </w:rPr>
              <w:t>Key engineering or AI talent attrition to better-funded competitors</w:t>
            </w:r>
          </w:p>
        </w:tc>
        <w:tc>
          <w:tcPr>
            <w:tcW w:type="dxa" w:w="3000"/>
          </w:tcPr>
          <w:p>
            <w:pPr>
              <w:spacing w:line="276" w:lineRule="auto" w:after="40"/>
              <w:jc w:val="left"/>
            </w:pPr>
            <w:r/>
            <w:r>
              <w:rPr>
                <w:rFonts w:ascii="Times New Roman" w:hAnsi="Times New Roman" w:cs="Times New Roman"/>
                <w:b w:val="0"/>
                <w:i w:val="0"/>
                <w:sz w:val="22"/>
              </w:rPr>
              <w:t>Medium / Medium</w:t>
            </w:r>
          </w:p>
        </w:tc>
      </w:tr>
      <w:tr>
        <w:tc>
          <w:tcPr>
            <w:tcW w:type="dxa" w:w="3000"/>
          </w:tcPr>
          <w:p>
            <w:pPr>
              <w:spacing w:line="276" w:lineRule="auto" w:after="40"/>
              <w:jc w:val="left"/>
            </w:pPr>
            <w:r/>
            <w:r>
              <w:rPr>
                <w:rFonts w:ascii="Times New Roman" w:hAnsi="Times New Roman" w:cs="Times New Roman"/>
                <w:b w:val="0"/>
                <w:i w:val="0"/>
                <w:sz w:val="22"/>
              </w:rPr>
              <w:t>Supply-side</w:t>
            </w:r>
          </w:p>
        </w:tc>
        <w:tc>
          <w:tcPr>
            <w:tcW w:type="dxa" w:w="3000"/>
          </w:tcPr>
          <w:p>
            <w:pPr>
              <w:spacing w:line="276" w:lineRule="auto" w:after="40"/>
              <w:jc w:val="left"/>
            </w:pPr>
            <w:r/>
            <w:r>
              <w:rPr>
                <w:rFonts w:ascii="Times New Roman" w:hAnsi="Times New Roman" w:cs="Times New Roman"/>
                <w:b w:val="0"/>
                <w:i w:val="0"/>
                <w:sz w:val="22"/>
              </w:rPr>
              <w:t>Counterfeit input infiltration on platform damaging trust</w:t>
            </w:r>
          </w:p>
        </w:tc>
        <w:tc>
          <w:tcPr>
            <w:tcW w:type="dxa" w:w="3000"/>
          </w:tcPr>
          <w:p>
            <w:pPr>
              <w:spacing w:line="276" w:lineRule="auto" w:after="40"/>
              <w:jc w:val="left"/>
            </w:pPr>
            <w:r/>
            <w:r>
              <w:rPr>
                <w:rFonts w:ascii="Times New Roman" w:hAnsi="Times New Roman" w:cs="Times New Roman"/>
                <w:b w:val="0"/>
                <w:i w:val="0"/>
                <w:sz w:val="22"/>
              </w:rPr>
              <w:t>Low / High</w:t>
            </w:r>
          </w:p>
        </w:tc>
      </w:tr>
      <w:tr>
        <w:tc>
          <w:tcPr>
            <w:tcW w:type="dxa" w:w="3000"/>
          </w:tcPr>
          <w:p>
            <w:pPr>
              <w:spacing w:line="276" w:lineRule="auto" w:after="40"/>
              <w:jc w:val="left"/>
            </w:pPr>
            <w:r/>
            <w:r>
              <w:rPr>
                <w:rFonts w:ascii="Times New Roman" w:hAnsi="Times New Roman" w:cs="Times New Roman"/>
                <w:b w:val="0"/>
                <w:i w:val="0"/>
                <w:sz w:val="22"/>
              </w:rPr>
              <w:t>Reputational</w:t>
            </w:r>
          </w:p>
        </w:tc>
        <w:tc>
          <w:tcPr>
            <w:tcW w:type="dxa" w:w="3000"/>
          </w:tcPr>
          <w:p>
            <w:pPr>
              <w:spacing w:line="276" w:lineRule="auto" w:after="40"/>
              <w:jc w:val="left"/>
            </w:pPr>
            <w:r/>
            <w:r>
              <w:rPr>
                <w:rFonts w:ascii="Times New Roman" w:hAnsi="Times New Roman" w:cs="Times New Roman"/>
                <w:b w:val="0"/>
                <w:i w:val="0"/>
                <w:sz w:val="22"/>
              </w:rPr>
              <w:t>Misuse of platform by buyers (price collusion, weight manipulation)</w:t>
            </w:r>
          </w:p>
        </w:tc>
        <w:tc>
          <w:tcPr>
            <w:tcW w:type="dxa" w:w="3000"/>
          </w:tcPr>
          <w:p>
            <w:pPr>
              <w:spacing w:line="276" w:lineRule="auto" w:after="40"/>
              <w:jc w:val="left"/>
            </w:pPr>
            <w:r/>
            <w:r>
              <w:rPr>
                <w:rFonts w:ascii="Times New Roman" w:hAnsi="Times New Roman" w:cs="Times New Roman"/>
                <w:b w:val="0"/>
                <w:i w:val="0"/>
                <w:sz w:val="22"/>
              </w:rPr>
              <w:t>Medium / Medium</w:t>
            </w:r>
          </w:p>
        </w:tc>
      </w:tr>
    </w:tbl>
    <w:p>
      <w:pPr>
        <w:keepNext/>
        <w:spacing w:before="240" w:after="160"/>
        <w:jc w:val="left"/>
      </w:pPr>
      <w:r>
        <w:rPr>
          <w:rFonts w:ascii="Times New Roman" w:hAnsi="Times New Roman" w:cs="Times New Roman"/>
          <w:b/>
          <w:i w:val="0"/>
          <w:sz w:val="28"/>
        </w:rPr>
        <w:t>10.2 Mitigation Plan</w:t>
      </w:r>
    </w:p>
    <w:p>
      <w:pPr>
        <w:keepNext/>
        <w:spacing w:before="160" w:after="80"/>
        <w:jc w:val="left"/>
      </w:pPr>
      <w:r>
        <w:rPr>
          <w:rFonts w:ascii="Times New Roman" w:hAnsi="Times New Roman" w:cs="Times New Roman"/>
          <w:b/>
          <w:i/>
          <w:sz w:val="24"/>
        </w:rPr>
        <w:t>A. Financial Risk Mitigation</w:t>
      </w:r>
    </w:p>
    <w:p>
      <w:pPr>
        <w:pStyle w:val="ListBullet"/>
        <w:spacing w:line="360" w:lineRule="auto" w:after="80"/>
        <w:jc w:val="both"/>
      </w:pPr>
      <w:r>
        <w:rPr>
          <w:rFonts w:ascii="Times New Roman" w:hAnsi="Times New Roman" w:cs="Times New Roman"/>
          <w:b w:val="0"/>
          <w:i w:val="0"/>
          <w:sz w:val="24"/>
        </w:rPr>
        <w:t>Maintain minimum 18 months of runway; raise funding in tranches tied to clear KPIs.</w:t>
      </w:r>
    </w:p>
    <w:p>
      <w:pPr>
        <w:pStyle w:val="ListBullet"/>
        <w:spacing w:line="360" w:lineRule="auto" w:after="80"/>
        <w:jc w:val="both"/>
      </w:pPr>
      <w:r>
        <w:rPr>
          <w:rFonts w:ascii="Times New Roman" w:hAnsi="Times New Roman" w:cs="Times New Roman"/>
          <w:b w:val="0"/>
          <w:i w:val="0"/>
          <w:sz w:val="24"/>
        </w:rPr>
        <w:t>Diversify revenue across 5 streams.</w:t>
      </w:r>
    </w:p>
    <w:p>
      <w:pPr>
        <w:pStyle w:val="ListBullet"/>
        <w:spacing w:line="360" w:lineRule="auto" w:after="80"/>
        <w:jc w:val="both"/>
      </w:pPr>
      <w:r>
        <w:rPr>
          <w:rFonts w:ascii="Times New Roman" w:hAnsi="Times New Roman" w:cs="Times New Roman"/>
          <w:b w:val="0"/>
          <w:i w:val="0"/>
          <w:sz w:val="24"/>
        </w:rPr>
        <w:t>Apply for non-dilutive grants (NABARD Agri-Tech Fund, ICAR Innovation Grants, Atal Innovation Mission).</w:t>
      </w:r>
    </w:p>
    <w:p>
      <w:pPr>
        <w:keepNext/>
        <w:spacing w:before="160" w:after="80"/>
        <w:jc w:val="left"/>
      </w:pPr>
      <w:r>
        <w:rPr>
          <w:rFonts w:ascii="Times New Roman" w:hAnsi="Times New Roman" w:cs="Times New Roman"/>
          <w:b/>
          <w:i/>
          <w:sz w:val="24"/>
        </w:rPr>
        <w:t>B. Regulatory Risk Mitigation</w:t>
      </w:r>
    </w:p>
    <w:p>
      <w:pPr>
        <w:pStyle w:val="ListBullet"/>
        <w:spacing w:line="360" w:lineRule="auto" w:after="80"/>
        <w:jc w:val="both"/>
      </w:pPr>
      <w:r>
        <w:rPr>
          <w:rFonts w:ascii="Times New Roman" w:hAnsi="Times New Roman" w:cs="Times New Roman"/>
          <w:b w:val="0"/>
          <w:i w:val="0"/>
          <w:sz w:val="24"/>
        </w:rPr>
        <w:t>Onboard a regulatory advisor with experience in APMC and digital-finance laws.</w:t>
      </w:r>
    </w:p>
    <w:p>
      <w:pPr>
        <w:pStyle w:val="ListBullet"/>
        <w:spacing w:line="360" w:lineRule="auto" w:after="80"/>
        <w:jc w:val="both"/>
      </w:pPr>
      <w:r>
        <w:rPr>
          <w:rFonts w:ascii="Times New Roman" w:hAnsi="Times New Roman" w:cs="Times New Roman"/>
          <w:b w:val="0"/>
          <w:i w:val="0"/>
          <w:sz w:val="24"/>
        </w:rPr>
        <w:t>Active membership in FICCI and NASSCOM Agri-Tech committees.</w:t>
      </w:r>
    </w:p>
    <w:p>
      <w:pPr>
        <w:pStyle w:val="ListBullet"/>
        <w:spacing w:line="360" w:lineRule="auto" w:after="80"/>
        <w:jc w:val="both"/>
      </w:pPr>
      <w:r>
        <w:rPr>
          <w:rFonts w:ascii="Times New Roman" w:hAnsi="Times New Roman" w:cs="Times New Roman"/>
          <w:b w:val="0"/>
          <w:i w:val="0"/>
          <w:sz w:val="24"/>
        </w:rPr>
        <w:t>Build data-residency and compliance modules from day one.</w:t>
      </w:r>
    </w:p>
    <w:p>
      <w:pPr>
        <w:keepNext/>
        <w:spacing w:before="160" w:after="80"/>
        <w:jc w:val="left"/>
      </w:pPr>
      <w:r>
        <w:rPr>
          <w:rFonts w:ascii="Times New Roman" w:hAnsi="Times New Roman" w:cs="Times New Roman"/>
          <w:b/>
          <w:i/>
          <w:sz w:val="24"/>
        </w:rPr>
        <w:t>C. Technical Risk Mitigation</w:t>
      </w:r>
    </w:p>
    <w:p>
      <w:pPr>
        <w:pStyle w:val="ListBullet"/>
        <w:spacing w:line="360" w:lineRule="auto" w:after="80"/>
        <w:jc w:val="both"/>
      </w:pPr>
      <w:r>
        <w:rPr>
          <w:rFonts w:ascii="Times New Roman" w:hAnsi="Times New Roman" w:cs="Times New Roman"/>
          <w:b w:val="0"/>
          <w:i w:val="0"/>
          <w:sz w:val="24"/>
        </w:rPr>
        <w:t>Annual third-party VAPT (Vulnerability Assessment and Penetration Testing) audits.</w:t>
      </w:r>
    </w:p>
    <w:p>
      <w:pPr>
        <w:pStyle w:val="ListBullet"/>
        <w:spacing w:line="360" w:lineRule="auto" w:after="80"/>
        <w:jc w:val="both"/>
      </w:pPr>
      <w:r>
        <w:rPr>
          <w:rFonts w:ascii="Times New Roman" w:hAnsi="Times New Roman" w:cs="Times New Roman"/>
          <w:b w:val="0"/>
          <w:i w:val="0"/>
          <w:sz w:val="24"/>
        </w:rPr>
        <w:t>SOC 2 Type II certification target within 24 months.</w:t>
      </w:r>
    </w:p>
    <w:p>
      <w:pPr>
        <w:pStyle w:val="ListBullet"/>
        <w:spacing w:line="360" w:lineRule="auto" w:after="80"/>
        <w:jc w:val="both"/>
      </w:pPr>
      <w:r>
        <w:rPr>
          <w:rFonts w:ascii="Times New Roman" w:hAnsi="Times New Roman" w:cs="Times New Roman"/>
          <w:b w:val="0"/>
          <w:i w:val="0"/>
          <w:sz w:val="24"/>
        </w:rPr>
        <w:t>Bug-bounty programme; ISO 27001 ISMS framework.</w:t>
      </w:r>
    </w:p>
    <w:p>
      <w:pPr>
        <w:pStyle w:val="ListBullet"/>
        <w:spacing w:line="360" w:lineRule="auto" w:after="80"/>
        <w:jc w:val="both"/>
      </w:pPr>
      <w:r>
        <w:rPr>
          <w:rFonts w:ascii="Times New Roman" w:hAnsi="Times New Roman" w:cs="Times New Roman"/>
          <w:b w:val="0"/>
          <w:i w:val="0"/>
          <w:sz w:val="24"/>
        </w:rPr>
        <w:t>Real-time anomaly detection on transaction patterns.</w:t>
      </w:r>
    </w:p>
    <w:p>
      <w:pPr>
        <w:keepNext/>
        <w:spacing w:before="160" w:after="80"/>
        <w:jc w:val="left"/>
      </w:pPr>
      <w:r>
        <w:rPr>
          <w:rFonts w:ascii="Times New Roman" w:hAnsi="Times New Roman" w:cs="Times New Roman"/>
          <w:b/>
          <w:i/>
          <w:sz w:val="24"/>
        </w:rPr>
        <w:t>D. Market-Adoption Risk Mitigation</w:t>
      </w:r>
    </w:p>
    <w:p>
      <w:pPr>
        <w:pStyle w:val="ListBullet"/>
        <w:spacing w:line="360" w:lineRule="auto" w:after="80"/>
        <w:jc w:val="both"/>
      </w:pPr>
      <w:r>
        <w:rPr>
          <w:rFonts w:ascii="Times New Roman" w:hAnsi="Times New Roman" w:cs="Times New Roman"/>
          <w:b w:val="0"/>
          <w:i w:val="0"/>
          <w:sz w:val="24"/>
        </w:rPr>
        <w:t>Voice-first, icon-driven UX for low-literacy users; on-ground demos at every village panchayat.</w:t>
      </w:r>
    </w:p>
    <w:p>
      <w:pPr>
        <w:pStyle w:val="ListBullet"/>
        <w:spacing w:line="360" w:lineRule="auto" w:after="80"/>
        <w:jc w:val="both"/>
      </w:pPr>
      <w:r>
        <w:rPr>
          <w:rFonts w:ascii="Times New Roman" w:hAnsi="Times New Roman" w:cs="Times New Roman"/>
          <w:b w:val="0"/>
          <w:i w:val="0"/>
          <w:sz w:val="24"/>
        </w:rPr>
        <w:t>Partner with FPOs that already enjoy farmer trust.</w:t>
      </w:r>
    </w:p>
    <w:p>
      <w:pPr>
        <w:pStyle w:val="ListBullet"/>
        <w:spacing w:line="360" w:lineRule="auto" w:after="80"/>
        <w:jc w:val="both"/>
      </w:pPr>
      <w:r>
        <w:rPr>
          <w:rFonts w:ascii="Times New Roman" w:hAnsi="Times New Roman" w:cs="Times New Roman"/>
          <w:b w:val="0"/>
          <w:i w:val="0"/>
          <w:sz w:val="24"/>
        </w:rPr>
        <w:t>Referral incentives to drive word-of-mouth.</w:t>
      </w:r>
    </w:p>
    <w:p>
      <w:pPr>
        <w:keepNext/>
        <w:spacing w:before="160" w:after="80"/>
        <w:jc w:val="left"/>
      </w:pPr>
      <w:r>
        <w:rPr>
          <w:rFonts w:ascii="Times New Roman" w:hAnsi="Times New Roman" w:cs="Times New Roman"/>
          <w:b/>
          <w:i/>
          <w:sz w:val="24"/>
        </w:rPr>
        <w:t>E. Operational Risk Mitigation</w:t>
      </w:r>
    </w:p>
    <w:p>
      <w:pPr>
        <w:pStyle w:val="ListBullet"/>
        <w:spacing w:line="360" w:lineRule="auto" w:after="80"/>
        <w:jc w:val="both"/>
      </w:pPr>
      <w:r>
        <w:rPr>
          <w:rFonts w:ascii="Times New Roman" w:hAnsi="Times New Roman" w:cs="Times New Roman"/>
          <w:b w:val="0"/>
          <w:i w:val="0"/>
          <w:sz w:val="24"/>
        </w:rPr>
        <w:t>Multi-vendor logistics strategy — never more than 35% volume with a single partner.</w:t>
      </w:r>
    </w:p>
    <w:p>
      <w:pPr>
        <w:pStyle w:val="ListBullet"/>
        <w:spacing w:line="360" w:lineRule="auto" w:after="80"/>
        <w:jc w:val="both"/>
      </w:pPr>
      <w:r>
        <w:rPr>
          <w:rFonts w:ascii="Times New Roman" w:hAnsi="Times New Roman" w:cs="Times New Roman"/>
          <w:b w:val="0"/>
          <w:i w:val="0"/>
          <w:sz w:val="24"/>
        </w:rPr>
        <w:t>Insurance for in-transit produce; SLA-driven contracts with monetary penalties.</w:t>
      </w:r>
    </w:p>
    <w:p>
      <w:pPr>
        <w:pStyle w:val="ListBullet"/>
        <w:spacing w:line="360" w:lineRule="auto" w:after="80"/>
        <w:jc w:val="both"/>
      </w:pPr>
      <w:r>
        <w:rPr>
          <w:rFonts w:ascii="Times New Roman" w:hAnsi="Times New Roman" w:cs="Times New Roman"/>
          <w:b w:val="0"/>
          <w:i w:val="0"/>
          <w:sz w:val="24"/>
        </w:rPr>
        <w:t>Surge capacity planning before known harvest peaks.</w:t>
      </w:r>
    </w:p>
    <w:p>
      <w:pPr>
        <w:keepNext/>
        <w:spacing w:before="160" w:after="80"/>
        <w:jc w:val="left"/>
      </w:pPr>
      <w:r>
        <w:rPr>
          <w:rFonts w:ascii="Times New Roman" w:hAnsi="Times New Roman" w:cs="Times New Roman"/>
          <w:b/>
          <w:i/>
          <w:sz w:val="24"/>
        </w:rPr>
        <w:t>F. Competitive Risk Mitigation</w:t>
      </w:r>
    </w:p>
    <w:p>
      <w:pPr>
        <w:pStyle w:val="ListBullet"/>
        <w:spacing w:line="360" w:lineRule="auto" w:after="80"/>
        <w:jc w:val="both"/>
      </w:pPr>
      <w:r>
        <w:rPr>
          <w:rFonts w:ascii="Times New Roman" w:hAnsi="Times New Roman" w:cs="Times New Roman"/>
          <w:b w:val="0"/>
          <w:i w:val="0"/>
          <w:sz w:val="24"/>
        </w:rPr>
        <w:t>Build deep moats: proprietary AI models trained on KrishiConnect data, hyperlocal FPO partnerships, and ONDC-first architecture.</w:t>
      </w:r>
    </w:p>
    <w:p>
      <w:pPr>
        <w:pStyle w:val="ListBullet"/>
        <w:spacing w:line="360" w:lineRule="auto" w:after="80"/>
        <w:jc w:val="both"/>
      </w:pPr>
      <w:r>
        <w:rPr>
          <w:rFonts w:ascii="Times New Roman" w:hAnsi="Times New Roman" w:cs="Times New Roman"/>
          <w:b w:val="0"/>
          <w:i w:val="0"/>
          <w:sz w:val="24"/>
        </w:rPr>
        <w:t>Focus on Tier-3 and Tier-4 agrarian belts that big-tech ignores in initial expansion.</w:t>
      </w:r>
    </w:p>
    <w:p>
      <w:pPr>
        <w:keepNext/>
        <w:spacing w:before="160" w:after="80"/>
        <w:jc w:val="left"/>
      </w:pPr>
      <w:r>
        <w:rPr>
          <w:rFonts w:ascii="Times New Roman" w:hAnsi="Times New Roman" w:cs="Times New Roman"/>
          <w:b/>
          <w:i/>
          <w:sz w:val="24"/>
        </w:rPr>
        <w:t>G. Climate / Macro Risk Mitigation</w:t>
      </w:r>
    </w:p>
    <w:p>
      <w:pPr>
        <w:pStyle w:val="ListBullet"/>
        <w:spacing w:line="360" w:lineRule="auto" w:after="80"/>
        <w:jc w:val="both"/>
      </w:pPr>
      <w:r>
        <w:rPr>
          <w:rFonts w:ascii="Times New Roman" w:hAnsi="Times New Roman" w:cs="Times New Roman"/>
          <w:b w:val="0"/>
          <w:i w:val="0"/>
          <w:sz w:val="24"/>
        </w:rPr>
        <w:t>Diversify across 12+ crop categories and 10+ states.</w:t>
      </w:r>
    </w:p>
    <w:p>
      <w:pPr>
        <w:pStyle w:val="ListBullet"/>
        <w:spacing w:line="360" w:lineRule="auto" w:after="80"/>
        <w:jc w:val="both"/>
      </w:pPr>
      <w:r>
        <w:rPr>
          <w:rFonts w:ascii="Times New Roman" w:hAnsi="Times New Roman" w:cs="Times New Roman"/>
          <w:b w:val="0"/>
          <w:i w:val="0"/>
          <w:sz w:val="24"/>
        </w:rPr>
        <w:t>Promote crop insurance heavily.</w:t>
      </w:r>
    </w:p>
    <w:p>
      <w:pPr>
        <w:pStyle w:val="ListBullet"/>
        <w:spacing w:line="360" w:lineRule="auto" w:after="80"/>
        <w:jc w:val="both"/>
      </w:pPr>
      <w:r>
        <w:rPr>
          <w:rFonts w:ascii="Times New Roman" w:hAnsi="Times New Roman" w:cs="Times New Roman"/>
          <w:b w:val="0"/>
          <w:i w:val="0"/>
          <w:sz w:val="24"/>
        </w:rPr>
        <w:t>Maintain 6-month operational reserve.</w:t>
      </w:r>
    </w:p>
    <w:p>
      <w:pPr>
        <w:keepNext/>
        <w:spacing w:before="160" w:after="80"/>
        <w:jc w:val="left"/>
      </w:pPr>
      <w:r>
        <w:rPr>
          <w:rFonts w:ascii="Times New Roman" w:hAnsi="Times New Roman" w:cs="Times New Roman"/>
          <w:b/>
          <w:i/>
          <w:sz w:val="24"/>
        </w:rPr>
        <w:t>H. Talent Risk Mitigation</w:t>
      </w:r>
    </w:p>
    <w:p>
      <w:pPr>
        <w:pStyle w:val="ListBullet"/>
        <w:spacing w:line="360" w:lineRule="auto" w:after="80"/>
        <w:jc w:val="both"/>
      </w:pPr>
      <w:r>
        <w:rPr>
          <w:rFonts w:ascii="Times New Roman" w:hAnsi="Times New Roman" w:cs="Times New Roman"/>
          <w:b w:val="0"/>
          <w:i w:val="0"/>
          <w:sz w:val="24"/>
        </w:rPr>
        <w:t>Competitive ESOP programme — 10 percent equity pool reserved for employees.</w:t>
      </w:r>
    </w:p>
    <w:p>
      <w:pPr>
        <w:pStyle w:val="ListBullet"/>
        <w:spacing w:line="360" w:lineRule="auto" w:after="80"/>
        <w:jc w:val="both"/>
      </w:pPr>
      <w:r>
        <w:rPr>
          <w:rFonts w:ascii="Times New Roman" w:hAnsi="Times New Roman" w:cs="Times New Roman"/>
          <w:b w:val="0"/>
          <w:i w:val="0"/>
          <w:sz w:val="24"/>
        </w:rPr>
        <w:t>Remote-first culture to widen talent pool.</w:t>
      </w:r>
    </w:p>
    <w:p>
      <w:pPr>
        <w:pStyle w:val="ListBullet"/>
        <w:spacing w:line="360" w:lineRule="auto" w:after="80"/>
        <w:jc w:val="both"/>
      </w:pPr>
      <w:r>
        <w:rPr>
          <w:rFonts w:ascii="Times New Roman" w:hAnsi="Times New Roman" w:cs="Times New Roman"/>
          <w:b w:val="0"/>
          <w:i w:val="0"/>
          <w:sz w:val="24"/>
        </w:rPr>
        <w:t>Continuous learning budget per employee.</w:t>
      </w:r>
    </w:p>
    <w:p>
      <w:pPr>
        <w:keepNext/>
        <w:spacing w:before="160" w:after="80"/>
        <w:jc w:val="left"/>
      </w:pPr>
      <w:r>
        <w:rPr>
          <w:rFonts w:ascii="Times New Roman" w:hAnsi="Times New Roman" w:cs="Times New Roman"/>
          <w:b/>
          <w:i/>
          <w:sz w:val="24"/>
        </w:rPr>
        <w:t>I. Supply-side Risk Mitigation</w:t>
      </w:r>
    </w:p>
    <w:p>
      <w:pPr>
        <w:pStyle w:val="ListBullet"/>
        <w:spacing w:line="360" w:lineRule="auto" w:after="80"/>
        <w:jc w:val="both"/>
      </w:pPr>
      <w:r>
        <w:rPr>
          <w:rFonts w:ascii="Times New Roman" w:hAnsi="Times New Roman" w:cs="Times New Roman"/>
          <w:b w:val="0"/>
          <w:i w:val="0"/>
          <w:sz w:val="24"/>
        </w:rPr>
        <w:t>Direct manufacturer tie-ups with verified quality certificates.</w:t>
      </w:r>
    </w:p>
    <w:p>
      <w:pPr>
        <w:pStyle w:val="ListBullet"/>
        <w:spacing w:line="360" w:lineRule="auto" w:after="80"/>
        <w:jc w:val="both"/>
      </w:pPr>
      <w:r>
        <w:rPr>
          <w:rFonts w:ascii="Times New Roman" w:hAnsi="Times New Roman" w:cs="Times New Roman"/>
          <w:b w:val="0"/>
          <w:i w:val="0"/>
          <w:sz w:val="24"/>
        </w:rPr>
        <w:t>Random batch testing at FPO collection centres.</w:t>
      </w:r>
    </w:p>
    <w:p>
      <w:pPr>
        <w:pStyle w:val="ListBullet"/>
        <w:spacing w:line="360" w:lineRule="auto" w:after="80"/>
        <w:jc w:val="both"/>
      </w:pPr>
      <w:r>
        <w:rPr>
          <w:rFonts w:ascii="Times New Roman" w:hAnsi="Times New Roman" w:cs="Times New Roman"/>
          <w:b w:val="0"/>
          <w:i w:val="0"/>
          <w:sz w:val="24"/>
        </w:rPr>
        <w:t>Strict three-strike policy for counterfeit suppliers.</w:t>
      </w:r>
    </w:p>
    <w:p>
      <w:r>
        <w:br w:type="page"/>
      </w:r>
    </w:p>
    <w:p>
      <w:pPr>
        <w:keepNext/>
        <w:spacing w:before="360" w:after="280"/>
        <w:jc w:val="left"/>
      </w:pPr>
      <w:r>
        <w:rPr>
          <w:rFonts w:ascii="Times New Roman" w:hAnsi="Times New Roman" w:cs="Times New Roman"/>
          <w:b/>
          <w:i w:val="0"/>
          <w:sz w:val="32"/>
        </w:rPr>
        <w:t>11. Conclusion and Future Scope</w:t>
      </w:r>
    </w:p>
    <w:p>
      <w:pPr>
        <w:keepNext/>
        <w:spacing w:before="240" w:after="160"/>
        <w:jc w:val="left"/>
      </w:pPr>
      <w:r>
        <w:rPr>
          <w:rFonts w:ascii="Times New Roman" w:hAnsi="Times New Roman" w:cs="Times New Roman"/>
          <w:b/>
          <w:i w:val="0"/>
          <w:sz w:val="28"/>
        </w:rPr>
        <w:t>11.1 Project Summary</w:t>
      </w:r>
    </w:p>
    <w:p>
      <w:pPr>
        <w:spacing w:line="360" w:lineRule="auto" w:after="160"/>
        <w:jc w:val="both"/>
      </w:pPr>
      <w:r>
        <w:rPr>
          <w:rFonts w:ascii="Times New Roman" w:hAnsi="Times New Roman" w:cs="Times New Roman"/>
          <w:b w:val="0"/>
          <w:i w:val="0"/>
          <w:sz w:val="24"/>
        </w:rPr>
        <w:t>KrishiConnect represents a meaningful, market-validated, and technology-anchored response to one of India's most enduring developmental challenges — the structural inefficiency of its agricultural value chain. By unifying market access, input supply, equipment rental, advisory, and finance in a single, vernacular, AI-driven mobile platform, KrishiConnect creates value for every stakeholder: farmers earn more, buyers source cheaper and traceable produce, lenders access a low-default borrower pool, and the broader economy benefits from reduced food waste and rural distress.</w:t>
      </w:r>
    </w:p>
    <w:p>
      <w:pPr>
        <w:spacing w:line="360" w:lineRule="auto" w:after="160"/>
        <w:jc w:val="both"/>
      </w:pPr>
      <w:r>
        <w:rPr>
          <w:rFonts w:ascii="Times New Roman" w:hAnsi="Times New Roman" w:cs="Times New Roman"/>
          <w:b w:val="0"/>
          <w:i w:val="0"/>
          <w:sz w:val="24"/>
        </w:rPr>
        <w:t>The startup's differentiated USPs — voice-first UX, reverse auctions, AI Crop Doctor, ONDC-native architecture, and embedded finance — combined with a multi-stream revenue model and tailwinds from India's Digital Agriculture Mission, position it not just as a viable business but as a potentially category-defining platform.</w:t>
      </w:r>
    </w:p>
    <w:p>
      <w:pPr>
        <w:keepNext/>
        <w:spacing w:before="240" w:after="160"/>
        <w:jc w:val="left"/>
      </w:pPr>
      <w:r>
        <w:rPr>
          <w:rFonts w:ascii="Times New Roman" w:hAnsi="Times New Roman" w:cs="Times New Roman"/>
          <w:b/>
          <w:i w:val="0"/>
          <w:sz w:val="28"/>
        </w:rPr>
        <w:t>11.2 Five-Year Strategic Roadmap</w:t>
      </w:r>
    </w:p>
    <w:p>
      <w:pPr>
        <w:keepNext/>
        <w:spacing w:before="160" w:after="80"/>
        <w:jc w:val="left"/>
      </w:pPr>
      <w:r>
        <w:rPr>
          <w:rFonts w:ascii="Times New Roman" w:hAnsi="Times New Roman" w:cs="Times New Roman"/>
          <w:b/>
          <w:i/>
          <w:sz w:val="24"/>
        </w:rPr>
        <w:t>Year 1 (2026-27) — Pilot and Validation</w:t>
      </w:r>
    </w:p>
    <w:p>
      <w:pPr>
        <w:pStyle w:val="ListBullet"/>
        <w:spacing w:line="360" w:lineRule="auto" w:after="80"/>
        <w:jc w:val="both"/>
      </w:pPr>
      <w:r>
        <w:rPr>
          <w:rFonts w:ascii="Times New Roman" w:hAnsi="Times New Roman" w:cs="Times New Roman"/>
          <w:b w:val="0"/>
          <w:i w:val="0"/>
          <w:sz w:val="24"/>
        </w:rPr>
        <w:t>Launch in 10 districts of Uttar Pradesh; reach 50,000 active farmers and 1,200 buyers.</w:t>
      </w:r>
    </w:p>
    <w:p>
      <w:pPr>
        <w:pStyle w:val="ListBullet"/>
        <w:spacing w:line="360" w:lineRule="auto" w:after="80"/>
        <w:jc w:val="both"/>
      </w:pPr>
      <w:r>
        <w:rPr>
          <w:rFonts w:ascii="Times New Roman" w:hAnsi="Times New Roman" w:cs="Times New Roman"/>
          <w:b w:val="0"/>
          <w:i w:val="0"/>
          <w:sz w:val="24"/>
        </w:rPr>
        <w:t>Achieve product-market fit; iterate AI advisor based on field feedback.</w:t>
      </w:r>
    </w:p>
    <w:p>
      <w:pPr>
        <w:pStyle w:val="ListBullet"/>
        <w:spacing w:line="360" w:lineRule="auto" w:after="80"/>
        <w:jc w:val="both"/>
      </w:pPr>
      <w:r>
        <w:rPr>
          <w:rFonts w:ascii="Times New Roman" w:hAnsi="Times New Roman" w:cs="Times New Roman"/>
          <w:b w:val="0"/>
          <w:i w:val="0"/>
          <w:sz w:val="24"/>
        </w:rPr>
        <w:t>Close pre-seed and seed rounds totalling ₹9 crore.</w:t>
      </w:r>
    </w:p>
    <w:p>
      <w:pPr>
        <w:keepNext/>
        <w:spacing w:before="160" w:after="80"/>
        <w:jc w:val="left"/>
      </w:pPr>
      <w:r>
        <w:rPr>
          <w:rFonts w:ascii="Times New Roman" w:hAnsi="Times New Roman" w:cs="Times New Roman"/>
          <w:b/>
          <w:i/>
          <w:sz w:val="24"/>
        </w:rPr>
        <w:t>Year 2 (2027-28) — Geographic Expansion</w:t>
      </w:r>
    </w:p>
    <w:p>
      <w:pPr>
        <w:pStyle w:val="ListBullet"/>
        <w:spacing w:line="360" w:lineRule="auto" w:after="80"/>
        <w:jc w:val="both"/>
      </w:pPr>
      <w:r>
        <w:rPr>
          <w:rFonts w:ascii="Times New Roman" w:hAnsi="Times New Roman" w:cs="Times New Roman"/>
          <w:b w:val="0"/>
          <w:i w:val="0"/>
          <w:sz w:val="24"/>
        </w:rPr>
        <w:t>Expand to Uttar Pradesh, Madhya Pradesh, Bihar, and Maharashtra; 3 lakh active farmers, 7,500 buyers.</w:t>
      </w:r>
    </w:p>
    <w:p>
      <w:pPr>
        <w:pStyle w:val="ListBullet"/>
        <w:spacing w:line="360" w:lineRule="auto" w:after="80"/>
        <w:jc w:val="both"/>
      </w:pPr>
      <w:r>
        <w:rPr>
          <w:rFonts w:ascii="Times New Roman" w:hAnsi="Times New Roman" w:cs="Times New Roman"/>
          <w:b w:val="0"/>
          <w:i w:val="0"/>
          <w:sz w:val="24"/>
        </w:rPr>
        <w:t>Launch KrishiPro premium subscription and equipment-rental network.</w:t>
      </w:r>
    </w:p>
    <w:p>
      <w:pPr>
        <w:pStyle w:val="ListBullet"/>
        <w:spacing w:line="360" w:lineRule="auto" w:after="80"/>
        <w:jc w:val="both"/>
      </w:pPr>
      <w:r>
        <w:rPr>
          <w:rFonts w:ascii="Times New Roman" w:hAnsi="Times New Roman" w:cs="Times New Roman"/>
          <w:b w:val="0"/>
          <w:i w:val="0"/>
          <w:sz w:val="24"/>
        </w:rPr>
        <w:t>Series A funding round (USD 10-12 million).</w:t>
      </w:r>
    </w:p>
    <w:p>
      <w:pPr>
        <w:keepNext/>
        <w:spacing w:before="160" w:after="80"/>
        <w:jc w:val="left"/>
      </w:pPr>
      <w:r>
        <w:rPr>
          <w:rFonts w:ascii="Times New Roman" w:hAnsi="Times New Roman" w:cs="Times New Roman"/>
          <w:b/>
          <w:i/>
          <w:sz w:val="24"/>
        </w:rPr>
        <w:t>Year 3 (2028-29) — National Coverage</w:t>
      </w:r>
    </w:p>
    <w:p>
      <w:pPr>
        <w:pStyle w:val="ListBullet"/>
        <w:spacing w:line="360" w:lineRule="auto" w:after="80"/>
        <w:jc w:val="both"/>
      </w:pPr>
      <w:r>
        <w:rPr>
          <w:rFonts w:ascii="Times New Roman" w:hAnsi="Times New Roman" w:cs="Times New Roman"/>
          <w:b w:val="0"/>
          <w:i w:val="0"/>
          <w:sz w:val="24"/>
        </w:rPr>
        <w:t>Operations in 18 states; 12 lakh farmers, 35,000 buyers; ₹2,400 crore GMV.</w:t>
      </w:r>
    </w:p>
    <w:p>
      <w:pPr>
        <w:pStyle w:val="ListBullet"/>
        <w:spacing w:line="360" w:lineRule="auto" w:after="80"/>
        <w:jc w:val="both"/>
      </w:pPr>
      <w:r>
        <w:rPr>
          <w:rFonts w:ascii="Times New Roman" w:hAnsi="Times New Roman" w:cs="Times New Roman"/>
          <w:b w:val="0"/>
          <w:i w:val="0"/>
          <w:sz w:val="24"/>
        </w:rPr>
        <w:t>Cross EBITDA break-even.</w:t>
      </w:r>
    </w:p>
    <w:p>
      <w:pPr>
        <w:pStyle w:val="ListBullet"/>
        <w:spacing w:line="360" w:lineRule="auto" w:after="80"/>
        <w:jc w:val="both"/>
      </w:pPr>
      <w:r>
        <w:rPr>
          <w:rFonts w:ascii="Times New Roman" w:hAnsi="Times New Roman" w:cs="Times New Roman"/>
          <w:b w:val="0"/>
          <w:i w:val="0"/>
          <w:sz w:val="24"/>
        </w:rPr>
        <w:t>Launch B2B export module for traceable Indian produce (basmati, spices, organic).</w:t>
      </w:r>
    </w:p>
    <w:p>
      <w:pPr>
        <w:keepNext/>
        <w:spacing w:before="160" w:after="80"/>
        <w:jc w:val="left"/>
      </w:pPr>
      <w:r>
        <w:rPr>
          <w:rFonts w:ascii="Times New Roman" w:hAnsi="Times New Roman" w:cs="Times New Roman"/>
          <w:b/>
          <w:i/>
          <w:sz w:val="24"/>
        </w:rPr>
        <w:t>Year 4 (2029-30) — Vertical Deepening</w:t>
      </w:r>
    </w:p>
    <w:p>
      <w:pPr>
        <w:pStyle w:val="ListBullet"/>
        <w:spacing w:line="360" w:lineRule="auto" w:after="80"/>
        <w:jc w:val="both"/>
      </w:pPr>
      <w:r>
        <w:rPr>
          <w:rFonts w:ascii="Times New Roman" w:hAnsi="Times New Roman" w:cs="Times New Roman"/>
          <w:b w:val="0"/>
          <w:i w:val="0"/>
          <w:sz w:val="24"/>
        </w:rPr>
        <w:t>Add dairy, poultry, fisheries, and apiculture marketplaces.</w:t>
      </w:r>
    </w:p>
    <w:p>
      <w:pPr>
        <w:pStyle w:val="ListBullet"/>
        <w:spacing w:line="360" w:lineRule="auto" w:after="80"/>
        <w:jc w:val="both"/>
      </w:pPr>
      <w:r>
        <w:rPr>
          <w:rFonts w:ascii="Times New Roman" w:hAnsi="Times New Roman" w:cs="Times New Roman"/>
          <w:b w:val="0"/>
          <w:i w:val="0"/>
          <w:sz w:val="24"/>
        </w:rPr>
        <w:t>Launch carbon-credit monetisation for sustainable farmers.</w:t>
      </w:r>
    </w:p>
    <w:p>
      <w:pPr>
        <w:pStyle w:val="ListBullet"/>
        <w:spacing w:line="360" w:lineRule="auto" w:after="80"/>
        <w:jc w:val="both"/>
      </w:pPr>
      <w:r>
        <w:rPr>
          <w:rFonts w:ascii="Times New Roman" w:hAnsi="Times New Roman" w:cs="Times New Roman"/>
          <w:b w:val="0"/>
          <w:i w:val="0"/>
          <w:sz w:val="24"/>
        </w:rPr>
        <w:t>Series B funding (USD 30-50 million); aim for 25 million registered farmers.</w:t>
      </w:r>
    </w:p>
    <w:p>
      <w:pPr>
        <w:keepNext/>
        <w:spacing w:before="160" w:after="80"/>
        <w:jc w:val="left"/>
      </w:pPr>
      <w:r>
        <w:rPr>
          <w:rFonts w:ascii="Times New Roman" w:hAnsi="Times New Roman" w:cs="Times New Roman"/>
          <w:b/>
          <w:i/>
          <w:sz w:val="24"/>
        </w:rPr>
        <w:t>Year 5 (2030-31) — International and IPO Readiness</w:t>
      </w:r>
    </w:p>
    <w:p>
      <w:pPr>
        <w:pStyle w:val="ListBullet"/>
        <w:spacing w:line="360" w:lineRule="auto" w:after="80"/>
        <w:jc w:val="both"/>
      </w:pPr>
      <w:r>
        <w:rPr>
          <w:rFonts w:ascii="Times New Roman" w:hAnsi="Times New Roman" w:cs="Times New Roman"/>
          <w:b w:val="0"/>
          <w:i w:val="0"/>
          <w:sz w:val="24"/>
        </w:rPr>
        <w:t>Pilot in Bangladesh, Nepal, Sri Lanka, and select African countries (Kenya, Nigeria) where smallholder dynamics mirror India.</w:t>
      </w:r>
    </w:p>
    <w:p>
      <w:pPr>
        <w:pStyle w:val="ListBullet"/>
        <w:spacing w:line="360" w:lineRule="auto" w:after="80"/>
        <w:jc w:val="both"/>
      </w:pPr>
      <w:r>
        <w:rPr>
          <w:rFonts w:ascii="Times New Roman" w:hAnsi="Times New Roman" w:cs="Times New Roman"/>
          <w:b w:val="0"/>
          <w:i w:val="0"/>
          <w:sz w:val="24"/>
        </w:rPr>
        <w:t>Strategic partnerships with FAO, World Bank IFC, and ADB for co-funded rural digitisation.</w:t>
      </w:r>
    </w:p>
    <w:p>
      <w:pPr>
        <w:pStyle w:val="ListBullet"/>
        <w:spacing w:line="360" w:lineRule="auto" w:after="80"/>
        <w:jc w:val="both"/>
      </w:pPr>
      <w:r>
        <w:rPr>
          <w:rFonts w:ascii="Times New Roman" w:hAnsi="Times New Roman" w:cs="Times New Roman"/>
          <w:b w:val="0"/>
          <w:i w:val="0"/>
          <w:sz w:val="24"/>
        </w:rPr>
        <w:t>IPO readiness via DRHP filing — targeting valuation of USD 1.2 to 1.5 billion (Unicorn status).</w:t>
      </w:r>
    </w:p>
    <w:p>
      <w:pPr>
        <w:keepNext/>
        <w:spacing w:before="240" w:after="160"/>
        <w:jc w:val="left"/>
      </w:pPr>
      <w:r>
        <w:rPr>
          <w:rFonts w:ascii="Times New Roman" w:hAnsi="Times New Roman" w:cs="Times New Roman"/>
          <w:b/>
          <w:i w:val="0"/>
          <w:sz w:val="28"/>
        </w:rPr>
        <w:t>11.3 Long-Term Future Scope</w:t>
      </w:r>
    </w:p>
    <w:p>
      <w:pPr>
        <w:pStyle w:val="ListBullet"/>
        <w:spacing w:line="360" w:lineRule="auto" w:after="80"/>
        <w:jc w:val="both"/>
      </w:pPr>
      <w:r>
        <w:rPr>
          <w:rFonts w:ascii="Times New Roman" w:hAnsi="Times New Roman" w:cs="Times New Roman"/>
          <w:b w:val="0"/>
          <w:i w:val="0"/>
          <w:sz w:val="24"/>
        </w:rPr>
        <w:t>Vertical Expansion — fisheries, dairy, apiculture, and agri-tourism.</w:t>
      </w:r>
    </w:p>
    <w:p>
      <w:pPr>
        <w:pStyle w:val="ListBullet"/>
        <w:spacing w:line="360" w:lineRule="auto" w:after="80"/>
        <w:jc w:val="both"/>
      </w:pPr>
      <w:r>
        <w:rPr>
          <w:rFonts w:ascii="Times New Roman" w:hAnsi="Times New Roman" w:cs="Times New Roman"/>
          <w:b w:val="0"/>
          <w:i w:val="0"/>
          <w:sz w:val="24"/>
        </w:rPr>
        <w:t>Geographic Expansion — Bangladesh, Nepal, Sri Lanka, Kenya, Nigeria.</w:t>
      </w:r>
    </w:p>
    <w:p>
      <w:pPr>
        <w:pStyle w:val="ListBullet"/>
        <w:spacing w:line="360" w:lineRule="auto" w:after="80"/>
        <w:jc w:val="both"/>
      </w:pPr>
      <w:r>
        <w:rPr>
          <w:rFonts w:ascii="Times New Roman" w:hAnsi="Times New Roman" w:cs="Times New Roman"/>
          <w:b w:val="0"/>
          <w:i w:val="0"/>
          <w:sz w:val="24"/>
        </w:rPr>
        <w:t>New Revenue Lines — carbon credits, agri-data licensing to research institutions, agri-input financing for FPOs.</w:t>
      </w:r>
    </w:p>
    <w:p>
      <w:pPr>
        <w:pStyle w:val="ListBullet"/>
        <w:spacing w:line="360" w:lineRule="auto" w:after="80"/>
        <w:jc w:val="both"/>
      </w:pPr>
      <w:r>
        <w:rPr>
          <w:rFonts w:ascii="Times New Roman" w:hAnsi="Times New Roman" w:cs="Times New Roman"/>
          <w:b w:val="0"/>
          <w:i w:val="0"/>
          <w:sz w:val="24"/>
        </w:rPr>
        <w:t>Deeper AI — generative models for personalised crop calendars, climate-resilient variety recommendation, and multi-modal advisory (image + voice + sensor).</w:t>
      </w:r>
    </w:p>
    <w:p>
      <w:pPr>
        <w:pStyle w:val="ListBullet"/>
        <w:spacing w:line="360" w:lineRule="auto" w:after="80"/>
        <w:jc w:val="both"/>
      </w:pPr>
      <w:r>
        <w:rPr>
          <w:rFonts w:ascii="Times New Roman" w:hAnsi="Times New Roman" w:cs="Times New Roman"/>
          <w:b w:val="0"/>
          <w:i w:val="0"/>
          <w:sz w:val="24"/>
        </w:rPr>
        <w:t>Web3 and Tokenisation — fractional ownership of high-value equipment, tokenised carbon credits, and decentralised farmer cooperatives.</w:t>
      </w:r>
    </w:p>
    <w:p>
      <w:pPr>
        <w:keepNext/>
        <w:spacing w:before="240" w:after="160"/>
        <w:jc w:val="left"/>
      </w:pPr>
      <w:r>
        <w:rPr>
          <w:rFonts w:ascii="Times New Roman" w:hAnsi="Times New Roman" w:cs="Times New Roman"/>
          <w:b/>
          <w:i w:val="0"/>
          <w:sz w:val="28"/>
        </w:rPr>
        <w:t>11.4 Closing Reflection</w:t>
      </w:r>
    </w:p>
    <w:p>
      <w:pPr>
        <w:spacing w:line="360" w:lineRule="auto" w:after="160"/>
        <w:jc w:val="both"/>
      </w:pPr>
      <w:r>
        <w:rPr>
          <w:rFonts w:ascii="Times New Roman" w:hAnsi="Times New Roman" w:cs="Times New Roman"/>
          <w:b w:val="0"/>
          <w:i w:val="0"/>
          <w:sz w:val="24"/>
        </w:rPr>
        <w:t>The greatest strength of KrishiConnect lies in its alignment of profit and purpose — every rupee the platform earns translates into measurable benefit at the farm gate. In an era where technology has reshaped finance, retail, mobility, and entertainment, agriculture remains the last great frontier of digital transformation. KrishiConnect is conceived to lead that transformation in India — not by displacing the farmer, but by amplifying his or her voice, bargaining power, and future.</w:t>
      </w:r>
    </w:p>
    <w:p>
      <w:pPr>
        <w:spacing w:line="360" w:lineRule="auto" w:after="160"/>
        <w:jc w:val="both"/>
      </w:pPr>
      <w:r>
        <w:rPr>
          <w:rFonts w:ascii="Times New Roman" w:hAnsi="Times New Roman" w:cs="Times New Roman"/>
          <w:b w:val="0"/>
          <w:i w:val="0"/>
          <w:sz w:val="24"/>
        </w:rPr>
        <w:t>This Startup and Entrepreneurial Activity Report has demonstrated, through structured analysis, that the proposed venture is technologically feasible, commercially viable, socially impactful, and strategically timely. The journey from an academic concept to a fully scaled enterprise is, of course, long and uncertain — but the convergence of public infrastructure, market readiness, and capital availability suggests that the window for action is open now. The work done in compiling this report has, for the author, served not merely as an academic exercise but as the first concrete step in a longer entrepreneurial journey.</w:t>
      </w:r>
    </w:p>
    <w:p>
      <w:r>
        <w:br w:type="page"/>
      </w:r>
    </w:p>
    <w:p>
      <w:pPr>
        <w:keepNext/>
        <w:spacing w:before="360" w:after="280"/>
        <w:jc w:val="left"/>
      </w:pPr>
      <w:r>
        <w:rPr>
          <w:rFonts w:ascii="Times New Roman" w:hAnsi="Times New Roman" w:cs="Times New Roman"/>
          <w:b/>
          <w:i w:val="0"/>
          <w:sz w:val="32"/>
        </w:rPr>
        <w:t>12. References</w:t>
      </w:r>
    </w:p>
    <w:p>
      <w:pPr>
        <w:spacing w:line="360" w:lineRule="auto" w:after="120"/>
        <w:ind w:left="576" w:hanging="576"/>
        <w:jc w:val="both"/>
      </w:pPr>
      <w:r>
        <w:rPr>
          <w:rFonts w:ascii="Times New Roman" w:hAnsi="Times New Roman" w:cs="Times New Roman"/>
          <w:b w:val="0"/>
          <w:i w:val="0"/>
          <w:sz w:val="24"/>
        </w:rPr>
        <w:t>[1] Ministry of Agriculture &amp; Farmers Welfare, Government of India. (2025). Annual Report 2024-25. Retrieved from https://agriculture.gov.in.</w:t>
      </w:r>
    </w:p>
    <w:p>
      <w:pPr>
        <w:spacing w:line="360" w:lineRule="auto" w:after="120"/>
        <w:ind w:left="576" w:hanging="576"/>
        <w:jc w:val="both"/>
      </w:pPr>
      <w:r>
        <w:rPr>
          <w:rFonts w:ascii="Times New Roman" w:hAnsi="Times New Roman" w:cs="Times New Roman"/>
          <w:b w:val="0"/>
          <w:i w:val="0"/>
          <w:sz w:val="24"/>
        </w:rPr>
        <w:t>[2] NABARD. (2023). All-India Rural Financial Inclusion Survey (NAFIS) 2021-22. National Bank for Agriculture and Rural Development, Mumbai.</w:t>
      </w:r>
    </w:p>
    <w:p>
      <w:pPr>
        <w:spacing w:line="360" w:lineRule="auto" w:after="120"/>
        <w:ind w:left="576" w:hanging="576"/>
        <w:jc w:val="both"/>
      </w:pPr>
      <w:r>
        <w:rPr>
          <w:rFonts w:ascii="Times New Roman" w:hAnsi="Times New Roman" w:cs="Times New Roman"/>
          <w:b w:val="0"/>
          <w:i w:val="0"/>
          <w:sz w:val="24"/>
        </w:rPr>
        <w:t>[3] Bain &amp; Company and EY-NASSCOM. (2024). Indian Agritech: Unlocking the USD 34 Billion Opportunity. Joint Industry Report.</w:t>
      </w:r>
    </w:p>
    <w:p>
      <w:pPr>
        <w:spacing w:line="360" w:lineRule="auto" w:after="120"/>
        <w:ind w:left="576" w:hanging="576"/>
        <w:jc w:val="both"/>
      </w:pPr>
      <w:r>
        <w:rPr>
          <w:rFonts w:ascii="Times New Roman" w:hAnsi="Times New Roman" w:cs="Times New Roman"/>
          <w:b w:val="0"/>
          <w:i w:val="0"/>
          <w:sz w:val="24"/>
        </w:rPr>
        <w:t>[4] NITI Aayog. (2024). Doubling Farmers' Income — Implementation Strategy. Government of India.</w:t>
      </w:r>
    </w:p>
    <w:p>
      <w:pPr>
        <w:spacing w:line="360" w:lineRule="auto" w:after="120"/>
        <w:ind w:left="576" w:hanging="576"/>
        <w:jc w:val="both"/>
      </w:pPr>
      <w:r>
        <w:rPr>
          <w:rFonts w:ascii="Times New Roman" w:hAnsi="Times New Roman" w:cs="Times New Roman"/>
          <w:b w:val="0"/>
          <w:i w:val="0"/>
          <w:sz w:val="24"/>
        </w:rPr>
        <w:t>[5] Open Network for Digital Commerce (ONDC). (2025). ONDC for Agriculture — Reference Architecture v2.1. Retrieved from https://ondc.org.</w:t>
      </w:r>
    </w:p>
    <w:p>
      <w:pPr>
        <w:spacing w:line="360" w:lineRule="auto" w:after="120"/>
        <w:ind w:left="576" w:hanging="576"/>
        <w:jc w:val="both"/>
      </w:pPr>
      <w:r>
        <w:rPr>
          <w:rFonts w:ascii="Times New Roman" w:hAnsi="Times New Roman" w:cs="Times New Roman"/>
          <w:b w:val="0"/>
          <w:i w:val="0"/>
          <w:sz w:val="24"/>
        </w:rPr>
        <w:t>[6] Ministry of Electronics and Information Technology. (2023). The Digital Personal Data Protection Act, 2023. Government of India.</w:t>
      </w:r>
    </w:p>
    <w:p>
      <w:pPr>
        <w:spacing w:line="360" w:lineRule="auto" w:after="120"/>
        <w:ind w:left="576" w:hanging="576"/>
        <w:jc w:val="both"/>
      </w:pPr>
      <w:r>
        <w:rPr>
          <w:rFonts w:ascii="Times New Roman" w:hAnsi="Times New Roman" w:cs="Times New Roman"/>
          <w:b w:val="0"/>
          <w:i w:val="0"/>
          <w:sz w:val="24"/>
        </w:rPr>
        <w:t>[7] ICAR. (2024). Vision 2050 — Indian Council of Agricultural Research. New Delhi.</w:t>
      </w:r>
    </w:p>
    <w:p>
      <w:pPr>
        <w:spacing w:line="360" w:lineRule="auto" w:after="120"/>
        <w:ind w:left="576" w:hanging="576"/>
        <w:jc w:val="both"/>
      </w:pPr>
      <w:r>
        <w:rPr>
          <w:rFonts w:ascii="Times New Roman" w:hAnsi="Times New Roman" w:cs="Times New Roman"/>
          <w:b w:val="0"/>
          <w:i w:val="0"/>
          <w:sz w:val="24"/>
        </w:rPr>
        <w:t>[8] World Bank. (2023). India Agriculture Overview. Washington D.C.</w:t>
      </w:r>
    </w:p>
    <w:p>
      <w:pPr>
        <w:spacing w:line="360" w:lineRule="auto" w:after="120"/>
        <w:ind w:left="576" w:hanging="576"/>
        <w:jc w:val="both"/>
      </w:pPr>
      <w:r>
        <w:rPr>
          <w:rFonts w:ascii="Times New Roman" w:hAnsi="Times New Roman" w:cs="Times New Roman"/>
          <w:b w:val="0"/>
          <w:i w:val="0"/>
          <w:sz w:val="24"/>
        </w:rPr>
        <w:t>[9] FAO. (2024). The State of Food and Agriculture 2024. Food and Agriculture Organization of the United Nations.</w:t>
      </w:r>
    </w:p>
    <w:p>
      <w:pPr>
        <w:spacing w:line="360" w:lineRule="auto" w:after="120"/>
        <w:ind w:left="576" w:hanging="576"/>
        <w:jc w:val="both"/>
      </w:pPr>
      <w:r>
        <w:rPr>
          <w:rFonts w:ascii="Times New Roman" w:hAnsi="Times New Roman" w:cs="Times New Roman"/>
          <w:b w:val="0"/>
          <w:i w:val="0"/>
          <w:sz w:val="24"/>
        </w:rPr>
        <w:t>[10] IBEF. (2025). Indian Agriculture and Allied Industries Report. India Brand Equity Foundation.</w:t>
      </w:r>
    </w:p>
    <w:p>
      <w:pPr>
        <w:spacing w:line="360" w:lineRule="auto" w:after="120"/>
        <w:ind w:left="576" w:hanging="576"/>
        <w:jc w:val="both"/>
      </w:pPr>
      <w:r>
        <w:rPr>
          <w:rFonts w:ascii="Times New Roman" w:hAnsi="Times New Roman" w:cs="Times New Roman"/>
          <w:b w:val="0"/>
          <w:i w:val="0"/>
          <w:sz w:val="24"/>
        </w:rPr>
        <w:t>[11] TechSci Research. (2024). India Agritech Market — Forecast and Opportunities, 2030.</w:t>
      </w:r>
    </w:p>
    <w:p>
      <w:pPr>
        <w:spacing w:line="360" w:lineRule="auto" w:after="120"/>
        <w:ind w:left="576" w:hanging="576"/>
        <w:jc w:val="both"/>
      </w:pPr>
      <w:r>
        <w:rPr>
          <w:rFonts w:ascii="Times New Roman" w:hAnsi="Times New Roman" w:cs="Times New Roman"/>
          <w:b w:val="0"/>
          <w:i w:val="0"/>
          <w:sz w:val="24"/>
        </w:rPr>
        <w:t>[12] McKinsey &amp; Company. (2023). Harvesting Golden Opportunities in Indian Agriculture.</w:t>
      </w:r>
    </w:p>
    <w:p>
      <w:pPr>
        <w:spacing w:line="360" w:lineRule="auto" w:after="120"/>
        <w:ind w:left="576" w:hanging="576"/>
        <w:jc w:val="both"/>
      </w:pPr>
      <w:r>
        <w:rPr>
          <w:rFonts w:ascii="Times New Roman" w:hAnsi="Times New Roman" w:cs="Times New Roman"/>
          <w:b w:val="0"/>
          <w:i w:val="0"/>
          <w:sz w:val="24"/>
        </w:rPr>
        <w:t>[13] Inc42. (2025). Indian Agritech Funding Report — H1 2025. Retrieved from https://inc42.com.</w:t>
      </w:r>
    </w:p>
    <w:p>
      <w:pPr>
        <w:spacing w:line="360" w:lineRule="auto" w:after="120"/>
        <w:ind w:left="576" w:hanging="576"/>
        <w:jc w:val="both"/>
      </w:pPr>
      <w:r>
        <w:rPr>
          <w:rFonts w:ascii="Times New Roman" w:hAnsi="Times New Roman" w:cs="Times New Roman"/>
          <w:b w:val="0"/>
          <w:i w:val="0"/>
          <w:sz w:val="24"/>
        </w:rPr>
        <w:t>[14] Ministry of Rural Development. (2025). Self-Help Group and FPO Implementation Status. Government of India.</w:t>
      </w:r>
    </w:p>
    <w:p>
      <w:pPr>
        <w:spacing w:line="360" w:lineRule="auto" w:after="120"/>
        <w:ind w:left="576" w:hanging="576"/>
        <w:jc w:val="both"/>
      </w:pPr>
      <w:r>
        <w:rPr>
          <w:rFonts w:ascii="Times New Roman" w:hAnsi="Times New Roman" w:cs="Times New Roman"/>
          <w:b w:val="0"/>
          <w:i w:val="0"/>
          <w:sz w:val="24"/>
        </w:rPr>
        <w:t>[15] Kshetri, N. (2022). Blockchain and Sustainable Supply Chain Management in Developing Countries. International Journal of Information Management, 60.</w:t>
      </w:r>
    </w:p>
    <w:p>
      <w:pPr>
        <w:spacing w:line="360" w:lineRule="auto" w:after="120"/>
        <w:ind w:left="576" w:hanging="576"/>
        <w:jc w:val="both"/>
      </w:pPr>
      <w:r>
        <w:rPr>
          <w:rFonts w:ascii="Times New Roman" w:hAnsi="Times New Roman" w:cs="Times New Roman"/>
          <w:b w:val="0"/>
          <w:i w:val="0"/>
          <w:sz w:val="24"/>
        </w:rPr>
        <w:t>[16] DeHaat. (2024). Annual Impact Report. Retrieved from https://agrevolution.in.</w:t>
      </w:r>
    </w:p>
    <w:p>
      <w:pPr>
        <w:spacing w:line="360" w:lineRule="auto" w:after="120"/>
        <w:ind w:left="576" w:hanging="576"/>
        <w:jc w:val="both"/>
      </w:pPr>
      <w:r>
        <w:rPr>
          <w:rFonts w:ascii="Times New Roman" w:hAnsi="Times New Roman" w:cs="Times New Roman"/>
          <w:b w:val="0"/>
          <w:i w:val="0"/>
          <w:sz w:val="24"/>
        </w:rPr>
        <w:t>[17] AgroStar. (2024). Farmer Engagement Insights Report. Retrieved from https://agrostar.in.</w:t>
      </w:r>
    </w:p>
    <w:p>
      <w:pPr>
        <w:spacing w:line="360" w:lineRule="auto" w:after="120"/>
        <w:ind w:left="576" w:hanging="576"/>
        <w:jc w:val="both"/>
      </w:pPr>
      <w:r>
        <w:rPr>
          <w:rFonts w:ascii="Times New Roman" w:hAnsi="Times New Roman" w:cs="Times New Roman"/>
          <w:b w:val="0"/>
          <w:i w:val="0"/>
          <w:sz w:val="24"/>
        </w:rPr>
        <w:t>[18] Press Information Bureau. (2024). Digital Agriculture Mission — Cabinet Approval Note. Retrieved from https://pib.gov.in.</w:t>
      </w:r>
    </w:p>
    <w:p>
      <w:pPr>
        <w:spacing w:line="360" w:lineRule="auto" w:after="120"/>
        <w:ind w:left="576" w:hanging="576"/>
        <w:jc w:val="both"/>
      </w:pPr>
      <w:r>
        <w:rPr>
          <w:rFonts w:ascii="Times New Roman" w:hAnsi="Times New Roman" w:cs="Times New Roman"/>
          <w:b w:val="0"/>
          <w:i w:val="0"/>
          <w:sz w:val="24"/>
        </w:rPr>
        <w:t>[19] IIM Ahmedabad — CMA. (2023). Smallholder Farmer Income and Access Study. Centre for Management in Agriculture.</w:t>
      </w:r>
    </w:p>
    <w:p>
      <w:pPr>
        <w:spacing w:line="360" w:lineRule="auto" w:after="120"/>
        <w:ind w:left="576" w:hanging="576"/>
        <w:jc w:val="both"/>
      </w:pPr>
      <w:r>
        <w:rPr>
          <w:rFonts w:ascii="Times New Roman" w:hAnsi="Times New Roman" w:cs="Times New Roman"/>
          <w:b w:val="0"/>
          <w:i w:val="0"/>
          <w:sz w:val="24"/>
        </w:rPr>
        <w:t>[20] KANTAR. (2025). Rural Smartphone Index — KANTAR ICUBE 2025 Report.</w:t>
      </w:r>
    </w:p>
    <w:p>
      <w:pPr>
        <w:spacing w:line="360" w:lineRule="auto" w:after="120"/>
        <w:ind w:left="576" w:hanging="576"/>
        <w:jc w:val="both"/>
      </w:pPr>
      <w:r>
        <w:rPr>
          <w:rFonts w:ascii="Times New Roman" w:hAnsi="Times New Roman" w:cs="Times New Roman"/>
          <w:b w:val="0"/>
          <w:i w:val="0"/>
          <w:sz w:val="24"/>
        </w:rPr>
        <w:t>[21] Reserve Bank of India. (2024). Report on Trend and Progress of Banking in India 2023-24. RBI Mumbai.</w:t>
      </w:r>
    </w:p>
    <w:p>
      <w:pPr>
        <w:spacing w:line="360" w:lineRule="auto" w:after="120"/>
        <w:ind w:left="576" w:hanging="576"/>
        <w:jc w:val="both"/>
      </w:pPr>
      <w:r>
        <w:rPr>
          <w:rFonts w:ascii="Times New Roman" w:hAnsi="Times New Roman" w:cs="Times New Roman"/>
          <w:b w:val="0"/>
          <w:i w:val="0"/>
          <w:sz w:val="24"/>
        </w:rPr>
        <w:t>[22] PwC India. (2024). Indian Agritech: A USD 24 Billion Opportunity. PricewaterhouseCoopers India.</w:t>
      </w:r>
    </w:p>
    <w:p>
      <w:pPr>
        <w:spacing w:line="360" w:lineRule="auto" w:after="120"/>
        <w:ind w:left="576" w:hanging="576"/>
        <w:jc w:val="both"/>
      </w:pPr>
      <w:r>
        <w:rPr>
          <w:rFonts w:ascii="Times New Roman" w:hAnsi="Times New Roman" w:cs="Times New Roman"/>
          <w:b w:val="0"/>
          <w:i w:val="0"/>
          <w:sz w:val="24"/>
        </w:rPr>
        <w:t>[23] CII. (2024). Vision 2030 for Indian Agriculture. Confederation of Indian Industry.</w:t>
      </w:r>
    </w:p>
    <w:p>
      <w:pPr>
        <w:spacing w:line="360" w:lineRule="auto" w:after="120"/>
        <w:ind w:left="576" w:hanging="576"/>
        <w:jc w:val="both"/>
      </w:pPr>
      <w:r>
        <w:rPr>
          <w:rFonts w:ascii="Times New Roman" w:hAnsi="Times New Roman" w:cs="Times New Roman"/>
          <w:b w:val="0"/>
          <w:i w:val="0"/>
          <w:sz w:val="24"/>
        </w:rPr>
        <w:t>[24] Department of Agricultural Research and Education. (2024). Annual Report 2023-24. Ministry of Agriculture and Farmers' Welfare, GoI.</w:t>
      </w:r>
    </w:p>
    <w:p>
      <w:pPr>
        <w:spacing w:line="360" w:lineRule="auto" w:after="120"/>
        <w:ind w:left="576" w:hanging="576"/>
        <w:jc w:val="both"/>
      </w:pPr>
      <w:r>
        <w:rPr>
          <w:rFonts w:ascii="Times New Roman" w:hAnsi="Times New Roman" w:cs="Times New Roman"/>
          <w:b w:val="0"/>
          <w:i w:val="0"/>
          <w:sz w:val="24"/>
        </w:rPr>
        <w:t>[25] World Economic Forum. (2024). Innovation with a Purpose: Improving Agricultural Value Chains. Geneva: WEF.</w:t>
      </w:r>
    </w:p>
    <w:p>
      <w:r>
        <w:br w:type="page"/>
      </w:r>
    </w:p>
    <w:p>
      <w:pPr>
        <w:keepNext/>
        <w:spacing w:before="360" w:after="280"/>
        <w:jc w:val="left"/>
      </w:pPr>
      <w:r>
        <w:rPr>
          <w:rFonts w:ascii="Times New Roman" w:hAnsi="Times New Roman" w:cs="Times New Roman"/>
          <w:b/>
          <w:i w:val="0"/>
          <w:sz w:val="32"/>
        </w:rPr>
        <w:t>13. Appendices</w:t>
      </w:r>
    </w:p>
    <w:p>
      <w:pPr>
        <w:keepNext/>
        <w:spacing w:before="240" w:after="160"/>
        <w:jc w:val="left"/>
      </w:pPr>
      <w:r>
        <w:rPr>
          <w:rFonts w:ascii="Times New Roman" w:hAnsi="Times New Roman" w:cs="Times New Roman"/>
          <w:b/>
          <w:i w:val="0"/>
          <w:sz w:val="28"/>
        </w:rPr>
        <w:t>Appendix A — Glossary of Terms</w:t>
      </w:r>
    </w:p>
    <w:tbl>
      <w:tblPr>
        <w:tblStyle w:val="LightGrid-Accent1"/>
        <w:tblW w:type="auto" w:w="0"/>
        <w:jc w:val="center"/>
        <w:tblLook w:firstColumn="1" w:firstRow="1" w:lastColumn="0" w:lastRow="0" w:noHBand="0" w:noVBand="1" w:val="04A0"/>
      </w:tblPr>
      <w:tblGrid>
        <w:gridCol w:w="4500"/>
        <w:gridCol w:w="4500"/>
      </w:tblGrid>
      <w:tr>
        <w:tc>
          <w:tcPr>
            <w:tcW w:type="dxa" w:w="2160"/>
          </w:tcPr>
          <w:p>
            <w:pPr>
              <w:spacing w:line="276" w:lineRule="auto" w:after="40"/>
              <w:jc w:val="left"/>
            </w:pPr>
            <w:r/>
            <w:r>
              <w:rPr>
                <w:rFonts w:ascii="Times New Roman" w:hAnsi="Times New Roman" w:cs="Times New Roman"/>
                <w:b/>
                <w:i w:val="0"/>
                <w:sz w:val="22"/>
              </w:rPr>
              <w:t>Term</w:t>
            </w:r>
          </w:p>
        </w:tc>
        <w:tc>
          <w:tcPr>
            <w:tcW w:type="dxa" w:w="6624"/>
          </w:tcPr>
          <w:p>
            <w:pPr>
              <w:spacing w:line="276" w:lineRule="auto" w:after="40"/>
              <w:jc w:val="left"/>
            </w:pPr>
            <w:r/>
            <w:r>
              <w:rPr>
                <w:rFonts w:ascii="Times New Roman" w:hAnsi="Times New Roman" w:cs="Times New Roman"/>
                <w:b/>
                <w:i w:val="0"/>
                <w:sz w:val="22"/>
              </w:rPr>
              <w:t>Definition</w:t>
            </w:r>
          </w:p>
        </w:tc>
      </w:tr>
      <w:tr>
        <w:tc>
          <w:tcPr>
            <w:tcW w:type="dxa" w:w="2160"/>
          </w:tcPr>
          <w:p>
            <w:pPr>
              <w:spacing w:line="276" w:lineRule="auto" w:after="40"/>
              <w:jc w:val="left"/>
            </w:pPr>
            <w:r/>
            <w:r>
              <w:rPr>
                <w:rFonts w:ascii="Times New Roman" w:hAnsi="Times New Roman" w:cs="Times New Roman"/>
                <w:b w:val="0"/>
                <w:i w:val="0"/>
                <w:sz w:val="22"/>
              </w:rPr>
              <w:t>AgriStack</w:t>
            </w:r>
          </w:p>
        </w:tc>
        <w:tc>
          <w:tcPr>
            <w:tcW w:type="dxa" w:w="6624"/>
          </w:tcPr>
          <w:p>
            <w:pPr>
              <w:spacing w:line="276" w:lineRule="auto" w:after="40"/>
              <w:jc w:val="left"/>
            </w:pPr>
            <w:r/>
            <w:r>
              <w:rPr>
                <w:rFonts w:ascii="Times New Roman" w:hAnsi="Times New Roman" w:cs="Times New Roman"/>
                <w:b w:val="0"/>
                <w:i w:val="0"/>
                <w:sz w:val="22"/>
              </w:rPr>
              <w:t>Government-of-India digital framework for unified farmer database and services.</w:t>
            </w:r>
          </w:p>
        </w:tc>
      </w:tr>
      <w:tr>
        <w:tc>
          <w:tcPr>
            <w:tcW w:type="dxa" w:w="2160"/>
          </w:tcPr>
          <w:p>
            <w:pPr>
              <w:spacing w:line="276" w:lineRule="auto" w:after="40"/>
              <w:jc w:val="left"/>
            </w:pPr>
            <w:r/>
            <w:r>
              <w:rPr>
                <w:rFonts w:ascii="Times New Roman" w:hAnsi="Times New Roman" w:cs="Times New Roman"/>
                <w:b w:val="0"/>
                <w:i w:val="0"/>
                <w:sz w:val="22"/>
              </w:rPr>
              <w:t>APMC</w:t>
            </w:r>
          </w:p>
        </w:tc>
        <w:tc>
          <w:tcPr>
            <w:tcW w:type="dxa" w:w="6624"/>
          </w:tcPr>
          <w:p>
            <w:pPr>
              <w:spacing w:line="276" w:lineRule="auto" w:after="40"/>
              <w:jc w:val="left"/>
            </w:pPr>
            <w:r/>
            <w:r>
              <w:rPr>
                <w:rFonts w:ascii="Times New Roman" w:hAnsi="Times New Roman" w:cs="Times New Roman"/>
                <w:b w:val="0"/>
                <w:i w:val="0"/>
                <w:sz w:val="22"/>
              </w:rPr>
              <w:t>Agricultural Produce Market Committee — state-regulated wholesale produce markets.</w:t>
            </w:r>
          </w:p>
        </w:tc>
      </w:tr>
      <w:tr>
        <w:tc>
          <w:tcPr>
            <w:tcW w:type="dxa" w:w="2160"/>
          </w:tcPr>
          <w:p>
            <w:pPr>
              <w:spacing w:line="276" w:lineRule="auto" w:after="40"/>
              <w:jc w:val="left"/>
            </w:pPr>
            <w:r/>
            <w:r>
              <w:rPr>
                <w:rFonts w:ascii="Times New Roman" w:hAnsi="Times New Roman" w:cs="Times New Roman"/>
                <w:b w:val="0"/>
                <w:i w:val="0"/>
                <w:sz w:val="22"/>
              </w:rPr>
              <w:t>CAC</w:t>
            </w:r>
          </w:p>
        </w:tc>
        <w:tc>
          <w:tcPr>
            <w:tcW w:type="dxa" w:w="6624"/>
          </w:tcPr>
          <w:p>
            <w:pPr>
              <w:spacing w:line="276" w:lineRule="auto" w:after="40"/>
              <w:jc w:val="left"/>
            </w:pPr>
            <w:r/>
            <w:r>
              <w:rPr>
                <w:rFonts w:ascii="Times New Roman" w:hAnsi="Times New Roman" w:cs="Times New Roman"/>
                <w:b w:val="0"/>
                <w:i w:val="0"/>
                <w:sz w:val="22"/>
              </w:rPr>
              <w:t>Customer Acquisition Cost — average cost incurred to acquire one paying user.</w:t>
            </w:r>
          </w:p>
        </w:tc>
      </w:tr>
      <w:tr>
        <w:tc>
          <w:tcPr>
            <w:tcW w:type="dxa" w:w="2160"/>
          </w:tcPr>
          <w:p>
            <w:pPr>
              <w:spacing w:line="276" w:lineRule="auto" w:after="40"/>
              <w:jc w:val="left"/>
            </w:pPr>
            <w:r/>
            <w:r>
              <w:rPr>
                <w:rFonts w:ascii="Times New Roman" w:hAnsi="Times New Roman" w:cs="Times New Roman"/>
                <w:b w:val="0"/>
                <w:i w:val="0"/>
                <w:sz w:val="22"/>
              </w:rPr>
              <w:t>CAGR</w:t>
            </w:r>
          </w:p>
        </w:tc>
        <w:tc>
          <w:tcPr>
            <w:tcW w:type="dxa" w:w="6624"/>
          </w:tcPr>
          <w:p>
            <w:pPr>
              <w:spacing w:line="276" w:lineRule="auto" w:after="40"/>
              <w:jc w:val="left"/>
            </w:pPr>
            <w:r/>
            <w:r>
              <w:rPr>
                <w:rFonts w:ascii="Times New Roman" w:hAnsi="Times New Roman" w:cs="Times New Roman"/>
                <w:b w:val="0"/>
                <w:i w:val="0"/>
                <w:sz w:val="22"/>
              </w:rPr>
              <w:t>Compound Annual Growth Rate.</w:t>
            </w:r>
          </w:p>
        </w:tc>
      </w:tr>
      <w:tr>
        <w:tc>
          <w:tcPr>
            <w:tcW w:type="dxa" w:w="2160"/>
          </w:tcPr>
          <w:p>
            <w:pPr>
              <w:spacing w:line="276" w:lineRule="auto" w:after="40"/>
              <w:jc w:val="left"/>
            </w:pPr>
            <w:r/>
            <w:r>
              <w:rPr>
                <w:rFonts w:ascii="Times New Roman" w:hAnsi="Times New Roman" w:cs="Times New Roman"/>
                <w:b w:val="0"/>
                <w:i w:val="0"/>
                <w:sz w:val="22"/>
              </w:rPr>
              <w:t>DPDPA</w:t>
            </w:r>
          </w:p>
        </w:tc>
        <w:tc>
          <w:tcPr>
            <w:tcW w:type="dxa" w:w="6624"/>
          </w:tcPr>
          <w:p>
            <w:pPr>
              <w:spacing w:line="276" w:lineRule="auto" w:after="40"/>
              <w:jc w:val="left"/>
            </w:pPr>
            <w:r/>
            <w:r>
              <w:rPr>
                <w:rFonts w:ascii="Times New Roman" w:hAnsi="Times New Roman" w:cs="Times New Roman"/>
                <w:b w:val="0"/>
                <w:i w:val="0"/>
                <w:sz w:val="22"/>
              </w:rPr>
              <w:t>Digital Personal Data Protection Act, 2023 — India's primary data-privacy law.</w:t>
            </w:r>
          </w:p>
        </w:tc>
      </w:tr>
      <w:tr>
        <w:tc>
          <w:tcPr>
            <w:tcW w:type="dxa" w:w="2160"/>
          </w:tcPr>
          <w:p>
            <w:pPr>
              <w:spacing w:line="276" w:lineRule="auto" w:after="40"/>
              <w:jc w:val="left"/>
            </w:pPr>
            <w:r/>
            <w:r>
              <w:rPr>
                <w:rFonts w:ascii="Times New Roman" w:hAnsi="Times New Roman" w:cs="Times New Roman"/>
                <w:b w:val="0"/>
                <w:i w:val="0"/>
                <w:sz w:val="22"/>
              </w:rPr>
              <w:t>e-NAM</w:t>
            </w:r>
          </w:p>
        </w:tc>
        <w:tc>
          <w:tcPr>
            <w:tcW w:type="dxa" w:w="6624"/>
          </w:tcPr>
          <w:p>
            <w:pPr>
              <w:spacing w:line="276" w:lineRule="auto" w:after="40"/>
              <w:jc w:val="left"/>
            </w:pPr>
            <w:r/>
            <w:r>
              <w:rPr>
                <w:rFonts w:ascii="Times New Roman" w:hAnsi="Times New Roman" w:cs="Times New Roman"/>
                <w:b w:val="0"/>
                <w:i w:val="0"/>
                <w:sz w:val="22"/>
              </w:rPr>
              <w:t>Electronic National Agriculture Market — government-operated online trading portal.</w:t>
            </w:r>
          </w:p>
        </w:tc>
      </w:tr>
      <w:tr>
        <w:tc>
          <w:tcPr>
            <w:tcW w:type="dxa" w:w="2160"/>
          </w:tcPr>
          <w:p>
            <w:pPr>
              <w:spacing w:line="276" w:lineRule="auto" w:after="40"/>
              <w:jc w:val="left"/>
            </w:pPr>
            <w:r/>
            <w:r>
              <w:rPr>
                <w:rFonts w:ascii="Times New Roman" w:hAnsi="Times New Roman" w:cs="Times New Roman"/>
                <w:b w:val="0"/>
                <w:i w:val="0"/>
                <w:sz w:val="22"/>
              </w:rPr>
              <w:t>EBITDA</w:t>
            </w:r>
          </w:p>
        </w:tc>
        <w:tc>
          <w:tcPr>
            <w:tcW w:type="dxa" w:w="6624"/>
          </w:tcPr>
          <w:p>
            <w:pPr>
              <w:spacing w:line="276" w:lineRule="auto" w:after="40"/>
              <w:jc w:val="left"/>
            </w:pPr>
            <w:r/>
            <w:r>
              <w:rPr>
                <w:rFonts w:ascii="Times New Roman" w:hAnsi="Times New Roman" w:cs="Times New Roman"/>
                <w:b w:val="0"/>
                <w:i w:val="0"/>
                <w:sz w:val="22"/>
              </w:rPr>
              <w:t>Earnings Before Interest, Taxes, Depreciation and Amortisation.</w:t>
            </w:r>
          </w:p>
        </w:tc>
      </w:tr>
      <w:tr>
        <w:tc>
          <w:tcPr>
            <w:tcW w:type="dxa" w:w="2160"/>
          </w:tcPr>
          <w:p>
            <w:pPr>
              <w:spacing w:line="276" w:lineRule="auto" w:after="40"/>
              <w:jc w:val="left"/>
            </w:pPr>
            <w:r/>
            <w:r>
              <w:rPr>
                <w:rFonts w:ascii="Times New Roman" w:hAnsi="Times New Roman" w:cs="Times New Roman"/>
                <w:b w:val="0"/>
                <w:i w:val="0"/>
                <w:sz w:val="22"/>
              </w:rPr>
              <w:t>FPO</w:t>
            </w:r>
          </w:p>
        </w:tc>
        <w:tc>
          <w:tcPr>
            <w:tcW w:type="dxa" w:w="6624"/>
          </w:tcPr>
          <w:p>
            <w:pPr>
              <w:spacing w:line="276" w:lineRule="auto" w:after="40"/>
              <w:jc w:val="left"/>
            </w:pPr>
            <w:r/>
            <w:r>
              <w:rPr>
                <w:rFonts w:ascii="Times New Roman" w:hAnsi="Times New Roman" w:cs="Times New Roman"/>
                <w:b w:val="0"/>
                <w:i w:val="0"/>
                <w:sz w:val="22"/>
              </w:rPr>
              <w:t>Farmer Producer Organisation — collective of farmers registered as a producer company.</w:t>
            </w:r>
          </w:p>
        </w:tc>
      </w:tr>
      <w:tr>
        <w:tc>
          <w:tcPr>
            <w:tcW w:type="dxa" w:w="2160"/>
          </w:tcPr>
          <w:p>
            <w:pPr>
              <w:spacing w:line="276" w:lineRule="auto" w:after="40"/>
              <w:jc w:val="left"/>
            </w:pPr>
            <w:r/>
            <w:r>
              <w:rPr>
                <w:rFonts w:ascii="Times New Roman" w:hAnsi="Times New Roman" w:cs="Times New Roman"/>
                <w:b w:val="0"/>
                <w:i w:val="0"/>
                <w:sz w:val="22"/>
              </w:rPr>
              <w:t>GMV</w:t>
            </w:r>
          </w:p>
        </w:tc>
        <w:tc>
          <w:tcPr>
            <w:tcW w:type="dxa" w:w="6624"/>
          </w:tcPr>
          <w:p>
            <w:pPr>
              <w:spacing w:line="276" w:lineRule="auto" w:after="40"/>
              <w:jc w:val="left"/>
            </w:pPr>
            <w:r/>
            <w:r>
              <w:rPr>
                <w:rFonts w:ascii="Times New Roman" w:hAnsi="Times New Roman" w:cs="Times New Roman"/>
                <w:b w:val="0"/>
                <w:i w:val="0"/>
                <w:sz w:val="22"/>
              </w:rPr>
              <w:t>Gross Merchandise Value — total value of goods transacted on the platform.</w:t>
            </w:r>
          </w:p>
        </w:tc>
      </w:tr>
      <w:tr>
        <w:tc>
          <w:tcPr>
            <w:tcW w:type="dxa" w:w="2160"/>
          </w:tcPr>
          <w:p>
            <w:pPr>
              <w:spacing w:line="276" w:lineRule="auto" w:after="40"/>
              <w:jc w:val="left"/>
            </w:pPr>
            <w:r/>
            <w:r>
              <w:rPr>
                <w:rFonts w:ascii="Times New Roman" w:hAnsi="Times New Roman" w:cs="Times New Roman"/>
                <w:b w:val="0"/>
                <w:i w:val="0"/>
                <w:sz w:val="22"/>
              </w:rPr>
              <w:t>ICAR</w:t>
            </w:r>
          </w:p>
        </w:tc>
        <w:tc>
          <w:tcPr>
            <w:tcW w:type="dxa" w:w="6624"/>
          </w:tcPr>
          <w:p>
            <w:pPr>
              <w:spacing w:line="276" w:lineRule="auto" w:after="40"/>
              <w:jc w:val="left"/>
            </w:pPr>
            <w:r/>
            <w:r>
              <w:rPr>
                <w:rFonts w:ascii="Times New Roman" w:hAnsi="Times New Roman" w:cs="Times New Roman"/>
                <w:b w:val="0"/>
                <w:i w:val="0"/>
                <w:sz w:val="22"/>
              </w:rPr>
              <w:t>Indian Council of Agricultural Research — apex agricultural research body.</w:t>
            </w:r>
          </w:p>
        </w:tc>
      </w:tr>
      <w:tr>
        <w:tc>
          <w:tcPr>
            <w:tcW w:type="dxa" w:w="2160"/>
          </w:tcPr>
          <w:p>
            <w:pPr>
              <w:spacing w:line="276" w:lineRule="auto" w:after="40"/>
              <w:jc w:val="left"/>
            </w:pPr>
            <w:r/>
            <w:r>
              <w:rPr>
                <w:rFonts w:ascii="Times New Roman" w:hAnsi="Times New Roman" w:cs="Times New Roman"/>
                <w:b w:val="0"/>
                <w:i w:val="0"/>
                <w:sz w:val="22"/>
              </w:rPr>
              <w:t>KVK</w:t>
            </w:r>
          </w:p>
        </w:tc>
        <w:tc>
          <w:tcPr>
            <w:tcW w:type="dxa" w:w="6624"/>
          </w:tcPr>
          <w:p>
            <w:pPr>
              <w:spacing w:line="276" w:lineRule="auto" w:after="40"/>
              <w:jc w:val="left"/>
            </w:pPr>
            <w:r/>
            <w:r>
              <w:rPr>
                <w:rFonts w:ascii="Times New Roman" w:hAnsi="Times New Roman" w:cs="Times New Roman"/>
                <w:b w:val="0"/>
                <w:i w:val="0"/>
                <w:sz w:val="22"/>
              </w:rPr>
              <w:t>Krishi Vigyan Kendra — district-level agricultural extension centre.</w:t>
            </w:r>
          </w:p>
        </w:tc>
      </w:tr>
      <w:tr>
        <w:tc>
          <w:tcPr>
            <w:tcW w:type="dxa" w:w="2160"/>
          </w:tcPr>
          <w:p>
            <w:pPr>
              <w:spacing w:line="276" w:lineRule="auto" w:after="40"/>
              <w:jc w:val="left"/>
            </w:pPr>
            <w:r/>
            <w:r>
              <w:rPr>
                <w:rFonts w:ascii="Times New Roman" w:hAnsi="Times New Roman" w:cs="Times New Roman"/>
                <w:b w:val="0"/>
                <w:i w:val="0"/>
                <w:sz w:val="22"/>
              </w:rPr>
              <w:t>LSTM</w:t>
            </w:r>
          </w:p>
        </w:tc>
        <w:tc>
          <w:tcPr>
            <w:tcW w:type="dxa" w:w="6624"/>
          </w:tcPr>
          <w:p>
            <w:pPr>
              <w:spacing w:line="276" w:lineRule="auto" w:after="40"/>
              <w:jc w:val="left"/>
            </w:pPr>
            <w:r/>
            <w:r>
              <w:rPr>
                <w:rFonts w:ascii="Times New Roman" w:hAnsi="Times New Roman" w:cs="Times New Roman"/>
                <w:b w:val="0"/>
                <w:i w:val="0"/>
                <w:sz w:val="22"/>
              </w:rPr>
              <w:t>Long Short-Term Memory — a recurrent neural-network architecture used for time-series prediction.</w:t>
            </w:r>
          </w:p>
        </w:tc>
      </w:tr>
      <w:tr>
        <w:tc>
          <w:tcPr>
            <w:tcW w:type="dxa" w:w="2160"/>
          </w:tcPr>
          <w:p>
            <w:pPr>
              <w:spacing w:line="276" w:lineRule="auto" w:after="40"/>
              <w:jc w:val="left"/>
            </w:pPr>
            <w:r/>
            <w:r>
              <w:rPr>
                <w:rFonts w:ascii="Times New Roman" w:hAnsi="Times New Roman" w:cs="Times New Roman"/>
                <w:b w:val="0"/>
                <w:i w:val="0"/>
                <w:sz w:val="22"/>
              </w:rPr>
              <w:t>MSP</w:t>
            </w:r>
          </w:p>
        </w:tc>
        <w:tc>
          <w:tcPr>
            <w:tcW w:type="dxa" w:w="6624"/>
          </w:tcPr>
          <w:p>
            <w:pPr>
              <w:spacing w:line="276" w:lineRule="auto" w:after="40"/>
              <w:jc w:val="left"/>
            </w:pPr>
            <w:r/>
            <w:r>
              <w:rPr>
                <w:rFonts w:ascii="Times New Roman" w:hAnsi="Times New Roman" w:cs="Times New Roman"/>
                <w:b w:val="0"/>
                <w:i w:val="0"/>
                <w:sz w:val="22"/>
              </w:rPr>
              <w:t>Minimum Support Price — government-guaranteed floor price for select crops.</w:t>
            </w:r>
          </w:p>
        </w:tc>
      </w:tr>
      <w:tr>
        <w:tc>
          <w:tcPr>
            <w:tcW w:type="dxa" w:w="2160"/>
          </w:tcPr>
          <w:p>
            <w:pPr>
              <w:spacing w:line="276" w:lineRule="auto" w:after="40"/>
              <w:jc w:val="left"/>
            </w:pPr>
            <w:r/>
            <w:r>
              <w:rPr>
                <w:rFonts w:ascii="Times New Roman" w:hAnsi="Times New Roman" w:cs="Times New Roman"/>
                <w:b w:val="0"/>
                <w:i w:val="0"/>
                <w:sz w:val="22"/>
              </w:rPr>
              <w:t>NDVI</w:t>
            </w:r>
          </w:p>
        </w:tc>
        <w:tc>
          <w:tcPr>
            <w:tcW w:type="dxa" w:w="6624"/>
          </w:tcPr>
          <w:p>
            <w:pPr>
              <w:spacing w:line="276" w:lineRule="auto" w:after="40"/>
              <w:jc w:val="left"/>
            </w:pPr>
            <w:r/>
            <w:r>
              <w:rPr>
                <w:rFonts w:ascii="Times New Roman" w:hAnsi="Times New Roman" w:cs="Times New Roman"/>
                <w:b w:val="0"/>
                <w:i w:val="0"/>
                <w:sz w:val="22"/>
              </w:rPr>
              <w:t>Normalised Difference Vegetation Index — satellite-derived measure of crop health.</w:t>
            </w:r>
          </w:p>
        </w:tc>
      </w:tr>
      <w:tr>
        <w:tc>
          <w:tcPr>
            <w:tcW w:type="dxa" w:w="2160"/>
          </w:tcPr>
          <w:p>
            <w:pPr>
              <w:spacing w:line="276" w:lineRule="auto" w:after="40"/>
              <w:jc w:val="left"/>
            </w:pPr>
            <w:r/>
            <w:r>
              <w:rPr>
                <w:rFonts w:ascii="Times New Roman" w:hAnsi="Times New Roman" w:cs="Times New Roman"/>
                <w:b w:val="0"/>
                <w:i w:val="0"/>
                <w:sz w:val="22"/>
              </w:rPr>
              <w:t>ONDC</w:t>
            </w:r>
          </w:p>
        </w:tc>
        <w:tc>
          <w:tcPr>
            <w:tcW w:type="dxa" w:w="6624"/>
          </w:tcPr>
          <w:p>
            <w:pPr>
              <w:spacing w:line="276" w:lineRule="auto" w:after="40"/>
              <w:jc w:val="left"/>
            </w:pPr>
            <w:r/>
            <w:r>
              <w:rPr>
                <w:rFonts w:ascii="Times New Roman" w:hAnsi="Times New Roman" w:cs="Times New Roman"/>
                <w:b w:val="0"/>
                <w:i w:val="0"/>
                <w:sz w:val="22"/>
              </w:rPr>
              <w:t>Open Network for Digital Commerce — India's open commerce protocol.</w:t>
            </w:r>
          </w:p>
        </w:tc>
      </w:tr>
      <w:tr>
        <w:tc>
          <w:tcPr>
            <w:tcW w:type="dxa" w:w="2160"/>
          </w:tcPr>
          <w:p>
            <w:pPr>
              <w:spacing w:line="276" w:lineRule="auto" w:after="40"/>
              <w:jc w:val="left"/>
            </w:pPr>
            <w:r/>
            <w:r>
              <w:rPr>
                <w:rFonts w:ascii="Times New Roman" w:hAnsi="Times New Roman" w:cs="Times New Roman"/>
                <w:b w:val="0"/>
                <w:i w:val="0"/>
                <w:sz w:val="22"/>
              </w:rPr>
              <w:t>PMFBY</w:t>
            </w:r>
          </w:p>
        </w:tc>
        <w:tc>
          <w:tcPr>
            <w:tcW w:type="dxa" w:w="6624"/>
          </w:tcPr>
          <w:p>
            <w:pPr>
              <w:spacing w:line="276" w:lineRule="auto" w:after="40"/>
              <w:jc w:val="left"/>
            </w:pPr>
            <w:r/>
            <w:r>
              <w:rPr>
                <w:rFonts w:ascii="Times New Roman" w:hAnsi="Times New Roman" w:cs="Times New Roman"/>
                <w:b w:val="0"/>
                <w:i w:val="0"/>
                <w:sz w:val="22"/>
              </w:rPr>
              <w:t>Pradhan Mantri Fasal Bima Yojana — flagship crop-insurance scheme.</w:t>
            </w:r>
          </w:p>
        </w:tc>
      </w:tr>
      <w:tr>
        <w:tc>
          <w:tcPr>
            <w:tcW w:type="dxa" w:w="2160"/>
          </w:tcPr>
          <w:p>
            <w:pPr>
              <w:spacing w:line="276" w:lineRule="auto" w:after="40"/>
              <w:jc w:val="left"/>
            </w:pPr>
            <w:r/>
            <w:r>
              <w:rPr>
                <w:rFonts w:ascii="Times New Roman" w:hAnsi="Times New Roman" w:cs="Times New Roman"/>
                <w:b w:val="0"/>
                <w:i w:val="0"/>
                <w:sz w:val="22"/>
              </w:rPr>
              <w:t>SOM / SAM / TAM</w:t>
            </w:r>
          </w:p>
        </w:tc>
        <w:tc>
          <w:tcPr>
            <w:tcW w:type="dxa" w:w="6624"/>
          </w:tcPr>
          <w:p>
            <w:pPr>
              <w:spacing w:line="276" w:lineRule="auto" w:after="40"/>
              <w:jc w:val="left"/>
            </w:pPr>
            <w:r/>
            <w:r>
              <w:rPr>
                <w:rFonts w:ascii="Times New Roman" w:hAnsi="Times New Roman" w:cs="Times New Roman"/>
                <w:b w:val="0"/>
                <w:i w:val="0"/>
                <w:sz w:val="22"/>
              </w:rPr>
              <w:t>Serviceable Obtainable / Serviceable Addressable / Total Addressable Market.</w:t>
            </w:r>
          </w:p>
        </w:tc>
      </w:tr>
      <w:tr>
        <w:tc>
          <w:tcPr>
            <w:tcW w:type="dxa" w:w="2160"/>
          </w:tcPr>
          <w:p>
            <w:pPr>
              <w:spacing w:line="276" w:lineRule="auto" w:after="40"/>
              <w:jc w:val="left"/>
            </w:pPr>
            <w:r/>
            <w:r>
              <w:rPr>
                <w:rFonts w:ascii="Times New Roman" w:hAnsi="Times New Roman" w:cs="Times New Roman"/>
                <w:b w:val="0"/>
                <w:i w:val="0"/>
                <w:sz w:val="22"/>
              </w:rPr>
              <w:t>TSP</w:t>
            </w:r>
          </w:p>
        </w:tc>
        <w:tc>
          <w:tcPr>
            <w:tcW w:type="dxa" w:w="6624"/>
          </w:tcPr>
          <w:p>
            <w:pPr>
              <w:spacing w:line="276" w:lineRule="auto" w:after="40"/>
              <w:jc w:val="left"/>
            </w:pPr>
            <w:r/>
            <w:r>
              <w:rPr>
                <w:rFonts w:ascii="Times New Roman" w:hAnsi="Times New Roman" w:cs="Times New Roman"/>
                <w:b w:val="0"/>
                <w:i w:val="0"/>
                <w:sz w:val="22"/>
              </w:rPr>
              <w:t>Technology Service Provider — entity offering ONDC integration services.</w:t>
            </w:r>
          </w:p>
        </w:tc>
      </w:tr>
    </w:tbl>
    <w:p>
      <w:pPr>
        <w:keepNext/>
        <w:spacing w:before="240" w:after="160"/>
        <w:jc w:val="left"/>
      </w:pPr>
      <w:r>
        <w:rPr>
          <w:rFonts w:ascii="Times New Roman" w:hAnsi="Times New Roman" w:cs="Times New Roman"/>
          <w:b/>
          <w:i w:val="0"/>
          <w:sz w:val="28"/>
        </w:rPr>
        <w:t>Appendix B — Sample Wireframe Description</w:t>
      </w:r>
    </w:p>
    <w:p>
      <w:pPr>
        <w:spacing w:line="360" w:lineRule="auto" w:after="160"/>
        <w:jc w:val="both"/>
      </w:pPr>
      <w:r>
        <w:rPr>
          <w:rFonts w:ascii="Times New Roman" w:hAnsi="Times New Roman" w:cs="Times New Roman"/>
          <w:b w:val="0"/>
          <w:i w:val="0"/>
          <w:sz w:val="24"/>
        </w:rPr>
        <w:t>The KrishiConnect mobile application is structured around a five-tab bottom navigation bar — Home, Sell, Buy Inputs, Equipment, and Advisory. The Home screen shows personalised mandi prices for the farmer's declared crops, weather forecasts, urgent pest alerts (if any), and a prominent "Ask KrishiSakhi" voice button. The Sell flow allows the farmer to list produce in three steps: select crop, enter quantity and grade (with on-device camera grading assistance), and accept the highest reverse-auction bid within a 24-hour window. The Buy Inputs flow features curated input bundles by crop and season, with full ingredient transparency and verified-supplier badges. The Equipment flow shows nearby tractors, harvesters, and drones available for hire, with hourly pricing and instant booking. The Advisory flow combines the AI Crop Doctor (photo-based diagnosis), KrishiSakhi voice chatbot, and crop-specific calendars synced to the user's sowing dates.</w:t>
      </w:r>
    </w:p>
    <w:p>
      <w:pPr>
        <w:keepNext/>
        <w:spacing w:before="240" w:after="160"/>
        <w:jc w:val="left"/>
      </w:pPr>
      <w:r>
        <w:rPr>
          <w:rFonts w:ascii="Times New Roman" w:hAnsi="Times New Roman" w:cs="Times New Roman"/>
          <w:b/>
          <w:i w:val="0"/>
          <w:sz w:val="28"/>
        </w:rPr>
        <w:t>Appendix C — Sample Daily Usage Scenario</w:t>
      </w:r>
    </w:p>
    <w:p>
      <w:pPr>
        <w:spacing w:line="360" w:lineRule="auto" w:after="160"/>
        <w:jc w:val="both"/>
      </w:pPr>
      <w:r>
        <w:rPr>
          <w:rFonts w:ascii="Times New Roman" w:hAnsi="Times New Roman" w:cs="Times New Roman"/>
          <w:b w:val="0"/>
          <w:i w:val="0"/>
          <w:sz w:val="24"/>
        </w:rPr>
        <w:t>Ramesh, a 42-year-old smallholder in Bundelkhand, opens the KrishiConnect app at 7 AM. The home screen greets him in Bundeli with today's mandi prices for wheat (₹2,310 per quintal at Hamirpur, ₹2,365 at Mahoba), a weather alert about expected showers tomorrow, and a reminder that his pigeon-pea field is 78 days into cultivation — the optimal window for the second irrigation. He taps the AI Crop Doctor and clicks a photo of a yellowing leaf; the model identifies early-stage Yellow Mosaic Virus and recommends a specific bio-pesticide that he can order from the in-app store, with delivery in 36 hours. In the evening, he posts 12 quintals of harvested wheat for sale; within four hours, three buyers have placed bids, the highest being ₹2,418 per quintal — ₹108 above the prevailing mandi rate. He accepts the bid; payment is escrowed, the logistics partner is notified, and the wheat is collected the next morning. Ramesh receives the payment within 24 hours of pickup, with all fees clearly disclosed.</w:t>
      </w:r>
    </w:p>
    <w:p>
      <w:pPr>
        <w:keepNext/>
        <w:spacing w:before="240" w:after="160"/>
        <w:jc w:val="left"/>
      </w:pPr>
      <w:r>
        <w:rPr>
          <w:rFonts w:ascii="Times New Roman" w:hAnsi="Times New Roman" w:cs="Times New Roman"/>
          <w:b/>
          <w:i w:val="0"/>
          <w:sz w:val="28"/>
        </w:rPr>
        <w:t>Appendix D — Founder's Note</w:t>
      </w:r>
    </w:p>
    <w:p>
      <w:pPr>
        <w:spacing w:line="360" w:lineRule="auto" w:after="160"/>
        <w:jc w:val="both"/>
      </w:pPr>
      <w:r>
        <w:rPr>
          <w:rFonts w:ascii="Times New Roman" w:hAnsi="Times New Roman" w:cs="Times New Roman"/>
          <w:b w:val="0"/>
          <w:i w:val="0"/>
          <w:sz w:val="24"/>
        </w:rPr>
        <w:t>When I began researching the topic of an Agri-Tech marketplace, I was struck by a simple but jarring statistic: the cultivator who grows our food earns less per hour than the delivery rider who brings it to our door. The injustice of that imbalance animates this report. While the work documented here is academic, my hope is that the ideas — voice-first vernacular UX, reverse-auction pricing, embedded finance, and AI-driven advisory — find their way into a real venture, whether built by me or by someone reading this report. The Indian farmer has waited long enough.</w:t>
      </w:r>
    </w:p>
    <w:p>
      <w:pPr>
        <w:spacing w:line="360" w:lineRule="auto" w:after="160"/>
        <w:jc w:val="both"/>
      </w:pPr>
      <w:r>
        <w:rPr>
          <w:rFonts w:ascii="Times New Roman" w:hAnsi="Times New Roman" w:cs="Times New Roman"/>
          <w:b w:val="0"/>
          <w:i w:val="0"/>
          <w:sz w:val="24"/>
        </w:rPr>
        <w:t xml:space="preserve"> </w:t>
      </w:r>
    </w:p>
    <w:p>
      <w:pPr>
        <w:jc w:val="right"/>
      </w:pPr>
      <w:r>
        <w:rPr>
          <w:rFonts w:ascii="Times New Roman" w:hAnsi="Times New Roman" w:cs="Times New Roman"/>
          <w:b w:val="0"/>
          <w:i/>
          <w:sz w:val="24"/>
        </w:rPr>
        <w:t>— Km Sandhya Kumari</w:t>
        <w:br/>
        <w:t>MCA, 2025-26</w:t>
      </w:r>
    </w:p>
    <w:p>
      <w:r>
        <w:br w:type="page"/>
      </w:r>
    </w:p>
    <w:p>
      <w:pPr>
        <w:keepNext/>
        <w:spacing w:before="240" w:after="160"/>
        <w:jc w:val="left"/>
      </w:pPr>
      <w:r>
        <w:rPr>
          <w:rFonts w:ascii="Times New Roman" w:hAnsi="Times New Roman" w:cs="Times New Roman"/>
          <w:b/>
          <w:i w:val="0"/>
          <w:sz w:val="28"/>
        </w:rPr>
        <w:t>Signatures</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 xml:space="preserve"> </w:t>
      </w:r>
    </w:p>
    <w:p>
      <w:pPr>
        <w:spacing w:line="360" w:lineRule="auto" w:after="160"/>
        <w:jc w:val="both"/>
      </w:pPr>
      <w:r>
        <w:rPr>
          <w:rFonts w:ascii="Times New Roman" w:hAnsi="Times New Roman" w:cs="Times New Roman"/>
          <w:b w:val="0"/>
          <w:i w:val="0"/>
          <w:sz w:val="24"/>
        </w:rPr>
        <w:t xml:space="preserve"> </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cs="Times New Roman"/>
                <w:b w:val="0"/>
                <w:i w:val="0"/>
                <w:sz w:val="24"/>
              </w:rPr>
              <w:t>_________________________</w:t>
            </w:r>
          </w:p>
        </w:tc>
        <w:tc>
          <w:tcPr>
            <w:tcW w:type="dxa" w:w="4500"/>
          </w:tcPr>
          <w:p>
            <w:r>
              <w:rPr>
                <w:rFonts w:ascii="Times New Roman" w:hAnsi="Times New Roman" w:cs="Times New Roman"/>
                <w:b w:val="0"/>
                <w:i w:val="0"/>
                <w:sz w:val="24"/>
              </w:rPr>
              <w:t>_________________________</w:t>
            </w:r>
          </w:p>
        </w:tc>
      </w:tr>
      <w:tr>
        <w:tc>
          <w:tcPr>
            <w:tcW w:type="dxa" w:w="4500"/>
          </w:tcPr>
          <w:p>
            <w:r>
              <w:rPr>
                <w:rFonts w:ascii="Times New Roman" w:hAnsi="Times New Roman" w:cs="Times New Roman"/>
                <w:b w:val="0"/>
                <w:i w:val="0"/>
                <w:sz w:val="24"/>
              </w:rPr>
              <w:t>Km Sandhya Kumari</w:t>
              <w:br/>
              <w:t>(Student)</w:t>
              <w:br/>
              <w:t>Roll No: 2401650140030</w:t>
              <w:br/>
              <w:t>MCA, 2025-26</w:t>
            </w:r>
          </w:p>
        </w:tc>
        <w:tc>
          <w:tcPr>
            <w:tcW w:type="dxa" w:w="4500"/>
          </w:tcPr>
          <w:p>
            <w:r>
              <w:rPr>
                <w:rFonts w:ascii="Times New Roman" w:hAnsi="Times New Roman" w:cs="Times New Roman"/>
                <w:b w:val="0"/>
                <w:i w:val="0"/>
                <w:sz w:val="24"/>
              </w:rPr>
              <w:t>Mr. Subodh Kumar</w:t>
              <w:br/>
              <w:t>(Subject Incharge / Supervisor)</w:t>
              <w:br/>
              <w:t>Assistant Professor</w:t>
              <w:br/>
              <w:t>Computer Application Department</w:t>
            </w:r>
          </w:p>
        </w:tc>
      </w:tr>
    </w:tbl>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