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57EFE" w14:textId="241A7B6E" w:rsidR="00AE30C8" w:rsidRPr="00C54E8B" w:rsidRDefault="009C10E9" w:rsidP="009C10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54E8B">
        <w:rPr>
          <w:rFonts w:ascii="Times New Roman" w:hAnsi="Times New Roman" w:cs="Times New Roman"/>
          <w:color w:val="000000"/>
          <w:sz w:val="24"/>
          <w:szCs w:val="24"/>
        </w:rPr>
        <w:t>Given the provided data, what are three conclusions we can draw about Kickstarter campaigns?</w:t>
      </w:r>
    </w:p>
    <w:p w14:paraId="66072408" w14:textId="480F7331" w:rsidR="009C10E9" w:rsidRPr="00C54E8B" w:rsidRDefault="009C10E9" w:rsidP="009C10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4E8B">
        <w:rPr>
          <w:rFonts w:ascii="Times New Roman" w:hAnsi="Times New Roman" w:cs="Times New Roman"/>
          <w:sz w:val="24"/>
          <w:szCs w:val="24"/>
        </w:rPr>
        <w:t>The first conclusion we can draw is it necessary to gain as many backers as possible in order to increase the amount pledged to the campaign.  There is a direct relationship between backers and the percentage funded vs. goal.</w:t>
      </w:r>
    </w:p>
    <w:p w14:paraId="13C3018F" w14:textId="1A4BB288" w:rsidR="009C10E9" w:rsidRPr="00C54E8B" w:rsidRDefault="009C10E9" w:rsidP="009C10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4E8B">
        <w:rPr>
          <w:rFonts w:ascii="Times New Roman" w:hAnsi="Times New Roman" w:cs="Times New Roman"/>
          <w:sz w:val="24"/>
          <w:szCs w:val="24"/>
        </w:rPr>
        <w:t>The second conclusion we can draw is the sub-category publishing does not receive much funding, whereas video/television receives more than enough funding.</w:t>
      </w:r>
    </w:p>
    <w:p w14:paraId="650CC240" w14:textId="78ECD8AF" w:rsidR="009C10E9" w:rsidRPr="00C54E8B" w:rsidRDefault="009C10E9" w:rsidP="009C10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4E8B">
        <w:rPr>
          <w:rFonts w:ascii="Times New Roman" w:hAnsi="Times New Roman" w:cs="Times New Roman"/>
          <w:sz w:val="24"/>
          <w:szCs w:val="24"/>
        </w:rPr>
        <w:t xml:space="preserve">The third conclusion we can draw is the US produces the most successful campaigns.  </w:t>
      </w:r>
    </w:p>
    <w:p w14:paraId="3141BC91" w14:textId="5A627B16" w:rsidR="00C54E8B" w:rsidRDefault="00C54E8B" w:rsidP="00C54E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4E8B">
        <w:rPr>
          <w:rFonts w:ascii="Times New Roman" w:hAnsi="Times New Roman" w:cs="Times New Roman"/>
          <w:sz w:val="24"/>
          <w:szCs w:val="24"/>
        </w:rPr>
        <w:t xml:space="preserve">Limitations of this dataset are that it only goes as specific as the country and does not drill down to the state or province.  </w:t>
      </w:r>
    </w:p>
    <w:p w14:paraId="0F18D236" w14:textId="4EAB195E" w:rsidR="00C54E8B" w:rsidRPr="00C54E8B" w:rsidRDefault="00C54E8B" w:rsidP="00C54E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could possibly make a graph showing which categories have the highest failure rate as well.  </w:t>
      </w:r>
    </w:p>
    <w:sectPr w:rsidR="00C54E8B" w:rsidRPr="00C54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23B35"/>
    <w:multiLevelType w:val="hybridMultilevel"/>
    <w:tmpl w:val="51465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FD7716"/>
    <w:multiLevelType w:val="hybridMultilevel"/>
    <w:tmpl w:val="251A9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B6399"/>
    <w:multiLevelType w:val="hybridMultilevel"/>
    <w:tmpl w:val="078CE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E9"/>
    <w:rsid w:val="004A7F26"/>
    <w:rsid w:val="00584E78"/>
    <w:rsid w:val="009238B2"/>
    <w:rsid w:val="009C10E9"/>
    <w:rsid w:val="00C5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26AD"/>
  <w15:chartTrackingRefBased/>
  <w15:docId w15:val="{D4266C32-8572-48A2-A003-E2758509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Hall</dc:creator>
  <cp:keywords/>
  <dc:description/>
  <cp:lastModifiedBy>Sandra Hall</cp:lastModifiedBy>
  <cp:revision>2</cp:revision>
  <dcterms:created xsi:type="dcterms:W3CDTF">2020-10-04T00:26:00Z</dcterms:created>
  <dcterms:modified xsi:type="dcterms:W3CDTF">2020-10-04T00:50:00Z</dcterms:modified>
</cp:coreProperties>
</file>