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46998" w14:textId="77777777" w:rsidR="00504483" w:rsidRPr="00CC4E81" w:rsidRDefault="00504483" w:rsidP="00504483">
      <w:pPr>
        <w:rPr>
          <w:b/>
          <w:bCs/>
          <w:sz w:val="24"/>
          <w:szCs w:val="24"/>
        </w:rPr>
      </w:pPr>
      <w:r w:rsidRPr="00CC4E81">
        <w:rPr>
          <w:b/>
          <w:bCs/>
          <w:sz w:val="24"/>
          <w:szCs w:val="24"/>
        </w:rPr>
        <w:t>Categorizing Prove-It</w:t>
      </w:r>
    </w:p>
    <w:p w14:paraId="4783DBD5" w14:textId="6D52F841" w:rsidR="00504483" w:rsidRDefault="00504483" w:rsidP="00504483">
      <w:r>
        <w:t>Answering survey questions listed in https://arxiv.org/pdf/1912.03028</w:t>
      </w:r>
    </w:p>
    <w:p w14:paraId="02DB44E2" w14:textId="29A37F2C" w:rsidR="00504483" w:rsidRDefault="00504483" w:rsidP="00504483">
      <w:r>
        <w:t xml:space="preserve">These answers </w:t>
      </w:r>
      <w:r w:rsidR="00B21BE4">
        <w:t xml:space="preserve">are with respect to </w:t>
      </w:r>
      <w:r>
        <w:t xml:space="preserve">my current vision for Prove-It as it is manifesting in the "gamified" branch but not </w:t>
      </w:r>
      <w:r w:rsidR="00B21BE4">
        <w:t xml:space="preserve">fully developed or </w:t>
      </w:r>
      <w:r>
        <w:t>merged into the master branch.</w:t>
      </w:r>
      <w:r w:rsidR="00B21BE4">
        <w:t xml:space="preserve">  But it’s coming along.</w:t>
      </w:r>
    </w:p>
    <w:p w14:paraId="40014FAA" w14:textId="77777777" w:rsidR="00504483" w:rsidRPr="00FC3762" w:rsidRDefault="00504483" w:rsidP="00504483">
      <w:pPr>
        <w:rPr>
          <w:b/>
          <w:bCs/>
        </w:rPr>
      </w:pPr>
      <w:r w:rsidRPr="00FC3762">
        <w:rPr>
          <w:b/>
          <w:bCs/>
        </w:rPr>
        <w:t>What is the type of the theorem prover (ATP/ITP)?</w:t>
      </w:r>
    </w:p>
    <w:p w14:paraId="51689101" w14:textId="109AB216" w:rsidR="00504483" w:rsidRDefault="00504483" w:rsidP="00504483">
      <w:r>
        <w:t>Prove-It is an interactive theor</w:t>
      </w:r>
      <w:r w:rsidR="00E70462">
        <w:t>em</w:t>
      </w:r>
      <w:r>
        <w:t xml:space="preserve"> prover</w:t>
      </w:r>
      <w:r w:rsidR="00287209">
        <w:t xml:space="preserve"> (ITP) not an automated theorem prover (ATP)</w:t>
      </w:r>
      <w:r>
        <w:t>.  Its automation features are focused on skipping obvious steps as one would do in a</w:t>
      </w:r>
      <w:r w:rsidR="0093164D">
        <w:t>n</w:t>
      </w:r>
      <w:r>
        <w:t xml:space="preserve"> </w:t>
      </w:r>
      <w:r w:rsidR="0093164D">
        <w:t>i</w:t>
      </w:r>
      <w:r w:rsidR="00E465C9">
        <w:t>n</w:t>
      </w:r>
      <w:r>
        <w:t>formal proof.  Computationally intensive automation would best be done via exporting/importing to/from another system.</w:t>
      </w:r>
    </w:p>
    <w:p w14:paraId="338FB12D" w14:textId="77777777" w:rsidR="00504483" w:rsidRPr="00FC3762" w:rsidRDefault="00504483" w:rsidP="00504483">
      <w:pPr>
        <w:rPr>
          <w:b/>
          <w:bCs/>
        </w:rPr>
      </w:pPr>
      <w:r w:rsidRPr="00FC3762">
        <w:rPr>
          <w:b/>
          <w:bCs/>
        </w:rPr>
        <w:t xml:space="preserve">What is the type of the system </w:t>
      </w:r>
      <w:proofErr w:type="spellStart"/>
      <w:r w:rsidRPr="00FC3762">
        <w:rPr>
          <w:b/>
          <w:bCs/>
        </w:rPr>
        <w:t>w.r.t.</w:t>
      </w:r>
      <w:proofErr w:type="spellEnd"/>
      <w:r w:rsidRPr="00FC3762">
        <w:rPr>
          <w:b/>
          <w:bCs/>
        </w:rPr>
        <w:t xml:space="preserve"> reasoning (mathematical)?</w:t>
      </w:r>
    </w:p>
    <w:p w14:paraId="76E2DAE7" w14:textId="4FB3E50A" w:rsidR="00504483" w:rsidRDefault="005345F1" w:rsidP="00504483">
      <w:r>
        <w:t>Based on s</w:t>
      </w:r>
      <w:r w:rsidR="00504483">
        <w:t xml:space="preserve">yllogism </w:t>
      </w:r>
      <w:r>
        <w:t xml:space="preserve">(mathematical statements) </w:t>
      </w:r>
      <w:r w:rsidR="00504483">
        <w:t>translatable to higher-order predicate logic</w:t>
      </w:r>
    </w:p>
    <w:p w14:paraId="77F4D85C" w14:textId="77777777" w:rsidR="00504483" w:rsidRPr="00FC3762" w:rsidRDefault="00504483" w:rsidP="00504483">
      <w:pPr>
        <w:rPr>
          <w:b/>
          <w:bCs/>
        </w:rPr>
      </w:pPr>
      <w:r w:rsidRPr="00FC3762">
        <w:rPr>
          <w:b/>
          <w:bCs/>
        </w:rPr>
        <w:t xml:space="preserve">What is the type of the system </w:t>
      </w:r>
      <w:proofErr w:type="spellStart"/>
      <w:r w:rsidRPr="00FC3762">
        <w:rPr>
          <w:b/>
          <w:bCs/>
        </w:rPr>
        <w:t>w.r.t.</w:t>
      </w:r>
      <w:proofErr w:type="spellEnd"/>
      <w:r w:rsidRPr="00FC3762">
        <w:rPr>
          <w:b/>
          <w:bCs/>
        </w:rPr>
        <w:t xml:space="preserve"> logic (FOL or HOL)?</w:t>
      </w:r>
    </w:p>
    <w:p w14:paraId="071D38C9" w14:textId="70908DE5" w:rsidR="00504483" w:rsidRDefault="00504483" w:rsidP="00504483">
      <w:r>
        <w:t xml:space="preserve">Higher-order logic </w:t>
      </w:r>
      <w:r w:rsidR="005345F1">
        <w:t xml:space="preserve">(HOL) </w:t>
      </w:r>
      <w:r>
        <w:t xml:space="preserve">but without explicit types.  </w:t>
      </w:r>
      <w:r w:rsidR="005345F1">
        <w:t>First</w:t>
      </w:r>
      <w:r>
        <w:t>-order logic</w:t>
      </w:r>
      <w:r w:rsidR="005345F1">
        <w:t xml:space="preserve"> (FOL)</w:t>
      </w:r>
      <w:r>
        <w:t xml:space="preserve"> means you can quantify over 1st order functions that act on </w:t>
      </w:r>
      <w:r w:rsidR="00693277">
        <w:t>0</w:t>
      </w:r>
      <w:r w:rsidR="00693277" w:rsidRPr="00693277">
        <w:rPr>
          <w:vertAlign w:val="superscript"/>
        </w:rPr>
        <w:t>th</w:t>
      </w:r>
      <w:r w:rsidR="00693277">
        <w:t xml:space="preserve"> order elements</w:t>
      </w:r>
      <w:r w:rsidR="005345F1">
        <w:t xml:space="preserve">.  HOL extends this to allow quantification over </w:t>
      </w:r>
      <w:r>
        <w:t xml:space="preserve">2nd order functions that act on 1st order functions, 3rd order functions that act on 2nd order functions, etc.  </w:t>
      </w:r>
      <w:r w:rsidR="005345F1">
        <w:t>HOL is more expressive than FOL.</w:t>
      </w:r>
      <w:r w:rsidR="00693277">
        <w:t xml:space="preserve">  </w:t>
      </w:r>
      <w:r>
        <w:t>Our system is even more expressive than typed-HOL because we can quantify over functions that act on other functions without explicit</w:t>
      </w:r>
      <w:r w:rsidR="005345F1">
        <w:t>ly</w:t>
      </w:r>
      <w:r>
        <w:t xml:space="preserve"> </w:t>
      </w:r>
      <w:r w:rsidR="005345F1">
        <w:t>identifying their</w:t>
      </w:r>
      <w:r>
        <w:t xml:space="preserve"> order.  But there is always an implicit restriction to keep function orders finite (avoiding Curry's paradox and the like). This restriction is enforced by disallowing circular operator-operand dependencies in any function instantiation. P </w:t>
      </w:r>
      <w:r>
        <w:rPr>
          <w:rFonts w:ascii="Cambria Math" w:hAnsi="Cambria Math" w:cs="Cambria Math"/>
        </w:rPr>
        <w:t>↦</w:t>
      </w:r>
      <w:r>
        <w:t xml:space="preserve"> </w:t>
      </w:r>
      <w:r>
        <w:rPr>
          <w:rFonts w:ascii="Aptos" w:hAnsi="Aptos" w:cs="Aptos"/>
        </w:rPr>
        <w:t>¬</w:t>
      </w:r>
      <w:r>
        <w:t xml:space="preserve">P(P), </w:t>
      </w:r>
      <w:r w:rsidR="000D1A83">
        <w:t xml:space="preserve">an example that is </w:t>
      </w:r>
      <w:r>
        <w:t>pertinent</w:t>
      </w:r>
      <w:r w:rsidR="000D1A83">
        <w:t xml:space="preserve"> </w:t>
      </w:r>
      <w:r>
        <w:t xml:space="preserve">to Curry's paradox, is not allowed (in that case, P could not be assigned any finite order since P's order must be higher than P's order).  Our insight is that the exact order doesn't matter, just that it's finite.  </w:t>
      </w:r>
      <w:r w:rsidR="00693277">
        <w:t>To</w:t>
      </w:r>
      <w:r>
        <w:t xml:space="preserve"> translate our proofs into a typed higher-order predicate logic (i.e., the "simple theory of types" as Robert Rogers calls it in "Mathematical Logic and Formalized Theories"), some theorems will translate into a schema of infinite theorems over all possible types.  Hence, Prove-It is more expressive.</w:t>
      </w:r>
      <w:r>
        <w:t xml:space="preserve">  As a concrete example, consider our ‘substitution’ axiom</w:t>
      </w:r>
      <w:r w:rsidR="00033573">
        <w:t>:</w:t>
      </w:r>
    </w:p>
    <w:p w14:paraId="38AEB566" w14:textId="15630427" w:rsidR="00504483" w:rsidRDefault="00504483" w:rsidP="00504483">
      <w:r>
        <w:rPr>
          <w:noProof/>
        </w:rPr>
        <w:drawing>
          <wp:inline distT="0" distB="0" distL="0" distR="0" wp14:anchorId="20CD1604" wp14:editId="7F79DCA2">
            <wp:extent cx="2276190" cy="219048"/>
            <wp:effectExtent l="0" t="0" r="0" b="0"/>
            <wp:docPr id="3656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2035" name="Picture 365682035"/>
                    <pic:cNvPicPr/>
                  </pic:nvPicPr>
                  <pic:blipFill>
                    <a:blip r:embed="rId4">
                      <a:extLst>
                        <a:ext uri="{28A0092B-C50C-407E-A947-70E740481C1C}">
                          <a14:useLocalDpi xmlns:a14="http://schemas.microsoft.com/office/drawing/2010/main" val="0"/>
                        </a:ext>
                      </a:extLst>
                    </a:blip>
                    <a:stretch>
                      <a:fillRect/>
                    </a:stretch>
                  </pic:blipFill>
                  <pic:spPr>
                    <a:xfrm>
                      <a:off x="0" y="0"/>
                      <a:ext cx="2276190" cy="219048"/>
                    </a:xfrm>
                    <a:prstGeom prst="rect">
                      <a:avLst/>
                    </a:prstGeom>
                  </pic:spPr>
                </pic:pic>
              </a:graphicData>
            </a:graphic>
          </wp:inline>
        </w:drawing>
      </w:r>
      <w:r w:rsidR="00033573">
        <w:t>.</w:t>
      </w:r>
    </w:p>
    <w:p w14:paraId="07183823" w14:textId="3B4B05A5" w:rsidR="00504483" w:rsidRDefault="00033573" w:rsidP="00504483">
      <w:r>
        <w:t xml:space="preserve">There is no restriction </w:t>
      </w:r>
      <w:r w:rsidR="00705EB3">
        <w:t>o</w:t>
      </w:r>
      <w:r>
        <w:t xml:space="preserve">n x &amp; y and only an implicit restriction that f must be a function that </w:t>
      </w:r>
      <w:r w:rsidR="00693277">
        <w:t xml:space="preserve">acts on a single operand.  </w:t>
      </w:r>
      <w:r>
        <w:t xml:space="preserve"> </w:t>
      </w:r>
      <w:r w:rsidR="00693277">
        <w:t xml:space="preserve">But </w:t>
      </w:r>
      <w:proofErr w:type="spellStart"/>
      <w:r w:rsidR="00693277">
        <w:t>x&amp;y</w:t>
      </w:r>
      <w:proofErr w:type="spellEnd"/>
      <w:r w:rsidR="00693277">
        <w:t xml:space="preserve"> may also be functions of any order as long as f is a higher order</w:t>
      </w:r>
      <w:r w:rsidR="00705EB3">
        <w:t xml:space="preserve"> than both.</w:t>
      </w:r>
    </w:p>
    <w:p w14:paraId="472E4445" w14:textId="77777777" w:rsidR="00504483" w:rsidRPr="00FC3762" w:rsidRDefault="00504483" w:rsidP="00504483">
      <w:pPr>
        <w:rPr>
          <w:b/>
          <w:bCs/>
        </w:rPr>
      </w:pPr>
      <w:r w:rsidRPr="00FC3762">
        <w:rPr>
          <w:b/>
          <w:bCs/>
        </w:rPr>
        <w:t xml:space="preserve">What is the type of the system </w:t>
      </w:r>
      <w:proofErr w:type="spellStart"/>
      <w:r w:rsidRPr="00FC3762">
        <w:rPr>
          <w:b/>
          <w:bCs/>
        </w:rPr>
        <w:t>w.r.t.</w:t>
      </w:r>
      <w:proofErr w:type="spellEnd"/>
      <w:r w:rsidRPr="00FC3762">
        <w:rPr>
          <w:b/>
          <w:bCs/>
        </w:rPr>
        <w:t xml:space="preserve"> truth values (binary/fuzzy)?</w:t>
      </w:r>
    </w:p>
    <w:p w14:paraId="789956B7" w14:textId="45D15CF0" w:rsidR="00B43E80" w:rsidRDefault="009B6D03" w:rsidP="00504483">
      <w:r>
        <w:t xml:space="preserve">The logic of </w:t>
      </w:r>
      <w:r w:rsidR="00504483">
        <w:t xml:space="preserve">Prove-It is binary but not </w:t>
      </w:r>
      <w:r w:rsidR="00247F0E">
        <w:t xml:space="preserve">necessarily </w:t>
      </w:r>
      <w:r w:rsidR="00504483">
        <w:t>restricted to two values.  It is binary in the sense that all expressions</w:t>
      </w:r>
      <w:r>
        <w:t>, even with no explicit type,</w:t>
      </w:r>
      <w:r w:rsidR="00504483">
        <w:t xml:space="preserve"> may </w:t>
      </w:r>
      <w:r>
        <w:t xml:space="preserve">either </w:t>
      </w:r>
      <w:r w:rsidR="00504483">
        <w:t>evaluate to TRUE</w:t>
      </w:r>
      <w:r>
        <w:t xml:space="preserve"> </w:t>
      </w:r>
      <w:r w:rsidR="00B43E80">
        <w:t>(</w:t>
      </w:r>
      <w:r w:rsidR="00B43E80" w:rsidRPr="00B43E80">
        <w:rPr>
          <w:rFonts w:ascii="Cambria Math" w:hAnsi="Cambria Math" w:cs="Cambria Math"/>
        </w:rPr>
        <w:t>⊤</w:t>
      </w:r>
      <w:r w:rsidR="00B43E80">
        <w:rPr>
          <w:rFonts w:ascii="Cambria Math" w:hAnsi="Cambria Math" w:cs="Cambria Math"/>
        </w:rPr>
        <w:t xml:space="preserve">) </w:t>
      </w:r>
      <w:r>
        <w:t>or not evaluate to TRUE</w:t>
      </w:r>
      <w:r w:rsidR="00504483">
        <w:t xml:space="preserve">.  If something is known to not evaluate to </w:t>
      </w:r>
      <w:r w:rsidR="00B43E80" w:rsidRPr="00B43E80">
        <w:rPr>
          <w:rFonts w:ascii="Cambria Math" w:hAnsi="Cambria Math" w:cs="Cambria Math"/>
        </w:rPr>
        <w:t>⊤</w:t>
      </w:r>
      <w:r w:rsidR="00504483">
        <w:t xml:space="preserve">, we do not assume it to be </w:t>
      </w:r>
      <w:r w:rsidR="00B43E80">
        <w:t>FALSE (</w:t>
      </w:r>
      <w:r w:rsidR="00B43E80" w:rsidRPr="00B43E80">
        <w:rPr>
          <w:rFonts w:ascii="Cambria Math" w:hAnsi="Cambria Math" w:cs="Cambria Math"/>
        </w:rPr>
        <w:t>⊥</w:t>
      </w:r>
      <w:r w:rsidR="00B43E80">
        <w:rPr>
          <w:rFonts w:ascii="Cambria Math" w:hAnsi="Cambria Math" w:cs="Cambria Math"/>
        </w:rPr>
        <w:t>)</w:t>
      </w:r>
      <w:r w:rsidR="00504483">
        <w:t xml:space="preserve"> (unless we have further knowledge that it is Boolean).  ¬A means "A is not TRUE" but does not necessarily mean that A</w:t>
      </w:r>
      <w:r w:rsidR="00B43E80">
        <w:t>=</w:t>
      </w:r>
      <w:r w:rsidR="00B43E80" w:rsidRPr="00B43E80">
        <w:rPr>
          <w:rFonts w:ascii="Cambria Math" w:hAnsi="Cambria Math" w:cs="Cambria Math"/>
        </w:rPr>
        <w:t>⊥</w:t>
      </w:r>
      <w:r w:rsidR="00504483">
        <w:t xml:space="preserve">.  Therefore, "A or ¬A" (law of excluded middle) is always </w:t>
      </w:r>
      <w:r w:rsidR="00705EB3">
        <w:t>satisfied</w:t>
      </w:r>
      <w:r w:rsidR="00504483">
        <w:t xml:space="preserve"> for any A without restriction.  </w:t>
      </w:r>
      <w:r w:rsidR="00247F0E">
        <w:t xml:space="preserve">This is not particularly </w:t>
      </w:r>
      <w:r>
        <w:t>consequential</w:t>
      </w:r>
      <w:r w:rsidR="00997FA4">
        <w:t xml:space="preserve"> beyond allowing</w:t>
      </w:r>
      <w:r w:rsidR="00247F0E">
        <w:t xml:space="preserve"> us to forego explicit typing </w:t>
      </w:r>
      <w:r w:rsidR="00FC3762">
        <w:t>while</w:t>
      </w:r>
      <w:r>
        <w:t xml:space="preserve"> </w:t>
      </w:r>
      <w:r>
        <w:lastRenderedPageBreak/>
        <w:t>us</w:t>
      </w:r>
      <w:r w:rsidR="00705EB3">
        <w:t>ing</w:t>
      </w:r>
      <w:r>
        <w:t xml:space="preserve"> a logic that conveniently includes equality.</w:t>
      </w:r>
      <w:r w:rsidR="005E191C">
        <w:t xml:space="preserve">  </w:t>
      </w:r>
      <w:r w:rsidR="00B43E80">
        <w:rPr>
          <w:rFonts w:ascii="Cambria Math" w:hAnsi="Cambria Math" w:cs="Cambria Math"/>
        </w:rPr>
        <w:t>N</w:t>
      </w:r>
      <w:r w:rsidR="00B43E80">
        <w:rPr>
          <w:rFonts w:ascii="Cambria Math" w:hAnsi="Cambria Math" w:cs="Cambria Math"/>
        </w:rPr>
        <w:t>oting that implication (</w:t>
      </w:r>
      <w:r w:rsidR="00B43E80" w:rsidRPr="00B43E80">
        <w:rPr>
          <w:rFonts w:ascii="Cambria Math" w:hAnsi="Cambria Math" w:cs="Cambria Math"/>
        </w:rPr>
        <w:t>⇒</w:t>
      </w:r>
      <w:r w:rsidR="00B43E80">
        <w:rPr>
          <w:rFonts w:ascii="Cambria Math" w:hAnsi="Cambria Math" w:cs="Cambria Math"/>
        </w:rPr>
        <w:t>) is our only primitive logical connective</w:t>
      </w:r>
      <w:r w:rsidR="00B43E80">
        <w:t xml:space="preserve">, a translation to standard two-valued logic can always be made by replacing “A </w:t>
      </w:r>
      <w:r w:rsidR="00B43E80" w:rsidRPr="00B43E80">
        <w:rPr>
          <w:rFonts w:ascii="Cambria Math" w:hAnsi="Cambria Math" w:cs="Cambria Math"/>
        </w:rPr>
        <w:t>⇒</w:t>
      </w:r>
      <w:r w:rsidR="00B43E80">
        <w:rPr>
          <w:rFonts w:ascii="Cambria Math" w:hAnsi="Cambria Math" w:cs="Cambria Math"/>
        </w:rPr>
        <w:t xml:space="preserve"> B” with “(A=</w:t>
      </w:r>
      <w:r w:rsidR="00B43E80" w:rsidRPr="00B43E80">
        <w:rPr>
          <w:rFonts w:ascii="Cambria Math" w:hAnsi="Cambria Math" w:cs="Cambria Math"/>
        </w:rPr>
        <w:t>⊤</w:t>
      </w:r>
      <w:r w:rsidR="00B43E80">
        <w:rPr>
          <w:rFonts w:ascii="Cambria Math" w:hAnsi="Cambria Math" w:cs="Cambria Math"/>
        </w:rPr>
        <w:t xml:space="preserve">)  </w:t>
      </w:r>
      <w:r w:rsidR="00B43E80" w:rsidRPr="00B43E80">
        <w:rPr>
          <w:rFonts w:ascii="Cambria Math" w:hAnsi="Cambria Math" w:cs="Cambria Math"/>
        </w:rPr>
        <w:t>⇒</w:t>
      </w:r>
      <w:r w:rsidR="00B43E80">
        <w:rPr>
          <w:rFonts w:ascii="Cambria Math" w:hAnsi="Cambria Math" w:cs="Cambria Math"/>
        </w:rPr>
        <w:t xml:space="preserve"> </w:t>
      </w:r>
      <w:r w:rsidR="00B43E80">
        <w:rPr>
          <w:rFonts w:ascii="Cambria Math" w:hAnsi="Cambria Math" w:cs="Cambria Math"/>
        </w:rPr>
        <w:t>(</w:t>
      </w:r>
      <w:r w:rsidR="00B43E80">
        <w:rPr>
          <w:rFonts w:ascii="Cambria Math" w:hAnsi="Cambria Math" w:cs="Cambria Math"/>
        </w:rPr>
        <w:t>B</w:t>
      </w:r>
      <w:r w:rsidR="00B43E80">
        <w:rPr>
          <w:rFonts w:ascii="Cambria Math" w:hAnsi="Cambria Math" w:cs="Cambria Math"/>
        </w:rPr>
        <w:t>=</w:t>
      </w:r>
      <w:r w:rsidR="00B43E80" w:rsidRPr="00B43E80">
        <w:rPr>
          <w:rFonts w:ascii="Cambria Math" w:hAnsi="Cambria Math" w:cs="Cambria Math"/>
        </w:rPr>
        <w:t>⊤</w:t>
      </w:r>
      <w:r w:rsidR="00B43E80">
        <w:rPr>
          <w:rFonts w:ascii="Cambria Math" w:hAnsi="Cambria Math" w:cs="Cambria Math"/>
        </w:rPr>
        <w:t>)</w:t>
      </w:r>
      <w:r w:rsidR="00B43E80">
        <w:rPr>
          <w:rFonts w:ascii="Cambria Math" w:hAnsi="Cambria Math" w:cs="Cambria Math"/>
        </w:rPr>
        <w:t>” as needed.</w:t>
      </w:r>
    </w:p>
    <w:p w14:paraId="51E1368A" w14:textId="77777777" w:rsidR="00504483" w:rsidRPr="00FC3762" w:rsidRDefault="00504483" w:rsidP="00504483">
      <w:pPr>
        <w:rPr>
          <w:b/>
          <w:bCs/>
        </w:rPr>
      </w:pPr>
      <w:r w:rsidRPr="00FC3762">
        <w:rPr>
          <w:b/>
          <w:bCs/>
        </w:rPr>
        <w:t xml:space="preserve">What is the type of the system </w:t>
      </w:r>
      <w:proofErr w:type="spellStart"/>
      <w:r w:rsidRPr="00FC3762">
        <w:rPr>
          <w:b/>
          <w:bCs/>
        </w:rPr>
        <w:t>w.r.t.</w:t>
      </w:r>
      <w:proofErr w:type="spellEnd"/>
      <w:r w:rsidRPr="00FC3762">
        <w:rPr>
          <w:b/>
          <w:bCs/>
        </w:rPr>
        <w:t xml:space="preserve"> calculus (deductive/inductive)?</w:t>
      </w:r>
    </w:p>
    <w:p w14:paraId="4871FAC2" w14:textId="717F8C4D" w:rsidR="00504483" w:rsidRDefault="00504483" w:rsidP="00504483">
      <w:r>
        <w:t>Deductive, I think.  Inductive calculus seems to refer to the calculus of constructions (used in Coq</w:t>
      </w:r>
      <w:r w:rsidR="00FC3762">
        <w:t>, for example</w:t>
      </w:r>
      <w:r>
        <w:t xml:space="preserve">) which I don't really understand so I assume I'm not using it.  But I want to be clear that induction proofs are quite possible and useful -- that's separate from the question of the underlying calculus.  Prove-It's calculus is essentially equivalent to the calculus of predicate logic.  There are different choices </w:t>
      </w:r>
      <w:proofErr w:type="spellStart"/>
      <w:r>
        <w:t>w.r.t.</w:t>
      </w:r>
      <w:proofErr w:type="spellEnd"/>
      <w:r>
        <w:t xml:space="preserve"> inference rules versus axioms, but it is essentially the calculus of predicate logic.  In addition to modus ponens, Prove-It regards instantiation, generalization, and deduction as inference rules and eliminates associated axiom schemata. Deduction is a meta-theorem in </w:t>
      </w:r>
      <w:r w:rsidR="00FC3762">
        <w:t xml:space="preserve">standard </w:t>
      </w:r>
      <w:r>
        <w:t xml:space="preserve">predicate logic; our formal proofs are significantly shortened by taking it as an inference rule instead.  Also, it seems more foundational to say that "A </w:t>
      </w:r>
      <w:r>
        <w:rPr>
          <w:rFonts w:ascii="Cambria Math" w:hAnsi="Cambria Math" w:cs="Cambria Math"/>
        </w:rPr>
        <w:t>⇒</w:t>
      </w:r>
      <w:r>
        <w:t xml:space="preserve"> </w:t>
      </w:r>
      <w:r w:rsidR="00A46FA6">
        <w:t>B</w:t>
      </w:r>
      <w:r>
        <w:t>" is inferred from "</w:t>
      </w:r>
      <w:r w:rsidR="00A46FA6">
        <w:t>B</w:t>
      </w:r>
      <w:r>
        <w:t xml:space="preserve"> is deducible by assuming </w:t>
      </w:r>
      <w:r w:rsidR="00A46FA6">
        <w:t>A</w:t>
      </w:r>
      <w:r>
        <w:t>"</w:t>
      </w:r>
      <w:r w:rsidR="00A46FA6">
        <w:t xml:space="preserve"> (which is the deduction rule essentially) </w:t>
      </w:r>
      <w:r>
        <w:t xml:space="preserve">than a weird axiom such as "(A </w:t>
      </w:r>
      <w:r>
        <w:rPr>
          <w:rFonts w:ascii="Cambria Math" w:hAnsi="Cambria Math" w:cs="Cambria Math"/>
        </w:rPr>
        <w:t>⇒</w:t>
      </w:r>
      <w:r>
        <w:t xml:space="preserve"> (B </w:t>
      </w:r>
      <w:r>
        <w:rPr>
          <w:rFonts w:ascii="Cambria Math" w:hAnsi="Cambria Math" w:cs="Cambria Math"/>
        </w:rPr>
        <w:t>⇒</w:t>
      </w:r>
      <w:r>
        <w:t xml:space="preserve"> C)) </w:t>
      </w:r>
      <w:r>
        <w:rPr>
          <w:rFonts w:ascii="Cambria Math" w:hAnsi="Cambria Math" w:cs="Cambria Math"/>
        </w:rPr>
        <w:t>⇒</w:t>
      </w:r>
      <w:r>
        <w:t xml:space="preserve"> ((A </w:t>
      </w:r>
      <w:r>
        <w:rPr>
          <w:rFonts w:ascii="Cambria Math" w:hAnsi="Cambria Math" w:cs="Cambria Math"/>
        </w:rPr>
        <w:t>⇒</w:t>
      </w:r>
      <w:r>
        <w:t xml:space="preserve"> B) </w:t>
      </w:r>
      <w:r>
        <w:rPr>
          <w:rFonts w:ascii="Cambria Math" w:hAnsi="Cambria Math" w:cs="Cambria Math"/>
        </w:rPr>
        <w:t>⇒</w:t>
      </w:r>
      <w:r>
        <w:t xml:space="preserve"> (A </w:t>
      </w:r>
      <w:r>
        <w:rPr>
          <w:rFonts w:ascii="Cambria Math" w:hAnsi="Cambria Math" w:cs="Cambria Math"/>
        </w:rPr>
        <w:t>⇒</w:t>
      </w:r>
      <w:r>
        <w:t xml:space="preserve"> C))").</w:t>
      </w:r>
      <w:r w:rsidR="00FF7F04">
        <w:t xml:space="preserve">  Our only strictly logical axiom (not involving equality or set theory) is “</w:t>
      </w:r>
      <w:r w:rsidR="00FF7F04" w:rsidRPr="00FF7F04">
        <w:t>¬¬</w:t>
      </w:r>
      <w:r w:rsidR="00FF7F04">
        <w:t>A</w:t>
      </w:r>
      <w:r w:rsidR="00FF7F04">
        <w:rPr>
          <w:rFonts w:ascii="Cambria Math" w:hAnsi="Cambria Math" w:cs="Cambria Math"/>
        </w:rPr>
        <w:t>⇒</w:t>
      </w:r>
      <w:r w:rsidR="00FF7F04">
        <w:t>A” which is critical for proofs involving contradiction.</w:t>
      </w:r>
    </w:p>
    <w:p w14:paraId="57ADCAD4" w14:textId="77777777" w:rsidR="00504483" w:rsidRPr="00FC3762" w:rsidRDefault="00504483" w:rsidP="00504483">
      <w:pPr>
        <w:rPr>
          <w:b/>
          <w:bCs/>
        </w:rPr>
      </w:pPr>
      <w:r w:rsidRPr="00FC3762">
        <w:rPr>
          <w:b/>
          <w:bCs/>
        </w:rPr>
        <w:t>Either set theoretic support (ZF/fuzzy) is available in the system?</w:t>
      </w:r>
    </w:p>
    <w:p w14:paraId="761EDB36" w14:textId="50E2C99E" w:rsidR="00504483" w:rsidRDefault="00504483" w:rsidP="00504483">
      <w:r>
        <w:t>ZF set theory axioms form the bulk of the standard, accepted axioms of Prove-It.  Conservative definitions are used to extend into other theories.</w:t>
      </w:r>
      <w:r w:rsidR="00FC3762">
        <w:t xml:space="preserve">  Numbers, for example, are to be defined by proving the existence of sets of sets that have the properties of the hierarchy of number sets (naturals, integers, rational numbers, real numbers, and complex numbers).</w:t>
      </w:r>
    </w:p>
    <w:p w14:paraId="18CC8D0C" w14:textId="77777777" w:rsidR="00504483" w:rsidRPr="00FC3762" w:rsidRDefault="00504483" w:rsidP="00504483">
      <w:pPr>
        <w:rPr>
          <w:b/>
          <w:bCs/>
        </w:rPr>
      </w:pPr>
      <w:r w:rsidRPr="00FC3762">
        <w:rPr>
          <w:b/>
          <w:bCs/>
        </w:rPr>
        <w:t>What is the paradigm (functional/imperative/other) of the system?</w:t>
      </w:r>
    </w:p>
    <w:p w14:paraId="47BF273D" w14:textId="68159D08" w:rsidR="00504483" w:rsidRDefault="00504483" w:rsidP="00504483">
      <w:r>
        <w:t>Imperative.  Commands are issued in the furtherance of a proof as a data structure.  The program itself is not the proof (not using Curry-Howard correspondence).</w:t>
      </w:r>
    </w:p>
    <w:p w14:paraId="0B5131FE" w14:textId="77777777" w:rsidR="00504483" w:rsidRPr="00FC3762" w:rsidRDefault="00504483" w:rsidP="00504483">
      <w:pPr>
        <w:rPr>
          <w:b/>
          <w:bCs/>
        </w:rPr>
      </w:pPr>
      <w:r w:rsidRPr="00FC3762">
        <w:rPr>
          <w:b/>
          <w:bCs/>
        </w:rPr>
        <w:t>What is the programming language (C/C++/Java/Other) of the system?</w:t>
      </w:r>
    </w:p>
    <w:p w14:paraId="6BD460C0" w14:textId="30C98595" w:rsidR="00504483" w:rsidRDefault="00F83AA2" w:rsidP="00504483">
      <w:r>
        <w:t xml:space="preserve">Python in </w:t>
      </w:r>
      <w:proofErr w:type="spellStart"/>
      <w:r>
        <w:t>Jupyter</w:t>
      </w:r>
      <w:proofErr w:type="spellEnd"/>
      <w:r>
        <w:t xml:space="preserve"> notebooks</w:t>
      </w:r>
      <w:r w:rsidR="00B775B6">
        <w:t xml:space="preserve"> o</w:t>
      </w:r>
      <w:r>
        <w:t xml:space="preserve">n the front end, </w:t>
      </w:r>
      <w:r>
        <w:t xml:space="preserve">Python scripts </w:t>
      </w:r>
      <w:r>
        <w:t>on the back end that are intended to continually develop as theories expand.</w:t>
      </w:r>
    </w:p>
    <w:p w14:paraId="4D90A0EE" w14:textId="77777777" w:rsidR="00504483" w:rsidRPr="00FC3762" w:rsidRDefault="00504483" w:rsidP="00504483">
      <w:pPr>
        <w:rPr>
          <w:b/>
          <w:bCs/>
        </w:rPr>
      </w:pPr>
      <w:r w:rsidRPr="00FC3762">
        <w:rPr>
          <w:b/>
          <w:bCs/>
        </w:rPr>
        <w:t>What is the user interface (GUI/CLI) of the system?</w:t>
      </w:r>
    </w:p>
    <w:p w14:paraId="3F8A46C7" w14:textId="4BB760B3" w:rsidR="00504483" w:rsidRDefault="00504483" w:rsidP="00504483">
      <w:r>
        <w:t>Primarily a computer language interface but LaTeX-formatted output is a</w:t>
      </w:r>
      <w:r w:rsidR="008978B3">
        <w:t xml:space="preserve"> </w:t>
      </w:r>
      <w:r w:rsidR="009106C3">
        <w:t>useful</w:t>
      </w:r>
      <w:r>
        <w:t xml:space="preserve"> graphical feature.</w:t>
      </w:r>
    </w:p>
    <w:p w14:paraId="36CA1BC8" w14:textId="77777777" w:rsidR="00504483" w:rsidRPr="00FC3762" w:rsidRDefault="00504483" w:rsidP="00504483">
      <w:pPr>
        <w:rPr>
          <w:b/>
          <w:bCs/>
        </w:rPr>
      </w:pPr>
      <w:r w:rsidRPr="00FC3762">
        <w:rPr>
          <w:b/>
          <w:bCs/>
        </w:rPr>
        <w:t>What is the scalability (distributed/multi-threaded) of the system?</w:t>
      </w:r>
    </w:p>
    <w:p w14:paraId="3339452A" w14:textId="7A025F57" w:rsidR="00504483" w:rsidRDefault="00504483" w:rsidP="00504483">
      <w:r>
        <w:t>Within a given theorem proof, Prove-It is intended to run serially.  Since automation is limited, this is okay.  Multiple theorem proofs may be (re-)executed in parallel (useful for regression testing).</w:t>
      </w:r>
    </w:p>
    <w:p w14:paraId="371F32BA" w14:textId="77777777" w:rsidR="00504483" w:rsidRPr="00FC3762" w:rsidRDefault="00504483" w:rsidP="00504483">
      <w:pPr>
        <w:rPr>
          <w:b/>
          <w:bCs/>
        </w:rPr>
      </w:pPr>
      <w:r w:rsidRPr="00FC3762">
        <w:rPr>
          <w:b/>
          <w:bCs/>
        </w:rPr>
        <w:t>Either library support is available in the system?</w:t>
      </w:r>
    </w:p>
    <w:p w14:paraId="11E3E4C5" w14:textId="52410634" w:rsidR="006A2292" w:rsidRDefault="00504483" w:rsidP="00504483">
      <w:r>
        <w:t>Prove-It is organized into a directory structure of theory packages that may have arbitrary interconnections.  This is expected to continually grow.  Note that proofs can be trusted independently of the complex and growing Prove-It softwar</w:t>
      </w:r>
      <w:r w:rsidR="00FC3762">
        <w:t>e</w:t>
      </w:r>
      <w:r>
        <w:t>.  Independent proof checkers</w:t>
      </w:r>
      <w:r w:rsidR="00347384">
        <w:t>, for Prove-It generated proofs</w:t>
      </w:r>
      <w:r>
        <w:t xml:space="preserve"> can be developed, in principle, to be simple and efficient.</w:t>
      </w:r>
    </w:p>
    <w:sectPr w:rsidR="006A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83"/>
    <w:rsid w:val="00033573"/>
    <w:rsid w:val="000D1A83"/>
    <w:rsid w:val="000F3A0F"/>
    <w:rsid w:val="00247F0E"/>
    <w:rsid w:val="0025183D"/>
    <w:rsid w:val="00287209"/>
    <w:rsid w:val="00346A66"/>
    <w:rsid w:val="00347384"/>
    <w:rsid w:val="00477EA8"/>
    <w:rsid w:val="00504483"/>
    <w:rsid w:val="005345F1"/>
    <w:rsid w:val="005E191C"/>
    <w:rsid w:val="00693277"/>
    <w:rsid w:val="006A2292"/>
    <w:rsid w:val="00705EB3"/>
    <w:rsid w:val="008978B3"/>
    <w:rsid w:val="009106C3"/>
    <w:rsid w:val="0093164D"/>
    <w:rsid w:val="00997FA4"/>
    <w:rsid w:val="009B6D03"/>
    <w:rsid w:val="00A14729"/>
    <w:rsid w:val="00A46FA6"/>
    <w:rsid w:val="00B21BE4"/>
    <w:rsid w:val="00B43E80"/>
    <w:rsid w:val="00B458C5"/>
    <w:rsid w:val="00B775B6"/>
    <w:rsid w:val="00CC4E81"/>
    <w:rsid w:val="00DF4E00"/>
    <w:rsid w:val="00E465C9"/>
    <w:rsid w:val="00E70462"/>
    <w:rsid w:val="00F83AA2"/>
    <w:rsid w:val="00FC3762"/>
    <w:rsid w:val="00FF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BC25"/>
  <w15:chartTrackingRefBased/>
  <w15:docId w15:val="{2714ACE5-2C22-40BC-AA7B-51C561E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483"/>
    <w:rPr>
      <w:rFonts w:eastAsiaTheme="majorEastAsia" w:cstheme="majorBidi"/>
      <w:color w:val="272727" w:themeColor="text1" w:themeTint="D8"/>
    </w:rPr>
  </w:style>
  <w:style w:type="paragraph" w:styleId="Title">
    <w:name w:val="Title"/>
    <w:basedOn w:val="Normal"/>
    <w:next w:val="Normal"/>
    <w:link w:val="TitleChar"/>
    <w:uiPriority w:val="10"/>
    <w:qFormat/>
    <w:rsid w:val="00504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483"/>
    <w:pPr>
      <w:spacing w:before="160"/>
      <w:jc w:val="center"/>
    </w:pPr>
    <w:rPr>
      <w:i/>
      <w:iCs/>
      <w:color w:val="404040" w:themeColor="text1" w:themeTint="BF"/>
    </w:rPr>
  </w:style>
  <w:style w:type="character" w:customStyle="1" w:styleId="QuoteChar">
    <w:name w:val="Quote Char"/>
    <w:basedOn w:val="DefaultParagraphFont"/>
    <w:link w:val="Quote"/>
    <w:uiPriority w:val="29"/>
    <w:rsid w:val="00504483"/>
    <w:rPr>
      <w:i/>
      <w:iCs/>
      <w:color w:val="404040" w:themeColor="text1" w:themeTint="BF"/>
    </w:rPr>
  </w:style>
  <w:style w:type="paragraph" w:styleId="ListParagraph">
    <w:name w:val="List Paragraph"/>
    <w:basedOn w:val="Normal"/>
    <w:uiPriority w:val="34"/>
    <w:qFormat/>
    <w:rsid w:val="00504483"/>
    <w:pPr>
      <w:ind w:left="720"/>
      <w:contextualSpacing/>
    </w:pPr>
  </w:style>
  <w:style w:type="character" w:styleId="IntenseEmphasis">
    <w:name w:val="Intense Emphasis"/>
    <w:basedOn w:val="DefaultParagraphFont"/>
    <w:uiPriority w:val="21"/>
    <w:qFormat/>
    <w:rsid w:val="00504483"/>
    <w:rPr>
      <w:i/>
      <w:iCs/>
      <w:color w:val="0F4761" w:themeColor="accent1" w:themeShade="BF"/>
    </w:rPr>
  </w:style>
  <w:style w:type="paragraph" w:styleId="IntenseQuote">
    <w:name w:val="Intense Quote"/>
    <w:basedOn w:val="Normal"/>
    <w:next w:val="Normal"/>
    <w:link w:val="IntenseQuoteChar"/>
    <w:uiPriority w:val="30"/>
    <w:qFormat/>
    <w:rsid w:val="00504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483"/>
    <w:rPr>
      <w:i/>
      <w:iCs/>
      <w:color w:val="0F4761" w:themeColor="accent1" w:themeShade="BF"/>
    </w:rPr>
  </w:style>
  <w:style w:type="character" w:styleId="IntenseReference">
    <w:name w:val="Intense Reference"/>
    <w:basedOn w:val="DefaultParagraphFont"/>
    <w:uiPriority w:val="32"/>
    <w:qFormat/>
    <w:rsid w:val="00504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Witzel, Wayne Martin</dc:creator>
  <cp:keywords/>
  <dc:description/>
  <cp:lastModifiedBy>Witzel, Wayne Martin</cp:lastModifiedBy>
  <cp:revision>23</cp:revision>
  <dcterms:created xsi:type="dcterms:W3CDTF">2025-11-23T19:38:00Z</dcterms:created>
  <dcterms:modified xsi:type="dcterms:W3CDTF">2025-11-23T23:08:00Z</dcterms:modified>
</cp:coreProperties>
</file>