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Color Tables Test Report</w:t>
        <w:br/>
        <w:t>root</w:t>
        <w:br/>
        <w:t>2021-02-18</w:t>
      </w:r>
    </w:p>
    <w:p>
      <w:r>
        <w:rPr>
          <w:b/>
        </w:rPr>
        <w:t>Abstract:</w:t>
      </w:r>
    </w:p>
    <w:p>
      <w:r>
        <w:t>This report outlines some plotting capabilities of the ARG's Generator applied to a colored-tables.</w:t>
        <w:br/>
      </w:r>
    </w:p>
    <w:p>
      <w:r>
        <w:br w:type="page"/>
      </w:r>
    </w:p>
    <w:p>
      <w:r>
        <w:br w:type="page"/>
      </w:r>
    </w:p>
    <w:p>
      <w:r>
        <w:t>This document was generated on 2021-02-18, 16:16:39 with the Automatic Report Generator (ARG) version "develop" on the Linux system runner-ed2dce3a-project-18732201-concurrent-0.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1-3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This sample report illustrates the automatic report generator (ARG).</w:t>
      </w:r>
    </w:p>
    <w:p>
      <w:r>
        <w:br w:type="page"/>
      </w:r>
    </w:p>
    <w:p>
      <w:pPr>
        <w:pStyle w:val="Heading1"/>
      </w:pPr>
      <w:r>
        <w:t>5. Color Table</w:t>
      </w:r>
    </w:p>
    <w:p>
      <w:pPr>
        <w:pStyle w:val="Heading2"/>
      </w:pPr>
      <w:r>
        <w:t>5.1. Color Table Generation</w:t>
      </w:r>
    </w:p>
    <w:p>
      <w:r>
        <w:t>This section provides a colored table generation.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043865"/>
          </w:tcPr>
          <w:p>
            <w:r>
              <w:rPr>
                <w:color w:val="FFFFFF"/>
              </w:rPr>
              <w:t>ID</w:t>
            </w:r>
          </w:p>
        </w:tc>
        <w:tc>
          <w:tcPr>
            <w:tcW w:type="dxa" w:w="1234"/>
            <w:shd w:fill="043865"/>
          </w:tcPr>
          <w:p>
            <w:r>
              <w:rPr>
                <w:color w:val="FFFFFF"/>
              </w:rPr>
              <w:t>Description</w:t>
            </w:r>
          </w:p>
        </w:tc>
        <w:tc>
          <w:tcPr>
            <w:tcW w:type="dxa" w:w="1234"/>
            <w:shd w:fill="043865"/>
          </w:tcPr>
          <w:p>
            <w:r>
              <w:rPr>
                <w:color w:val="FFFFFF"/>
              </w:rPr>
              <w:t>Importance</w:t>
            </w:r>
          </w:p>
        </w:tc>
        <w:tc>
          <w:tcPr>
            <w:tcW w:type="dxa" w:w="1234"/>
            <w:shd w:fill="043865"/>
          </w:tcPr>
          <w:p>
            <w:r>
              <w:rPr>
                <w:color w:val="FFFFFF"/>
              </w:rPr>
              <w:t>Model Formulated</w:t>
            </w:r>
          </w:p>
        </w:tc>
        <w:tc>
          <w:tcPr>
            <w:tcW w:type="dxa" w:w="1234"/>
            <w:shd w:fill="043865"/>
          </w:tcPr>
          <w:p>
            <w:r>
              <w:rPr>
                <w:color w:val="FFFFFF"/>
              </w:rPr>
              <w:t>Implementation</w:t>
            </w:r>
          </w:p>
        </w:tc>
        <w:tc>
          <w:tcPr>
            <w:tcW w:type="dxa" w:w="1234"/>
            <w:shd w:fill="043865"/>
          </w:tcPr>
          <w:p>
            <w:r>
              <w:rPr>
                <w:color w:val="FFFFFF"/>
              </w:rPr>
              <w:t>Validation</w:t>
            </w:r>
          </w:p>
        </w:tc>
        <w:tc>
          <w:tcPr>
            <w:tcW w:type="dxa" w:w="1234"/>
            <w:shd w:fill="043865"/>
          </w:tcPr>
          <w:p>
            <w:r>
              <w:rPr>
                <w:color w:val="FFFFFF"/>
              </w:rPr>
              <w:t>Model Parameter</w:t>
            </w:r>
          </w:p>
        </w:tc>
      </w:tr>
      <w:tr>
        <w:tc>
          <w:tcPr>
            <w:tcW w:type="dxa" w:w="1234"/>
            <w:shd w:fill="1F7396"/>
          </w:tcPr>
          <w:p>
            <w:r>
              <w:rPr>
                <w:color w:val="FFFFFF"/>
              </w:rPr>
              <w:t>A</w:t>
            </w:r>
          </w:p>
        </w:tc>
        <w:tc>
          <w:tcPr>
            <w:tcW w:type="dxa" w:w="1234"/>
            <w:shd w:fill="1F7396"/>
          </w:tcPr>
          <w:p>
            <w:r>
              <w:rPr>
                <w:color w:val="FFFFFF"/>
              </w:rPr>
              <w:t>Metal Constitutive Behavior</w:t>
            </w:r>
          </w:p>
        </w:tc>
        <w:tc>
          <w:tcPr>
            <w:tcW w:type="dxa" w:w="1234"/>
            <w:shd w:fill="1F7396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</w:tcPr>
          <w:p>
            <w:r>
              <w:rPr>
                <w:color w:val="000000"/>
              </w:rPr>
              <w:t>A1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Uniaxial elastic deformation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</w:tcPr>
          <w:p>
            <w:r>
              <w:rPr>
                <w:color w:val="000000"/>
              </w:rPr>
              <w:t>A2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Transverse deformation under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</w:tcPr>
          <w:p>
            <w:r>
              <w:rPr>
                <w:color w:val="000000"/>
              </w:rPr>
              <w:t>A3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Elastic anisotropy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</w:tcPr>
          <w:p>
            <w:r>
              <w:rPr>
                <w:color w:val="000000"/>
              </w:rPr>
              <w:t>A4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Yielding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234"/>
            <w:shd w:fill="1F7396"/>
          </w:tcPr>
          <w:p>
            <w:r>
              <w:rPr>
                <w:color w:val="FFFFFF"/>
              </w:rPr>
              <w:t>B</w:t>
            </w:r>
          </w:p>
        </w:tc>
        <w:tc>
          <w:tcPr>
            <w:tcW w:type="dxa" w:w="1234"/>
            <w:shd w:fill="1F7396"/>
          </w:tcPr>
          <w:p>
            <w:r>
              <w:rPr>
                <w:color w:val="FFFFFF"/>
              </w:rPr>
              <w:t>Deformation of Slender Structures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</w:tcPr>
          <w:p>
            <w:r>
              <w:rPr>
                <w:color w:val="000000"/>
              </w:rPr>
              <w:t>B1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Nonlinear coupling between stress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D9D9D9"/>
          </w:tcPr>
          <w:p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234"/>
            <w:shd w:fill="FFFFFF"/>
          </w:tcPr>
          <w:p>
            <w:r>
              <w:rPr>
                <w:color w:val="000000"/>
              </w:rPr>
              <w:t>B2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Shear deformation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D9D9D9"/>
          </w:tcPr>
          <w:p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234"/>
            <w:shd w:fill="1F7396"/>
          </w:tcPr>
          <w:p>
            <w:r>
              <w:rPr>
                <w:color w:val="FFFFFF"/>
              </w:rPr>
              <w:t>C</w:t>
            </w:r>
          </w:p>
        </w:tc>
        <w:tc>
          <w:tcPr>
            <w:tcW w:type="dxa" w:w="1234"/>
            <w:shd w:fill="1F7396"/>
          </w:tcPr>
          <w:p>
            <w:r>
              <w:rPr>
                <w:color w:val="FFFFFF"/>
              </w:rPr>
              <w:t>Weld behavior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</w:tcPr>
          <w:p>
            <w:r>
              <w:rPr>
                <w:color w:val="000000"/>
              </w:rPr>
              <w:t>C1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Weld compilance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FFFF00"/>
          </w:tcPr>
          <w:p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FFFF00"/>
          </w:tcPr>
          <w:p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FFFF00"/>
          </w:tcPr>
          <w:p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234"/>
            <w:shd w:fill="FFFFFF"/>
          </w:tcPr>
          <w:p>
            <w:r>
              <w:rPr>
                <w:color w:val="000000"/>
              </w:rPr>
              <w:t>C2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Degradation of yield in heat affected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234"/>
            <w:shd w:fill="1F7396"/>
          </w:tcPr>
          <w:p>
            <w:r>
              <w:rPr>
                <w:color w:val="FFFFFF"/>
              </w:rPr>
              <w:t>D</w:t>
            </w:r>
          </w:p>
        </w:tc>
        <w:tc>
          <w:tcPr>
            <w:tcW w:type="dxa" w:w="1234"/>
            <w:shd w:fill="1F7396"/>
          </w:tcPr>
          <w:p>
            <w:r>
              <w:rPr>
                <w:color w:val="FFFFFF"/>
              </w:rPr>
              <w:t>Support attachment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</w:tcPr>
          <w:p>
            <w:r>
              <w:rPr>
                <w:color w:val="000000"/>
              </w:rPr>
              <w:t>D1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Attachment compilance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FFFF00"/>
          </w:tcPr>
          <w:p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FFFF00"/>
          </w:tcPr>
          <w:p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234"/>
            <w:shd w:fill="FFFFFF"/>
          </w:tcPr>
          <w:p>
            <w:r>
              <w:rPr>
                <w:color w:val="000000"/>
              </w:rPr>
              <w:t>D2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Chemical compatibility between</w:t>
            </w:r>
          </w:p>
        </w:tc>
        <w:tc>
          <w:tcPr>
            <w:tcW w:type="dxa" w:w="1234"/>
            <w:shd w:fill="FFFFFF"/>
          </w:tcPr>
          <w:p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</w:tcPr>
          <w:p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</w:tcPr>
          <w:p>
            <w:r>
              <w:rPr>
                <w:color w:val="000000"/>
              </w:rPr>
              <w:t>Not Adressed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>: qoi - List of Phenomena (PIRT)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