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Hybrid Quant Engine</w:t>
      </w:r>
    </w:p>
    <w:p>
      <w:pPr>
        <w:jc w:val="center"/>
      </w:pPr>
      <w:r>
        <w:rPr>
          <w:b/>
        </w:rPr>
        <w:t>External API Budget Estimate &amp; Requirements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July 2026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Client Approval — API &amp; Data Vendor Budget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Hybrid Quant Engine (Analysis, Backtest &amp; Signals)</w:t>
            </w:r>
          </w:p>
        </w:tc>
      </w:tr>
      <w:tr>
        <w:tc>
          <w:tcPr>
            <w:tcW w:type="dxa" w:w="4320"/>
          </w:tcPr>
          <w:p>
            <w:r>
              <w:t>Markets</w:t>
            </w:r>
          </w:p>
        </w:tc>
        <w:tc>
          <w:tcPr>
            <w:tcW w:type="dxa" w:w="4320"/>
          </w:tcPr>
          <w:p>
            <w:r>
              <w:t>India (NSE/BSE) + US (NYSE/NASDAQ)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Research &amp; signals only — no buy/sell or broker integration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INR (₹); USD converted at ₹84 / $1 where applicable</w:t>
            </w:r>
          </w:p>
        </w:tc>
      </w:tr>
      <w:tr>
        <w:tc>
          <w:tcPr>
            <w:tcW w:type="dxa" w:w="4320"/>
          </w:tcPr>
          <w:p>
            <w:r>
              <w:t>GST</w:t>
            </w:r>
          </w:p>
        </w:tc>
        <w:tc>
          <w:tcPr>
            <w:tcW w:type="dxa" w:w="4320"/>
          </w:tcPr>
          <w:p>
            <w:r>
              <w:t>18% applicable on Indian vendor invoices (shown separately)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document lists all external APIs required to build the Hybrid Quant Engine, including each vendor name, purpose, technical requirements, and estimated cost. Costs are presented in two scenarios: MVP (development / pilot) and Production (client-facing platform). Alert/notification APIs and optional infrastructure APIs are excluded from this budget.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(₹)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One-Time Year 1 (₹)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1 Total incl. GST (₹)</w:t>
            </w:r>
          </w:p>
        </w:tc>
      </w:tr>
      <w:tr>
        <w:tc>
          <w:tcPr>
            <w:tcW w:type="dxa" w:w="2160"/>
          </w:tcPr>
          <w:p>
            <w:r>
              <w:t>MVP — Low estimate</w:t>
            </w:r>
          </w:p>
        </w:tc>
        <w:tc>
          <w:tcPr>
            <w:tcW w:type="dxa" w:w="2160"/>
          </w:tcPr>
          <w:p>
            <w:r>
              <w:t>₹45,872</w:t>
            </w:r>
          </w:p>
        </w:tc>
        <w:tc>
          <w:tcPr>
            <w:tcW w:type="dxa" w:w="2160"/>
          </w:tcPr>
          <w:p>
            <w:r>
              <w:t>₹50,000</w:t>
            </w:r>
          </w:p>
        </w:tc>
        <w:tc>
          <w:tcPr>
            <w:tcW w:type="dxa" w:w="2160"/>
          </w:tcPr>
          <w:p>
            <w:r>
              <w:t>₹7.1 Lakh</w:t>
            </w:r>
          </w:p>
        </w:tc>
      </w:tr>
      <w:tr>
        <w:tc>
          <w:tcPr>
            <w:tcW w:type="dxa" w:w="2160"/>
          </w:tcPr>
          <w:p>
            <w:r>
              <w:t>MVP — High estimate</w:t>
            </w:r>
          </w:p>
        </w:tc>
        <w:tc>
          <w:tcPr>
            <w:tcW w:type="dxa" w:w="2160"/>
          </w:tcPr>
          <w:p>
            <w:r>
              <w:t>₹83,836</w:t>
            </w:r>
          </w:p>
        </w:tc>
        <w:tc>
          <w:tcPr>
            <w:tcW w:type="dxa" w:w="2160"/>
          </w:tcPr>
          <w:p>
            <w:r>
              <w:t>₹1,50,000</w:t>
            </w:r>
          </w:p>
        </w:tc>
        <w:tc>
          <w:tcPr>
            <w:tcW w:type="dxa" w:w="2160"/>
          </w:tcPr>
          <w:p>
            <w:r>
              <w:t>₹13.6 Lakh</w:t>
            </w:r>
          </w:p>
        </w:tc>
      </w:tr>
      <w:tr>
        <w:tc>
          <w:tcPr>
            <w:tcW w:type="dxa" w:w="2160"/>
          </w:tcPr>
          <w:p>
            <w:r>
              <w:t>Production — Low estimate</w:t>
            </w:r>
          </w:p>
        </w:tc>
        <w:tc>
          <w:tcPr>
            <w:tcW w:type="dxa" w:w="2160"/>
          </w:tcPr>
          <w:p>
            <w:r>
              <w:t>₹95,916</w:t>
            </w:r>
          </w:p>
        </w:tc>
        <w:tc>
          <w:tcPr>
            <w:tcW w:type="dxa" w:w="2160"/>
          </w:tcPr>
          <w:p>
            <w:r>
              <w:t>₹1,50,000</w:t>
            </w:r>
          </w:p>
        </w:tc>
        <w:tc>
          <w:tcPr>
            <w:tcW w:type="dxa" w:w="2160"/>
          </w:tcPr>
          <w:p>
            <w:r>
              <w:t>₹15.3 Lakh</w:t>
            </w:r>
          </w:p>
        </w:tc>
      </w:tr>
      <w:tr>
        <w:tc>
          <w:tcPr>
            <w:tcW w:type="dxa" w:w="2160"/>
          </w:tcPr>
          <w:p>
            <w:r>
              <w:t>Production — High estimate</w:t>
            </w:r>
          </w:p>
        </w:tc>
        <w:tc>
          <w:tcPr>
            <w:tcW w:type="dxa" w:w="2160"/>
          </w:tcPr>
          <w:p>
            <w:r>
              <w:t>₹2,25,000</w:t>
            </w:r>
          </w:p>
        </w:tc>
        <w:tc>
          <w:tcPr>
            <w:tcW w:type="dxa" w:w="2160"/>
          </w:tcPr>
          <w:p>
            <w:r>
              <w:t>₹4,00,000</w:t>
            </w:r>
          </w:p>
        </w:tc>
        <w:tc>
          <w:tcPr>
            <w:tcW w:type="dxa" w:w="2160"/>
          </w:tcPr>
          <w:p>
            <w:r>
              <w:t>₹36.6 Lakh</w:t>
            </w:r>
          </w:p>
        </w:tc>
      </w:tr>
    </w:tbl>
    <w:p/>
    <w:p>
      <w:r>
        <w:t>Recommendation for client approval: Begin with MVP Low (~₹7.1 Lakh Year 1 incl. GST) using a 50-symbol pilot universe. Scale to Production after backtest validation.</w:t>
      </w:r>
    </w:p>
    <w:p>
      <w:pPr>
        <w:pStyle w:val="Heading1"/>
      </w:pPr>
      <w:r>
        <w:t>2. Project Assumptions</w:t>
      </w:r>
    </w:p>
    <w:p>
      <w:pPr>
        <w:pStyle w:val="ListBullet"/>
      </w:pPr>
      <w:r>
        <w:t>10-Point Confluence Scoring Matrix (fundamental + technical + order-flow).</w:t>
      </w:r>
    </w:p>
    <w:p>
      <w:pPr>
        <w:pStyle w:val="ListBullet"/>
      </w:pPr>
      <w:r>
        <w:t>20-year historical backtest window (2006–2026) with 0.25% simulated friction.</w:t>
      </w:r>
    </w:p>
    <w:p>
      <w:pPr>
        <w:pStyle w:val="ListBullet"/>
      </w:pPr>
      <w:r>
        <w:t>Live market data during India shift (IST 09:15–15:30) and US shift (IST 19:00–02:30).</w:t>
      </w:r>
    </w:p>
    <w:p>
      <w:pPr>
        <w:pStyle w:val="ListBullet"/>
      </w:pPr>
      <w:r>
        <w:t>Portal publishes signals/alerts only — no order execution.</w:t>
      </w:r>
    </w:p>
    <w:p>
      <w:pPr>
        <w:pStyle w:val="ListBullet"/>
      </w:pPr>
      <w:r>
        <w:t>Backend: Laravel; AI: Gemini + RAG; DB: MySQL + MongoDB.</w:t>
      </w:r>
    </w:p>
    <w:p>
      <w:pPr>
        <w:pStyle w:val="ListBullet"/>
      </w:pPr>
      <w:r>
        <w:t>TrueData API pricing is estimated (custom quote required from vendor).</w:t>
      </w:r>
    </w:p>
    <w:p>
      <w:pPr>
        <w:pStyle w:val="ListBullet"/>
      </w:pPr>
      <w:r>
        <w:t>Polygon.io and FMP prices per published plans (July 2026).</w:t>
      </w:r>
    </w:p>
    <w:p>
      <w:pPr>
        <w:pStyle w:val="Heading1"/>
      </w:pPr>
      <w:r>
        <w:t>3. Detailed API Breakdown by Category</w:t>
      </w:r>
    </w:p>
    <w:p>
      <w:pPr>
        <w:pStyle w:val="Heading2"/>
      </w:pPr>
      <w:r>
        <w:t>Category A — India Market Data</w:t>
      </w:r>
    </w:p>
    <w:p>
      <w:r>
        <w:t>Purpose: Live streaming, EOD history, delivery %, corporate-action-adjusted OHLCV for NSE/BSE.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API / Vendor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MVP Monthly (₹)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One-Time (₹)</w:t>
            </w:r>
          </w:p>
        </w:tc>
      </w:tr>
      <w:tr>
        <w:tc>
          <w:tcPr>
            <w:tcW w:type="dxa" w:w="1440"/>
          </w:tcPr>
          <w:p>
            <w:r>
              <w:t>A1</w:t>
            </w:r>
          </w:p>
        </w:tc>
        <w:tc>
          <w:tcPr>
            <w:tcW w:type="dxa" w:w="1440"/>
          </w:tcPr>
          <w:p>
            <w:r>
              <w:t>TrueData Market Data API</w:t>
              <w:br/>
              <w:t>(WebSocket + REST)</w:t>
            </w:r>
          </w:p>
        </w:tc>
        <w:tc>
          <w:tcPr>
            <w:tcW w:type="dxa" w:w="1440"/>
          </w:tcPr>
          <w:p>
            <w:r>
              <w:t>Live India shift streaming; real-time 5min bars; REST historical EOD; DelVolume; bhavcopy</w:t>
            </w:r>
          </w:p>
        </w:tc>
        <w:tc>
          <w:tcPr>
            <w:tcW w:type="dxa" w:w="1440"/>
          </w:tcPr>
          <w:p>
            <w:r>
              <w:t>NSE EQ + BSE EQ; ~50 (MVP) or ~200 (Prod) symbols; WebSocket port 8082; 5min bar stream enabled; REST auth via auth.truedata.in / history.truedata.in; corporate-action-adjusted EOD; delivery data for P9</w:t>
            </w:r>
          </w:p>
        </w:tc>
        <w:tc>
          <w:tcPr>
            <w:tcW w:type="dxa" w:w="1440"/>
          </w:tcPr>
          <w:p>
            <w:r>
              <w:t>8,000 – 20,000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A2</w:t>
            </w:r>
          </w:p>
        </w:tc>
        <w:tc>
          <w:tcPr>
            <w:tcW w:type="dxa" w:w="1440"/>
          </w:tcPr>
          <w:p>
            <w:r>
              <w:t>TrueData getBhavCopy (EQ / BSEEQ)</w:t>
            </w:r>
          </w:p>
        </w:tc>
        <w:tc>
          <w:tcPr>
            <w:tcW w:type="dxa" w:w="1440"/>
          </w:tcPr>
          <w:p>
            <w:r>
              <w:t>Bulk daily EOD + delivery post-market ingest</w:t>
            </w:r>
          </w:p>
        </w:tc>
        <w:tc>
          <w:tcPr>
            <w:tcW w:type="dxa" w:w="1440"/>
          </w:tcPr>
          <w:p>
            <w:r>
              <w:t>Segment EQ + BSEEQ; daily automated pull after 18:45 IST; store in MongoDB</w:t>
            </w:r>
          </w:p>
        </w:tc>
        <w:tc>
          <w:tcPr>
            <w:tcW w:type="dxa" w:w="1440"/>
          </w:tcPr>
          <w:p>
            <w:r>
              <w:t>Included in A1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A3</w:t>
            </w:r>
          </w:p>
        </w:tc>
        <w:tc>
          <w:tcPr>
            <w:tcW w:type="dxa" w:w="1440"/>
          </w:tcPr>
          <w:p>
            <w:r>
              <w:t>TrueData getBarData (EOD / DelVolume)</w:t>
            </w:r>
          </w:p>
        </w:tc>
        <w:tc>
          <w:tcPr>
            <w:tcW w:type="dxa" w:w="1440"/>
          </w:tcPr>
          <w:p>
            <w:r>
              <w:t>20-year backfill and ongoing daily bars</w:t>
            </w:r>
          </w:p>
        </w:tc>
        <w:tc>
          <w:tcPr>
            <w:tcW w:type="dxa" w:w="1440"/>
          </w:tcPr>
          <w:p>
            <w:r>
              <w:t>Interval EOD + DelVolume; date range 2006–2026; split/bonus adjusted series confirmed with vendor</w:t>
            </w:r>
          </w:p>
        </w:tc>
        <w:tc>
          <w:tcPr>
            <w:tcW w:type="dxa" w:w="1440"/>
          </w:tcPr>
          <w:p>
            <w:r>
              <w:t>Included in A1</w:t>
            </w:r>
          </w:p>
        </w:tc>
        <w:tc>
          <w:tcPr>
            <w:tcW w:type="dxa" w:w="1440"/>
          </w:tcPr>
          <w:p>
            <w:r>
              <w:t>50,000 – 1,50,000</w:t>
              <w:br/>
              <w:t>(MVP backfill)</w:t>
              <w:br/>
              <w:t>1,50,000 – 4,00,000</w:t>
              <w:br/>
              <w:t>(Prod backfill)</w:t>
            </w:r>
          </w:p>
        </w:tc>
      </w:tr>
      <w:tr>
        <w:tc>
          <w:tcPr>
            <w:tcW w:type="dxa" w:w="1440"/>
          </w:tcPr>
          <w:p>
            <w:r>
              <w:t>A4</w:t>
            </w:r>
          </w:p>
        </w:tc>
        <w:tc>
          <w:tcPr>
            <w:tcW w:type="dxa" w:w="1440"/>
          </w:tcPr>
          <w:p>
            <w:r>
              <w:t>NSE / BSE Exchange Data Fees</w:t>
            </w:r>
          </w:p>
        </w:tc>
        <w:tc>
          <w:tcPr>
            <w:tcW w:type="dxa" w:w="1440"/>
          </w:tcPr>
          <w:p>
            <w:r>
              <w:t>Mandatory exchange licensing on top of TrueData</w:t>
            </w:r>
          </w:p>
        </w:tc>
        <w:tc>
          <w:tcPr>
            <w:tcW w:type="dxa" w:w="1440"/>
          </w:tcPr>
          <w:p>
            <w:r>
              <w:t>Non-professional or commercial license per use case; separate from TrueData subscription</w:t>
            </w:r>
          </w:p>
        </w:tc>
        <w:tc>
          <w:tcPr>
            <w:tcW w:type="dxa" w:w="1440"/>
          </w:tcPr>
          <w:p>
            <w:r>
              <w:t>2,000 – 5,000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A5</w:t>
            </w:r>
          </w:p>
        </w:tc>
        <w:tc>
          <w:tcPr>
            <w:tcW w:type="dxa" w:w="1440"/>
          </w:tcPr>
          <w:p>
            <w:r>
              <w:t>Exchange Redistribution License</w:t>
              <w:br/>
              <w:t>(Production only)</w:t>
            </w:r>
          </w:p>
        </w:tc>
        <w:tc>
          <w:tcPr>
            <w:tcW w:type="dxa" w:w="1440"/>
          </w:tcPr>
          <w:p>
            <w:r>
              <w:t>Display live/delayed prices on client-facing dashboard</w:t>
            </w:r>
          </w:p>
        </w:tc>
        <w:tc>
          <w:tcPr>
            <w:tcW w:type="dxa" w:w="1440"/>
          </w:tcPr>
          <w:p>
            <w:r>
              <w:t>Written NSE/BSE approval + TrueData redistribution agreement; required if end-users see live data</w:t>
            </w:r>
          </w:p>
        </w:tc>
        <w:tc>
          <w:tcPr>
            <w:tcW w:type="dxa" w:w="1440"/>
          </w:tcPr>
          <w:p>
            <w:r>
              <w:t>0 (MVP internal)</w:t>
              <w:br/>
              <w:t>15,000 – 50,000</w:t>
              <w:br/>
              <w:t>(Production)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Category A MVP subtotal: ₹10,000 – ₹25,000/month + ₹50,000 – ₹1,50,000 one-time backfill.</w:t>
      </w:r>
    </w:p>
    <w:p>
      <w:r>
        <w:t>Vendor: https://www.truedata.in/market-data-apis | Quote: sales@truedata.in</w:t>
      </w:r>
    </w:p>
    <w:p>
      <w:pPr>
        <w:pStyle w:val="Heading2"/>
      </w:pPr>
      <w:r>
        <w:t>Category B — US Market Data</w:t>
      </w:r>
    </w:p>
    <w:p>
      <w:r>
        <w:t>Purpose: Live US shift streaming, 20Y EOD history, block/large trade data for order-flow scoring (P9).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API / Vendor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MVP Monthly (₹)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One-Time (₹)</w:t>
            </w:r>
          </w:p>
        </w:tc>
      </w:tr>
      <w:tr>
        <w:tc>
          <w:tcPr>
            <w:tcW w:type="dxa" w:w="1440"/>
          </w:tcPr>
          <w:p>
            <w:r>
              <w:t>B1</w:t>
            </w:r>
          </w:p>
        </w:tc>
        <w:tc>
          <w:tcPr>
            <w:tcW w:type="dxa" w:w="1440"/>
          </w:tcPr>
          <w:p>
            <w:r>
              <w:t>Polygon.io Stocks Advanced Plan</w:t>
            </w:r>
          </w:p>
        </w:tc>
        <w:tc>
          <w:tcPr>
            <w:tcW w:type="dxa" w:w="1440"/>
          </w:tcPr>
          <w:p>
            <w:r>
              <w:t>Real-time US WebSocket (Shift 2); 20+ years daily OHLCV; trades for block-trade analysis</w:t>
            </w:r>
          </w:p>
        </w:tc>
        <w:tc>
          <w:tcPr>
            <w:tcW w:type="dxa" w:w="1440"/>
          </w:tcPr>
          <w:p>
            <w:r>
              <w:t>NYSE + NASDAQ equities; WebSocket wss://socket.polygon.io; REST api.polygon.io; unlimited API calls; real-time (non-professional tier); ~50–200 symbol universe</w:t>
            </w:r>
          </w:p>
        </w:tc>
        <w:tc>
          <w:tcPr>
            <w:tcW w:type="dxa" w:w="1440"/>
          </w:tcPr>
          <w:p>
            <w:r>
              <w:t>$199 / ₹16,716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B2</w:t>
            </w:r>
          </w:p>
        </w:tc>
        <w:tc>
          <w:tcPr>
            <w:tcW w:type="dxa" w:w="1440"/>
          </w:tcPr>
          <w:p>
            <w:r>
              <w:t>Polygon REST Aggregates / Trades</w:t>
            </w:r>
          </w:p>
        </w:tc>
        <w:tc>
          <w:tcPr>
            <w:tcW w:type="dxa" w:w="1440"/>
          </w:tcPr>
          <w:p>
            <w:r>
              <w:t>Historical and live bar construction; volume breakout (P9)</w:t>
            </w:r>
          </w:p>
        </w:tc>
        <w:tc>
          <w:tcPr>
            <w:tcW w:type="dxa" w:w="1440"/>
          </w:tcPr>
          <w:p>
            <w:r>
              <w:t>Daily + minute aggregates; trades endpoint for large/block trade ratio; JSON format</w:t>
            </w:r>
          </w:p>
        </w:tc>
        <w:tc>
          <w:tcPr>
            <w:tcW w:type="dxa" w:w="1440"/>
          </w:tcPr>
          <w:p>
            <w:r>
              <w:t>Included in B1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B3</w:t>
            </w:r>
          </w:p>
        </w:tc>
        <w:tc>
          <w:tcPr>
            <w:tcW w:type="dxa" w:w="1440"/>
          </w:tcPr>
          <w:p>
            <w:r>
              <w:t>Polygon Corporate Actions</w:t>
            </w:r>
          </w:p>
        </w:tc>
        <w:tc>
          <w:tcPr>
            <w:tcW w:type="dxa" w:w="1440"/>
          </w:tcPr>
          <w:p>
            <w:r>
              <w:t>Split/dividend adjustment for US backtest</w:t>
            </w:r>
          </w:p>
        </w:tc>
        <w:tc>
          <w:tcPr>
            <w:tcW w:type="dxa" w:w="1440"/>
          </w:tcPr>
          <w:p>
            <w:r>
              <w:t>Historical corp actions per symbol; point-in-time correctness for 20Y walk-forward</w:t>
            </w:r>
          </w:p>
        </w:tc>
        <w:tc>
          <w:tcPr>
            <w:tcW w:type="dxa" w:w="1440"/>
          </w:tcPr>
          <w:p>
            <w:r>
              <w:t>Included in B1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B4</w:t>
            </w:r>
          </w:p>
        </w:tc>
        <w:tc>
          <w:tcPr>
            <w:tcW w:type="dxa" w:w="1440"/>
          </w:tcPr>
          <w:p>
            <w:r>
              <w:t>US Exchange Pro Fees</w:t>
              <w:br/>
              <w:t>(if applicable)</w:t>
            </w:r>
          </w:p>
        </w:tc>
        <w:tc>
          <w:tcPr>
            <w:tcW w:type="dxa" w:w="1440"/>
          </w:tcPr>
          <w:p>
            <w:r>
              <w:t>Required if user classified as professional by exchange</w:t>
            </w:r>
          </w:p>
        </w:tc>
        <w:tc>
          <w:tcPr>
            <w:tcW w:type="dxa" w:w="1440"/>
          </w:tcPr>
          <w:p>
            <w:r>
              <w:t>Polygon Non-Pro vs Pro classification; additional fees may apply for commercial redistribution</w:t>
            </w:r>
          </w:p>
        </w:tc>
        <w:tc>
          <w:tcPr>
            <w:tcW w:type="dxa" w:w="1440"/>
          </w:tcPr>
          <w:p>
            <w:r>
              <w:t>0 – 8,400</w:t>
              <w:br/>
              <w:t>(Production)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Category B subtotal: ₹16,716 – ₹25,116/month.</w:t>
      </w:r>
    </w:p>
    <w:p>
      <w:r>
        <w:t>Vendor: https://polygon.io/pricing</w:t>
      </w:r>
    </w:p>
    <w:p>
      <w:pPr>
        <w:pStyle w:val="Heading2"/>
      </w:pPr>
      <w:r>
        <w:t>Category C — Index &amp; Benchmark Data</w:t>
      </w:r>
    </w:p>
    <w:p>
      <w:r>
        <w:t>Purpose: Mansfield Relative Strength (P7) vs Nifty 50 and S&amp;P 500.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API / Vendor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Monthly (₹)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One-Time (₹)</w:t>
            </w:r>
          </w:p>
        </w:tc>
      </w:tr>
      <w:tr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TrueData — NIFTY 50</w:t>
            </w:r>
          </w:p>
        </w:tc>
        <w:tc>
          <w:tcPr>
            <w:tcW w:type="dxa" w:w="1440"/>
          </w:tcPr>
          <w:p>
            <w:r>
              <w:t>India benchmark index history + live</w:t>
            </w:r>
          </w:p>
        </w:tc>
        <w:tc>
          <w:tcPr>
            <w:tcW w:type="dxa" w:w="1440"/>
          </w:tcPr>
          <w:p>
            <w:r>
              <w:t>Symbol NIFTY 50; 20Y EOD + live stream during India shift; same adjustment standard as equities</w:t>
            </w:r>
          </w:p>
        </w:tc>
        <w:tc>
          <w:tcPr>
            <w:tcW w:type="dxa" w:w="1440"/>
          </w:tcPr>
          <w:p>
            <w:r>
              <w:t>Included in A1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1440"/>
          </w:tcPr>
          <w:p>
            <w:r>
              <w:t>Polygon.io — S&amp;P 500 index</w:t>
            </w:r>
          </w:p>
        </w:tc>
        <w:tc>
          <w:tcPr>
            <w:tcW w:type="dxa" w:w="1440"/>
          </w:tcPr>
          <w:p>
            <w:r>
              <w:t>US benchmark index history + live</w:t>
            </w:r>
          </w:p>
        </w:tc>
        <w:tc>
          <w:tcPr>
            <w:tcW w:type="dxa" w:w="1440"/>
          </w:tcPr>
          <w:p>
            <w:r>
              <w:t>Index ticker via Polygon; 20Y daily; live during US shift</w:t>
            </w:r>
          </w:p>
        </w:tc>
        <w:tc>
          <w:tcPr>
            <w:tcW w:type="dxa" w:w="1440"/>
          </w:tcPr>
          <w:p>
            <w:r>
              <w:t>Included in B1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Category C subtotal: ₹0 (bundled in Categories A and B).</w:t>
      </w:r>
    </w:p>
    <w:p>
      <w:pPr>
        <w:pStyle w:val="Heading2"/>
      </w:pPr>
      <w:r>
        <w:t>Category D — Fundamental &amp; Financial Statement Data</w:t>
      </w:r>
    </w:p>
    <w:p>
      <w:r>
        <w:t>Purpose: Scoring points P1–P5 (ROE, ROIC, Altman Z, Beneish M, Sloan, DSO, CAGR, PEG, FCFF/FCFE).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API / Vendor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MVP Monthly (₹)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One-Time (₹)</w:t>
            </w:r>
          </w:p>
        </w:tc>
      </w:tr>
      <w:tr>
        <w:tc>
          <w:tcPr>
            <w:tcW w:type="dxa" w:w="1440"/>
          </w:tcPr>
          <w:p>
            <w:r>
              <w:t>D1</w:t>
            </w:r>
          </w:p>
        </w:tc>
        <w:tc>
          <w:tcPr>
            <w:tcW w:type="dxa" w:w="1440"/>
          </w:tcPr>
          <w:p>
            <w:r>
              <w:t>TrueData Corporate REST API</w:t>
            </w:r>
          </w:p>
        </w:tc>
        <w:tc>
          <w:tcPr>
            <w:tcW w:type="dxa" w:w="1440"/>
          </w:tcPr>
          <w:p>
            <w:r>
              <w:t>India fundamentals, financial statements, ratios</w:t>
            </w:r>
          </w:p>
        </w:tc>
        <w:tc>
          <w:tcPr>
            <w:tcW w:type="dxa" w:w="1440"/>
          </w:tcPr>
          <w:p>
            <w:r>
              <w:t>corporate.getPnLById, getBalSheetById, getCashFlowDetailById; getAllResultsByCompany (quarterly/yearly); standalone + consolidated; quarterly refresh post-results</w:t>
            </w:r>
          </w:p>
        </w:tc>
        <w:tc>
          <w:tcPr>
            <w:tcW w:type="dxa" w:w="1440"/>
          </w:tcPr>
          <w:p>
            <w:r>
              <w:t>8,000 – 15,000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D2</w:t>
            </w:r>
          </w:p>
        </w:tc>
        <w:tc>
          <w:tcPr>
            <w:tcW w:type="dxa" w:w="1440"/>
          </w:tcPr>
          <w:p>
            <w:r>
              <w:t>TrueData Corporate WebSocket</w:t>
              <w:br/>
              <w:t>(optional)</w:t>
            </w:r>
          </w:p>
        </w:tc>
        <w:tc>
          <w:tcPr>
            <w:tcW w:type="dxa" w:w="1440"/>
          </w:tcPr>
          <w:p>
            <w:r>
              <w:t>Live corporate announcements during market hours</w:t>
            </w:r>
          </w:p>
        </w:tc>
        <w:tc>
          <w:tcPr>
            <w:tcW w:type="dxa" w:w="1440"/>
          </w:tcPr>
          <w:p>
            <w:r>
              <w:t>rtCorpConnect port 9092; announcement feed for RAG + alert context</w:t>
            </w:r>
          </w:p>
        </w:tc>
        <w:tc>
          <w:tcPr>
            <w:tcW w:type="dxa" w:w="1440"/>
          </w:tcPr>
          <w:p>
            <w:r>
              <w:t>2,000 – 5,000</w:t>
              <w:br/>
              <w:t>(optional)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D3</w:t>
            </w:r>
          </w:p>
        </w:tc>
        <w:tc>
          <w:tcPr>
            <w:tcW w:type="dxa" w:w="1440"/>
          </w:tcPr>
          <w:p>
            <w:r>
              <w:t>Financial Modeling Prep (FMP) Premium</w:t>
            </w:r>
          </w:p>
        </w:tc>
        <w:tc>
          <w:tcPr>
            <w:tcW w:type="dxa" w:w="1440"/>
          </w:tcPr>
          <w:p>
            <w:r>
              <w:t>US fundamentals — income statement, balance sheet, cash flow, ratios</w:t>
            </w:r>
          </w:p>
        </w:tc>
        <w:tc>
          <w:tcPr>
            <w:tcW w:type="dxa" w:w="1440"/>
          </w:tcPr>
          <w:p>
            <w:r>
              <w:t>Premium plan: 750 calls/min; 30 years history; full fundamentals; US coverage; commercial use terms reviewed</w:t>
            </w:r>
          </w:p>
        </w:tc>
        <w:tc>
          <w:tcPr>
            <w:tcW w:type="dxa" w:w="1440"/>
          </w:tcPr>
          <w:p>
            <w:r>
              <w:t>$59 / ₹4,956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D4</w:t>
            </w:r>
          </w:p>
        </w:tc>
        <w:tc>
          <w:tcPr>
            <w:tcW w:type="dxa" w:w="1440"/>
          </w:tcPr>
          <w:p>
            <w:r>
              <w:t>FMP Ultimate</w:t>
              <w:br/>
              <w:t>(Production upgrade)</w:t>
            </w:r>
          </w:p>
        </w:tc>
        <w:tc>
          <w:tcPr>
            <w:tcW w:type="dxa" w:w="1440"/>
          </w:tcPr>
          <w:p>
            <w:r>
              <w:t>US transcripts, 13F, bulk delivery, higher rate limits</w:t>
            </w:r>
          </w:p>
        </w:tc>
        <w:tc>
          <w:tcPr>
            <w:tcW w:type="dxa" w:w="1440"/>
          </w:tcPr>
          <w:p>
            <w:r>
              <w:t>3,000 calls/min; bulk endpoints; needed at 500+ symbol scale</w:t>
            </w:r>
          </w:p>
        </w:tc>
        <w:tc>
          <w:tcPr>
            <w:tcW w:type="dxa" w:w="1440"/>
          </w:tcPr>
          <w:p>
            <w:r>
              <w:t>$149 / ₹12,516</w:t>
              <w:br/>
              <w:t>(Production)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D5</w:t>
            </w:r>
          </w:p>
        </w:tc>
        <w:tc>
          <w:tcPr>
            <w:tcW w:type="dxa" w:w="1440"/>
          </w:tcPr>
          <w:p>
            <w:r>
              <w:t>SimFin Pro API</w:t>
            </w:r>
          </w:p>
        </w:tc>
        <w:tc>
          <w:tcPr>
            <w:tcW w:type="dxa" w:w="1440"/>
          </w:tcPr>
          <w:p>
            <w:r>
              <w:t>US point-in-time fundamentals for honest 20Y backtest</w:t>
            </w:r>
          </w:p>
        </w:tc>
        <w:tc>
          <w:tcPr>
            <w:tcW w:type="dxa" w:w="1440"/>
          </w:tcPr>
          <w:p>
            <w:r>
              <w:t>20+ years history; 30,000 credits/month; avoids lookahead bias in P1–P5 backtest; annual billing $71/mo equivalent</w:t>
            </w:r>
          </w:p>
        </w:tc>
        <w:tc>
          <w:tcPr>
            <w:tcW w:type="dxa" w:w="1440"/>
          </w:tcPr>
          <w:p>
            <w:r>
              <w:t>$71 / ₹5,964</w:t>
              <w:br/>
              <w:t>(recommended)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D6</w:t>
            </w:r>
          </w:p>
        </w:tc>
        <w:tc>
          <w:tcPr>
            <w:tcW w:type="dxa" w:w="1440"/>
          </w:tcPr>
          <w:p>
            <w:r>
              <w:t>TrueData getCorpAction</w:t>
            </w:r>
          </w:p>
        </w:tc>
        <w:tc>
          <w:tcPr>
            <w:tcW w:type="dxa" w:w="1440"/>
          </w:tcPr>
          <w:p>
            <w:r>
              <w:t>India corporate actions for price adjustment</w:t>
            </w:r>
          </w:p>
        </w:tc>
        <w:tc>
          <w:tcPr>
            <w:tcW w:type="dxa" w:w="1440"/>
          </w:tcPr>
          <w:p>
            <w:r>
              <w:t>historical.getCorpAction per symbol; splits, bonuses, dividends, rights</w:t>
            </w:r>
          </w:p>
        </w:tc>
        <w:tc>
          <w:tcPr>
            <w:tcW w:type="dxa" w:w="1440"/>
          </w:tcPr>
          <w:p>
            <w:r>
              <w:t>Included in A1/D1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Category D MVP subtotal: ₹12,956 – ₹25,920/month (without optional D2).</w:t>
      </w:r>
    </w:p>
    <w:p>
      <w:r>
        <w:t>Vendors: TrueData Corporate | https://site.financialmodelingprep.com/pricing-plans | https://www.simfin.com/en/prices/</w:t>
      </w:r>
    </w:p>
    <w:p>
      <w:pPr>
        <w:pStyle w:val="Heading2"/>
      </w:pPr>
      <w:r>
        <w:t>Category E — India Compliance &amp; Shareholding Data</w:t>
      </w:r>
    </w:p>
    <w:p>
      <w:r>
        <w:t>Purpose: Promoter pledge gate (P4) — pass if pledge &lt; 10%, reject if &gt; 15%.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API / Vendor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MVP Monthly (₹)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One-Time (₹)</w:t>
            </w:r>
          </w:p>
        </w:tc>
      </w:tr>
      <w:tr>
        <w:tc>
          <w:tcPr>
            <w:tcW w:type="dxa" w:w="1440"/>
          </w:tcPr>
          <w:p>
            <w:r>
              <w:t>E1</w:t>
            </w:r>
          </w:p>
        </w:tc>
        <w:tc>
          <w:tcPr>
            <w:tcW w:type="dxa" w:w="1440"/>
          </w:tcPr>
          <w:p>
            <w:r>
              <w:t>TrueData getSHPListByCompany / getShpDetailById</w:t>
            </w:r>
          </w:p>
        </w:tc>
        <w:tc>
          <w:tcPr>
            <w:tcW w:type="dxa" w:w="1440"/>
          </w:tcPr>
          <w:p>
            <w:r>
              <w:t>Promoter holding and pledge %</w:t>
            </w:r>
          </w:p>
        </w:tc>
        <w:tc>
          <w:tcPr>
            <w:tcW w:type="dxa" w:w="1440"/>
          </w:tcPr>
          <w:p>
            <w:r>
              <w:t>Quarterly shareholding pattern; historical SHP for backtest; symbol-level pledge field</w:t>
            </w:r>
          </w:p>
        </w:tc>
        <w:tc>
          <w:tcPr>
            <w:tcW w:type="dxa" w:w="1440"/>
          </w:tcPr>
          <w:p>
            <w:r>
              <w:t>Included in D1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E2</w:t>
            </w:r>
          </w:p>
        </w:tc>
        <w:tc>
          <w:tcPr>
            <w:tcW w:type="dxa" w:w="1440"/>
          </w:tcPr>
          <w:p>
            <w:r>
              <w:t>Trendlyne API</w:t>
              <w:br/>
              <w:t>(fallback only)</w:t>
            </w:r>
          </w:p>
        </w:tc>
        <w:tc>
          <w:tcPr>
            <w:tcW w:type="dxa" w:w="1440"/>
          </w:tcPr>
          <w:p>
            <w:r>
              <w:t>Independent pledge verification if TrueData SHP incomplete</w:t>
            </w:r>
          </w:p>
        </w:tc>
        <w:tc>
          <w:tcPr>
            <w:tcW w:type="dxa" w:w="1440"/>
          </w:tcPr>
          <w:p>
            <w:r>
              <w:t>Current + historical pledge %; quarterly updates; NSE/BSE coverage</w:t>
            </w:r>
          </w:p>
        </w:tc>
        <w:tc>
          <w:tcPr>
            <w:tcW w:type="dxa" w:w="1440"/>
          </w:tcPr>
          <w:p>
            <w:r>
              <w:t>0 – 5,000</w:t>
              <w:br/>
              <w:t>(if needed)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Category E subtotal: ₹0 – ₹5,000/month.</w:t>
      </w:r>
    </w:p>
    <w:p>
      <w:pPr>
        <w:pStyle w:val="Heading2"/>
      </w:pPr>
      <w:r>
        <w:t>Category F — News &amp; Document Ingestion (RAG)</w:t>
      </w:r>
    </w:p>
    <w:p>
      <w:r>
        <w:t>Purpose: Feed the RAG pipeline for AI research panel — filings, news, announcements (not used in scoring).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API / Vendor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MVP Monthly (₹)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One-Time (₹)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SEC EDGAR API</w:t>
            </w:r>
          </w:p>
        </w:tc>
        <w:tc>
          <w:tcPr>
            <w:tcW w:type="dxa" w:w="1440"/>
          </w:tcPr>
          <w:p>
            <w:r>
              <w:t>US 10-K, 10-Q, 8-K filing download</w:t>
            </w:r>
          </w:p>
        </w:tc>
        <w:tc>
          <w:tcPr>
            <w:tcW w:type="dxa" w:w="1440"/>
          </w:tcPr>
          <w:p>
            <w:r>
              <w:t>Free public API; CIK-to-ticker mapping; daily incremental ingest; PDF/HTML storage for RAG chunks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F2</w:t>
            </w:r>
          </w:p>
        </w:tc>
        <w:tc>
          <w:tcPr>
            <w:tcW w:type="dxa" w:w="1440"/>
          </w:tcPr>
          <w:p>
            <w:r>
              <w:t>TrueData getAnnouncementFile / getAnnouncementsList</w:t>
            </w:r>
          </w:p>
        </w:tc>
        <w:tc>
          <w:tcPr>
            <w:tcW w:type="dxa" w:w="1440"/>
          </w:tcPr>
          <w:p>
            <w:r>
              <w:t>India corporate filing PDFs for RAG</w:t>
            </w:r>
          </w:p>
        </w:tc>
        <w:tc>
          <w:tcPr>
            <w:tcW w:type="dxa" w:w="1440"/>
          </w:tcPr>
          <w:p>
            <w:r>
              <w:t>Symbol-filtered announcements; file download by ID; daily ingest job</w:t>
            </w:r>
          </w:p>
        </w:tc>
        <w:tc>
          <w:tcPr>
            <w:tcW w:type="dxa" w:w="1440"/>
          </w:tcPr>
          <w:p>
            <w:r>
              <w:t>Included in D1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F3</w:t>
            </w:r>
          </w:p>
        </w:tc>
        <w:tc>
          <w:tcPr>
            <w:tcW w:type="dxa" w:w="1440"/>
          </w:tcPr>
          <w:p>
            <w:r>
              <w:t>Finnhub All-In-One</w:t>
            </w:r>
          </w:p>
        </w:tc>
        <w:tc>
          <w:tcPr>
            <w:tcW w:type="dxa" w:w="1440"/>
          </w:tcPr>
          <w:p>
            <w:r>
              <w:t>Company news feed (India + US)</w:t>
            </w:r>
          </w:p>
        </w:tc>
        <w:tc>
          <w:tcPr>
            <w:tcW w:type="dxa" w:w="1440"/>
          </w:tcPr>
          <w:p>
            <w:r>
              <w:t>300 calls/min; symbol-tagged news; daily RAG refresh; $50/month plan</w:t>
            </w:r>
          </w:p>
        </w:tc>
        <w:tc>
          <w:tcPr>
            <w:tcW w:type="dxa" w:w="1440"/>
          </w:tcPr>
          <w:p>
            <w:r>
              <w:t>$50 / ₹4,200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F4</w:t>
            </w:r>
          </w:p>
        </w:tc>
        <w:tc>
          <w:tcPr>
            <w:tcW w:type="dxa" w:w="1440"/>
          </w:tcPr>
          <w:p>
            <w:r>
              <w:t>FMP Market News API</w:t>
            </w:r>
          </w:p>
        </w:tc>
        <w:tc>
          <w:tcPr>
            <w:tcW w:type="dxa" w:w="1440"/>
          </w:tcPr>
          <w:p>
            <w:r>
              <w:t>US press releases and stock news</w:t>
            </w:r>
          </w:p>
        </w:tc>
        <w:tc>
          <w:tcPr>
            <w:tcW w:type="dxa" w:w="1440"/>
          </w:tcPr>
          <w:p>
            <w:r>
              <w:t>Included in FMP Premium/Ultimate subscription; symbol-filtered headlines</w:t>
            </w:r>
          </w:p>
        </w:tc>
        <w:tc>
          <w:tcPr>
            <w:tcW w:type="dxa" w:w="1440"/>
          </w:tcPr>
          <w:p>
            <w:r>
              <w:t>Included in D3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F5</w:t>
            </w:r>
          </w:p>
        </w:tc>
        <w:tc>
          <w:tcPr>
            <w:tcW w:type="dxa" w:w="1440"/>
          </w:tcPr>
          <w:p>
            <w:r>
              <w:t>NewsAPI.org Business</w:t>
              <w:br/>
              <w:t>(Production only)</w:t>
            </w:r>
          </w:p>
        </w:tc>
        <w:tc>
          <w:tcPr>
            <w:tcW w:type="dxa" w:w="1440"/>
          </w:tcPr>
          <w:p>
            <w:r>
              <w:t>Broader news coverage for RAG at scale</w:t>
            </w:r>
          </w:p>
        </w:tc>
        <w:tc>
          <w:tcPr>
            <w:tcW w:type="dxa" w:w="1440"/>
          </w:tcPr>
          <w:p>
            <w:r>
              <w:t>250,000 requests/month; commercial license; 5-year article search; CORS enabled</w:t>
            </w:r>
          </w:p>
        </w:tc>
        <w:tc>
          <w:tcPr>
            <w:tcW w:type="dxa" w:w="1440"/>
          </w:tcPr>
          <w:p>
            <w:r>
              <w:t>$449 / ₹37,716</w:t>
              <w:br/>
              <w:t>(Production)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Category F MVP subtotal: ₹4,200/month. Production: ₹4,200 – ₹41,916/month.</w:t>
      </w:r>
    </w:p>
    <w:p>
      <w:pPr>
        <w:pStyle w:val="Heading2"/>
      </w:pPr>
      <w:r>
        <w:t>Category G — AI / LLM / RAG (Gemini)</w:t>
      </w:r>
    </w:p>
    <w:p>
      <w:r>
        <w:t>Purpose: Research Q&amp;A, filing summaries, score explanations — strictly NOT used for scoring or signals.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API / Vendor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MVP Monthly (₹)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One-Time (₹)</w:t>
            </w:r>
          </w:p>
        </w:tc>
      </w:tr>
      <w:tr>
        <w:tc>
          <w:tcPr>
            <w:tcW w:type="dxa" w:w="1440"/>
          </w:tcPr>
          <w:p>
            <w:r>
              <w:t>G1</w:t>
            </w:r>
          </w:p>
        </w:tc>
        <w:tc>
          <w:tcPr>
            <w:tcW w:type="dxa" w:w="1440"/>
          </w:tcPr>
          <w:p>
            <w:r>
              <w:t>Google Gemini 2.5 Flash API</w:t>
            </w:r>
          </w:p>
        </w:tc>
        <w:tc>
          <w:tcPr>
            <w:tcW w:type="dxa" w:w="1440"/>
          </w:tcPr>
          <w:p>
            <w:r>
              <w:t>Chat completion — “Why did X score 7/10?”</w:t>
            </w:r>
          </w:p>
        </w:tc>
        <w:tc>
          <w:tcPr>
            <w:tcW w:type="dxa" w:w="1440"/>
          </w:tcPr>
          <w:p>
            <w:r>
              <w:t>Paid tier; ~50–200 queries/day; $0.30/1M input + $2.50/1M output tokens; no grounding in scoring path</w:t>
            </w:r>
          </w:p>
        </w:tc>
        <w:tc>
          <w:tcPr>
            <w:tcW w:type="dxa" w:w="1440"/>
          </w:tcPr>
          <w:p>
            <w:r>
              <w:t>1,500 – 5,000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G2</w:t>
            </w:r>
          </w:p>
        </w:tc>
        <w:tc>
          <w:tcPr>
            <w:tcW w:type="dxa" w:w="1440"/>
          </w:tcPr>
          <w:p>
            <w:r>
              <w:t>Google Gemini Embedding API</w:t>
              <w:br/>
              <w:t>(gemini-embedding-001)</w:t>
            </w:r>
          </w:p>
        </w:tc>
        <w:tc>
          <w:tcPr>
            <w:tcW w:type="dxa" w:w="1440"/>
          </w:tcPr>
          <w:p>
            <w:r>
              <w:t>RAG vector embeddings for filing chunks</w:t>
            </w:r>
          </w:p>
        </w:tc>
        <w:tc>
          <w:tcPr>
            <w:tcW w:type="dxa" w:w="1440"/>
          </w:tcPr>
          <w:p>
            <w:r>
              <w:t>$0.15/1M tokens; batch API $0.075/1M; store vectors in MongoDB; initial corpus embed + daily delta</w:t>
            </w:r>
          </w:p>
        </w:tc>
        <w:tc>
          <w:tcPr>
            <w:tcW w:type="dxa" w:w="1440"/>
          </w:tcPr>
          <w:p>
            <w:r>
              <w:t>500 – 2,000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G3</w:t>
            </w:r>
          </w:p>
        </w:tc>
        <w:tc>
          <w:tcPr>
            <w:tcW w:type="dxa" w:w="1440"/>
          </w:tcPr>
          <w:p>
            <w:r>
              <w:t>MongoDB Atlas Vector Search</w:t>
            </w:r>
          </w:p>
        </w:tc>
        <w:tc>
          <w:tcPr>
            <w:tcW w:type="dxa" w:w="1440"/>
          </w:tcPr>
          <w:p>
            <w:r>
              <w:t>Vector storage &amp; similarity search</w:t>
            </w:r>
          </w:p>
        </w:tc>
        <w:tc>
          <w:tcPr>
            <w:tcW w:type="dxa" w:w="1440"/>
          </w:tcPr>
          <w:p>
            <w:r>
              <w:t>Self-hosted MongoDB — no external API fee if on existing cluster; Atlas Vector optional add-on</w:t>
            </w:r>
          </w:p>
        </w:tc>
        <w:tc>
          <w:tcPr>
            <w:tcW w:type="dxa" w:w="1440"/>
          </w:tcPr>
          <w:p>
            <w:r>
              <w:t>0</w:t>
              <w:br/>
              <w:t>(self-hosted)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Category G subtotal: ₹2,000 – ₹7,000/month.</w:t>
      </w:r>
    </w:p>
    <w:p>
      <w:r>
        <w:t>Vendor: https://ai.google.dev/gemini-api/docs/pricing</w:t>
      </w:r>
    </w:p>
    <w:p>
      <w:pPr>
        <w:pStyle w:val="Heading1"/>
      </w:pPr>
      <w:r>
        <w:t>4. Scoring Point → API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Score 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API Source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Capital Velocity (ROE, ROIC, turnover)</w:t>
            </w:r>
          </w:p>
        </w:tc>
        <w:tc>
          <w:tcPr>
            <w:tcW w:type="dxa" w:w="2880"/>
          </w:tcPr>
          <w:p>
            <w:r>
              <w:t>D1 TrueData Corporate + D3 FMP + D5 SimFin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Altman Z + Beneish M</w:t>
            </w:r>
          </w:p>
        </w:tc>
        <w:tc>
          <w:tcPr>
            <w:tcW w:type="dxa" w:w="2880"/>
          </w:tcPr>
          <w:p>
            <w:r>
              <w:t>D1, D3, D5 — computed in Laravel from statements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Sloan Ratio</w:t>
            </w:r>
          </w:p>
        </w:tc>
        <w:tc>
          <w:tcPr>
            <w:tcW w:type="dxa" w:w="2880"/>
          </w:tcPr>
          <w:p>
            <w:r>
              <w:t>D1, D3, D5 — cash flow vs net income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DSO + promoter pledge</w:t>
            </w:r>
          </w:p>
        </w:tc>
        <w:tc>
          <w:tcPr>
            <w:tcW w:type="dxa" w:w="2880"/>
          </w:tcPr>
          <w:p>
            <w:r>
              <w:t>D1, D3 + E1 TrueData SHP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CAGR + PEG + FCFF/FCFE</w:t>
            </w:r>
          </w:p>
        </w:tc>
        <w:tc>
          <w:tcPr>
            <w:tcW w:type="dxa" w:w="2880"/>
          </w:tcPr>
          <w:p>
            <w:r>
              <w:t>D1, D3, D5 + A/B price data</w:t>
            </w:r>
          </w:p>
        </w:tc>
      </w:tr>
      <w:tr>
        <w:tc>
          <w:tcPr>
            <w:tcW w:type="dxa" w:w="2880"/>
          </w:tcPr>
          <w:p>
            <w:r>
              <w:t>P6</w:t>
            </w:r>
          </w:p>
        </w:tc>
        <w:tc>
          <w:tcPr>
            <w:tcW w:type="dxa" w:w="2880"/>
          </w:tcPr>
          <w:p>
            <w:r>
              <w:t>VPVR / HVN support</w:t>
            </w:r>
          </w:p>
        </w:tc>
        <w:tc>
          <w:tcPr>
            <w:tcW w:type="dxa" w:w="2880"/>
          </w:tcPr>
          <w:p>
            <w:r>
              <w:t>A1, A3, B1 — OHLCV volume history</w:t>
            </w:r>
          </w:p>
        </w:tc>
      </w:tr>
      <w:tr>
        <w:tc>
          <w:tcPr>
            <w:tcW w:type="dxa" w:w="2880"/>
          </w:tcPr>
          <w:p>
            <w:r>
              <w:t>P7</w:t>
            </w:r>
          </w:p>
        </w:tc>
        <w:tc>
          <w:tcPr>
            <w:tcW w:type="dxa" w:w="2880"/>
          </w:tcPr>
          <w:p>
            <w:r>
              <w:t>Mansfield RS vs index</w:t>
            </w:r>
          </w:p>
        </w:tc>
        <w:tc>
          <w:tcPr>
            <w:tcW w:type="dxa" w:w="2880"/>
          </w:tcPr>
          <w:p>
            <w:r>
              <w:t>C1 Nifty 50 + C2 S&amp;P 500</w:t>
            </w:r>
          </w:p>
        </w:tc>
      </w:tr>
      <w:tr>
        <w:tc>
          <w:tcPr>
            <w:tcW w:type="dxa" w:w="2880"/>
          </w:tcPr>
          <w:p>
            <w:r>
              <w:t>P8</w:t>
            </w:r>
          </w:p>
        </w:tc>
        <w:tc>
          <w:tcPr>
            <w:tcW w:type="dxa" w:w="2880"/>
          </w:tcPr>
          <w:p>
            <w:r>
              <w:t>VCP — ATR/Close percentile</w:t>
            </w:r>
          </w:p>
        </w:tc>
        <w:tc>
          <w:tcPr>
            <w:tcW w:type="dxa" w:w="2880"/>
          </w:tcPr>
          <w:p>
            <w:r>
              <w:t>A1, A3, B1 — daily/minute bars</w:t>
            </w:r>
          </w:p>
        </w:tc>
      </w:tr>
      <w:tr>
        <w:tc>
          <w:tcPr>
            <w:tcW w:type="dxa" w:w="2880"/>
          </w:tcPr>
          <w:p>
            <w:r>
              <w:t>P9</w:t>
            </w:r>
          </w:p>
        </w:tc>
        <w:tc>
          <w:tcPr>
            <w:tcW w:type="dxa" w:w="2880"/>
          </w:tcPr>
          <w:p>
            <w:r>
              <w:t>Delivery % / block trades</w:t>
            </w:r>
          </w:p>
        </w:tc>
        <w:tc>
          <w:tcPr>
            <w:tcW w:type="dxa" w:w="2880"/>
          </w:tcPr>
          <w:p>
            <w:r>
              <w:t>A2/A3 DelVolume + B2 Polygon trades</w:t>
            </w:r>
          </w:p>
        </w:tc>
      </w:tr>
      <w:tr>
        <w:tc>
          <w:tcPr>
            <w:tcW w:type="dxa" w:w="2880"/>
          </w:tcPr>
          <w:p>
            <w:r>
              <w:t>P10</w:t>
            </w:r>
          </w:p>
        </w:tc>
        <w:tc>
          <w:tcPr>
            <w:tcW w:type="dxa" w:w="2880"/>
          </w:tcPr>
          <w:p>
            <w:r>
              <w:t>ADX trend maturity</w:t>
            </w:r>
          </w:p>
        </w:tc>
        <w:tc>
          <w:tcPr>
            <w:tcW w:type="dxa" w:w="2880"/>
          </w:tcPr>
          <w:p>
            <w:r>
              <w:t>A1, B1 — computed in Laravel from OHLCV</w:t>
            </w:r>
          </w:p>
        </w:tc>
      </w:tr>
    </w:tbl>
    <w:p/>
    <w:p>
      <w:pPr>
        <w:pStyle w:val="Heading1"/>
      </w:pPr>
      <w:r>
        <w:t>5. Consolidated Budget — MVP Scenario</w:t>
      </w:r>
    </w:p>
    <w:p>
      <w:r>
        <w:t>Pilot: ~50 India + ~50 US symbols | Internal use | No client redistribution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APIs Included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Low (₹)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High (₹)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One-Time (₹)</w:t>
            </w:r>
          </w:p>
        </w:tc>
      </w:tr>
      <w:tr>
        <w:tc>
          <w:tcPr>
            <w:tcW w:type="dxa" w:w="1728"/>
          </w:tcPr>
          <w:p>
            <w:r>
              <w:t>A — India market</w:t>
            </w:r>
          </w:p>
        </w:tc>
        <w:tc>
          <w:tcPr>
            <w:tcW w:type="dxa" w:w="1728"/>
          </w:tcPr>
          <w:p>
            <w:r>
              <w:t>A1–A4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25,000</w:t>
            </w:r>
          </w:p>
        </w:tc>
        <w:tc>
          <w:tcPr>
            <w:tcW w:type="dxa" w:w="1728"/>
          </w:tcPr>
          <w:p>
            <w:r>
              <w:t>50,000 – 1,50,000</w:t>
            </w:r>
          </w:p>
        </w:tc>
      </w:tr>
      <w:tr>
        <w:tc>
          <w:tcPr>
            <w:tcW w:type="dxa" w:w="1728"/>
          </w:tcPr>
          <w:p>
            <w:r>
              <w:t>B — US market</w:t>
            </w:r>
          </w:p>
        </w:tc>
        <w:tc>
          <w:tcPr>
            <w:tcW w:type="dxa" w:w="1728"/>
          </w:tcPr>
          <w:p>
            <w:r>
              <w:t>B1–B3</w:t>
            </w:r>
          </w:p>
        </w:tc>
        <w:tc>
          <w:tcPr>
            <w:tcW w:type="dxa" w:w="1728"/>
          </w:tcPr>
          <w:p>
            <w:r>
              <w:t>16,716</w:t>
            </w:r>
          </w:p>
        </w:tc>
        <w:tc>
          <w:tcPr>
            <w:tcW w:type="dxa" w:w="1728"/>
          </w:tcPr>
          <w:p>
            <w:r>
              <w:t>16,716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 — Indices</w:t>
            </w:r>
          </w:p>
        </w:tc>
        <w:tc>
          <w:tcPr>
            <w:tcW w:type="dxa" w:w="1728"/>
          </w:tcPr>
          <w:p>
            <w:r>
              <w:t>C1–C2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 — Fundamentals</w:t>
            </w:r>
          </w:p>
        </w:tc>
        <w:tc>
          <w:tcPr>
            <w:tcW w:type="dxa" w:w="1728"/>
          </w:tcPr>
          <w:p>
            <w:r>
              <w:t>D1, D3, D5, D6</w:t>
            </w:r>
          </w:p>
        </w:tc>
        <w:tc>
          <w:tcPr>
            <w:tcW w:type="dxa" w:w="1728"/>
          </w:tcPr>
          <w:p>
            <w:r>
              <w:t>12,956</w:t>
            </w:r>
          </w:p>
        </w:tc>
        <w:tc>
          <w:tcPr>
            <w:tcW w:type="dxa" w:w="1728"/>
          </w:tcPr>
          <w:p>
            <w:r>
              <w:t>25,920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 — India pledge</w:t>
            </w:r>
          </w:p>
        </w:tc>
        <w:tc>
          <w:tcPr>
            <w:tcW w:type="dxa" w:w="1728"/>
          </w:tcPr>
          <w:p>
            <w:r>
              <w:t>E1 (+ E2 if needed)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 — News / RAG</w:t>
            </w:r>
          </w:p>
        </w:tc>
        <w:tc>
          <w:tcPr>
            <w:tcW w:type="dxa" w:w="1728"/>
          </w:tcPr>
          <w:p>
            <w:r>
              <w:t>F1–F4</w:t>
            </w:r>
          </w:p>
        </w:tc>
        <w:tc>
          <w:tcPr>
            <w:tcW w:type="dxa" w:w="1728"/>
          </w:tcPr>
          <w:p>
            <w:r>
              <w:t>4,200</w:t>
            </w:r>
          </w:p>
        </w:tc>
        <w:tc>
          <w:tcPr>
            <w:tcW w:type="dxa" w:w="1728"/>
          </w:tcPr>
          <w:p>
            <w:r>
              <w:t>4,200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 — Gemini AI</w:t>
            </w:r>
          </w:p>
        </w:tc>
        <w:tc>
          <w:tcPr>
            <w:tcW w:type="dxa" w:w="1728"/>
          </w:tcPr>
          <w:p>
            <w:r>
              <w:t>G1–G2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7,000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45,872</w:t>
            </w:r>
          </w:p>
        </w:tc>
        <w:tc>
          <w:tcPr>
            <w:tcW w:type="dxa" w:w="1728"/>
          </w:tcPr>
          <w:p>
            <w:r>
              <w:t>83,836</w:t>
            </w:r>
          </w:p>
        </w:tc>
        <w:tc>
          <w:tcPr>
            <w:tcW w:type="dxa" w:w="1728"/>
          </w:tcPr>
          <w:p>
            <w:r>
              <w:t>50,000 – 1,50,000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MVP Year 1 Summary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Low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High (₹)</w:t>
            </w:r>
          </w:p>
        </w:tc>
      </w:tr>
      <w:tr>
        <w:tc>
          <w:tcPr>
            <w:tcW w:type="dxa" w:w="2880"/>
          </w:tcPr>
          <w:p>
            <w:r>
              <w:t>Monthly recurring × 12</w:t>
            </w:r>
          </w:p>
        </w:tc>
        <w:tc>
          <w:tcPr>
            <w:tcW w:type="dxa" w:w="2880"/>
          </w:tcPr>
          <w:p>
            <w:r>
              <w:t>5,50,464</w:t>
            </w:r>
          </w:p>
        </w:tc>
        <w:tc>
          <w:tcPr>
            <w:tcW w:type="dxa" w:w="2880"/>
          </w:tcPr>
          <w:p>
            <w:r>
              <w:t>10,06,032</w:t>
            </w:r>
          </w:p>
        </w:tc>
      </w:tr>
      <w:tr>
        <w:tc>
          <w:tcPr>
            <w:tcW w:type="dxa" w:w="2880"/>
          </w:tcPr>
          <w:p>
            <w:r>
              <w:t>One-time backfill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1,50,000</w:t>
            </w:r>
          </w:p>
        </w:tc>
      </w:tr>
      <w:tr>
        <w:tc>
          <w:tcPr>
            <w:tcW w:type="dxa" w:w="2880"/>
          </w:tcPr>
          <w:p>
            <w:r>
              <w:t>Subtotal (before GST)</w:t>
            </w:r>
          </w:p>
        </w:tc>
        <w:tc>
          <w:tcPr>
            <w:tcW w:type="dxa" w:w="2880"/>
          </w:tcPr>
          <w:p>
            <w:r>
              <w:t>6,00,464</w:t>
            </w:r>
          </w:p>
        </w:tc>
        <w:tc>
          <w:tcPr>
            <w:tcW w:type="dxa" w:w="2880"/>
          </w:tcPr>
          <w:p>
            <w:r>
              <w:t>11,56,032</w:t>
            </w:r>
          </w:p>
        </w:tc>
      </w:tr>
      <w:tr>
        <w:tc>
          <w:tcPr>
            <w:tcW w:type="dxa" w:w="2880"/>
          </w:tcPr>
          <w:p>
            <w:r>
              <w:t>GST @ 18% (est.)</w:t>
            </w:r>
          </w:p>
        </w:tc>
        <w:tc>
          <w:tcPr>
            <w:tcW w:type="dxa" w:w="2880"/>
          </w:tcPr>
          <w:p>
            <w:r>
              <w:t>1,08,084</w:t>
            </w:r>
          </w:p>
        </w:tc>
        <w:tc>
          <w:tcPr>
            <w:tcW w:type="dxa" w:w="2880"/>
          </w:tcPr>
          <w:p>
            <w:r>
              <w:t>2,08,086</w:t>
            </w:r>
          </w:p>
        </w:tc>
      </w:tr>
      <w:tr>
        <w:tc>
          <w:tcPr>
            <w:tcW w:type="dxa" w:w="2880"/>
          </w:tcPr>
          <w:p>
            <w:r>
              <w:t>GRAND TOTAL YEAR 1</w:t>
            </w:r>
          </w:p>
        </w:tc>
        <w:tc>
          <w:tcPr>
            <w:tcW w:type="dxa" w:w="2880"/>
          </w:tcPr>
          <w:p>
            <w:r>
              <w:t>7,08,548 (~₹7.1 Lakh)</w:t>
            </w:r>
          </w:p>
        </w:tc>
        <w:tc>
          <w:tcPr>
            <w:tcW w:type="dxa" w:w="2880"/>
          </w:tcPr>
          <w:p>
            <w:r>
              <w:t>13,64,118 (~₹13.6 Lakh)</w:t>
            </w:r>
          </w:p>
        </w:tc>
      </w:tr>
    </w:tbl>
    <w:p/>
    <w:p>
      <w:pPr>
        <w:pStyle w:val="Heading1"/>
      </w:pPr>
      <w:r>
        <w:t>6. Consolidated Budget — Production Scenario</w:t>
      </w:r>
    </w:p>
    <w:p>
      <w:r>
        <w:t>Scale: ~200 symbols per market | Client-facing dashboard | Redistribution license likely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APIs Included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Low (₹)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High (₹)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One-Time (₹)</w:t>
            </w:r>
          </w:p>
        </w:tc>
      </w:tr>
      <w:tr>
        <w:tc>
          <w:tcPr>
            <w:tcW w:type="dxa" w:w="1728"/>
          </w:tcPr>
          <w:p>
            <w:r>
              <w:t>A — India market</w:t>
            </w:r>
          </w:p>
        </w:tc>
        <w:tc>
          <w:tcPr>
            <w:tcW w:type="dxa" w:w="1728"/>
          </w:tcPr>
          <w:p>
            <w:r>
              <w:t>A1–A5</w:t>
            </w:r>
          </w:p>
        </w:tc>
        <w:tc>
          <w:tcPr>
            <w:tcW w:type="dxa" w:w="1728"/>
          </w:tcPr>
          <w:p>
            <w:r>
              <w:t>35,000</w:t>
            </w:r>
          </w:p>
        </w:tc>
        <w:tc>
          <w:tcPr>
            <w:tcW w:type="dxa" w:w="1728"/>
          </w:tcPr>
          <w:p>
            <w:r>
              <w:t>80,000</w:t>
            </w:r>
          </w:p>
        </w:tc>
        <w:tc>
          <w:tcPr>
            <w:tcW w:type="dxa" w:w="1728"/>
          </w:tcPr>
          <w:p>
            <w:r>
              <w:t>1,50,000 – 4,00,000</w:t>
            </w:r>
          </w:p>
        </w:tc>
      </w:tr>
      <w:tr>
        <w:tc>
          <w:tcPr>
            <w:tcW w:type="dxa" w:w="1728"/>
          </w:tcPr>
          <w:p>
            <w:r>
              <w:t>B — US market</w:t>
            </w:r>
          </w:p>
        </w:tc>
        <w:tc>
          <w:tcPr>
            <w:tcW w:type="dxa" w:w="1728"/>
          </w:tcPr>
          <w:p>
            <w:r>
              <w:t>B1–B4</w:t>
            </w:r>
          </w:p>
        </w:tc>
        <w:tc>
          <w:tcPr>
            <w:tcW w:type="dxa" w:w="1728"/>
          </w:tcPr>
          <w:p>
            <w:r>
              <w:t>16,716</w:t>
            </w:r>
          </w:p>
        </w:tc>
        <w:tc>
          <w:tcPr>
            <w:tcW w:type="dxa" w:w="1728"/>
          </w:tcPr>
          <w:p>
            <w:r>
              <w:t>25,000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 — Indices</w:t>
            </w:r>
          </w:p>
        </w:tc>
        <w:tc>
          <w:tcPr>
            <w:tcW w:type="dxa" w:w="1728"/>
          </w:tcPr>
          <w:p>
            <w:r>
              <w:t>C1–C2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 — Fundamentals</w:t>
            </w:r>
          </w:p>
        </w:tc>
        <w:tc>
          <w:tcPr>
            <w:tcW w:type="dxa" w:w="1728"/>
          </w:tcPr>
          <w:p>
            <w:r>
              <w:t>D1–D5</w:t>
            </w:r>
          </w:p>
        </w:tc>
        <w:tc>
          <w:tcPr>
            <w:tcW w:type="dxa" w:w="1728"/>
          </w:tcPr>
          <w:p>
            <w:r>
              <w:t>35,000</w:t>
            </w:r>
          </w:p>
        </w:tc>
        <w:tc>
          <w:tcPr>
            <w:tcW w:type="dxa" w:w="1728"/>
          </w:tcPr>
          <w:p>
            <w:r>
              <w:t>55,000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 — India pledge</w:t>
            </w:r>
          </w:p>
        </w:tc>
        <w:tc>
          <w:tcPr>
            <w:tcW w:type="dxa" w:w="1728"/>
          </w:tcPr>
          <w:p>
            <w:r>
              <w:t>E1–E2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 — News / RAG</w:t>
            </w:r>
          </w:p>
        </w:tc>
        <w:tc>
          <w:tcPr>
            <w:tcW w:type="dxa" w:w="1728"/>
          </w:tcPr>
          <w:p>
            <w:r>
              <w:t>F1–F5</w:t>
            </w:r>
          </w:p>
        </w:tc>
        <w:tc>
          <w:tcPr>
            <w:tcW w:type="dxa" w:w="1728"/>
          </w:tcPr>
          <w:p>
            <w:r>
              <w:t>4,200</w:t>
            </w:r>
          </w:p>
        </w:tc>
        <w:tc>
          <w:tcPr>
            <w:tcW w:type="dxa" w:w="1728"/>
          </w:tcPr>
          <w:p>
            <w:r>
              <w:t>41,916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 — Gemini AI</w:t>
            </w:r>
          </w:p>
        </w:tc>
        <w:tc>
          <w:tcPr>
            <w:tcW w:type="dxa" w:w="1728"/>
          </w:tcPr>
          <w:p>
            <w:r>
              <w:t>G1–G2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15,000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95,916</w:t>
            </w:r>
          </w:p>
        </w:tc>
        <w:tc>
          <w:tcPr>
            <w:tcW w:type="dxa" w:w="1728"/>
          </w:tcPr>
          <w:p>
            <w:r>
              <w:t>2,25,000</w:t>
            </w:r>
          </w:p>
        </w:tc>
        <w:tc>
          <w:tcPr>
            <w:tcW w:type="dxa" w:w="1728"/>
          </w:tcPr>
          <w:p>
            <w:r>
              <w:t>1,50,000 – 4,00,000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Production Year 1 Summary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Low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High (₹)</w:t>
            </w:r>
          </w:p>
        </w:tc>
      </w:tr>
      <w:tr>
        <w:tc>
          <w:tcPr>
            <w:tcW w:type="dxa" w:w="2880"/>
          </w:tcPr>
          <w:p>
            <w:r>
              <w:t>Monthly recurring × 12</w:t>
            </w:r>
          </w:p>
        </w:tc>
        <w:tc>
          <w:tcPr>
            <w:tcW w:type="dxa" w:w="2880"/>
          </w:tcPr>
          <w:p>
            <w:r>
              <w:t>11,50,992</w:t>
            </w:r>
          </w:p>
        </w:tc>
        <w:tc>
          <w:tcPr>
            <w:tcW w:type="dxa" w:w="2880"/>
          </w:tcPr>
          <w:p>
            <w:r>
              <w:t>27,00,000</w:t>
            </w:r>
          </w:p>
        </w:tc>
      </w:tr>
      <w:tr>
        <w:tc>
          <w:tcPr>
            <w:tcW w:type="dxa" w:w="2880"/>
          </w:tcPr>
          <w:p>
            <w:r>
              <w:t>One-time backfill</w:t>
            </w:r>
          </w:p>
        </w:tc>
        <w:tc>
          <w:tcPr>
            <w:tcW w:type="dxa" w:w="2880"/>
          </w:tcPr>
          <w:p>
            <w:r>
              <w:t>1,50,000</w:t>
            </w:r>
          </w:p>
        </w:tc>
        <w:tc>
          <w:tcPr>
            <w:tcW w:type="dxa" w:w="2880"/>
          </w:tcPr>
          <w:p>
            <w:r>
              <w:t>4,00,000</w:t>
            </w:r>
          </w:p>
        </w:tc>
      </w:tr>
      <w:tr>
        <w:tc>
          <w:tcPr>
            <w:tcW w:type="dxa" w:w="2880"/>
          </w:tcPr>
          <w:p>
            <w:r>
              <w:t>Subtotal (before GST)</w:t>
            </w:r>
          </w:p>
        </w:tc>
        <w:tc>
          <w:tcPr>
            <w:tcW w:type="dxa" w:w="2880"/>
          </w:tcPr>
          <w:p>
            <w:r>
              <w:t>13,00,992</w:t>
            </w:r>
          </w:p>
        </w:tc>
        <w:tc>
          <w:tcPr>
            <w:tcW w:type="dxa" w:w="2880"/>
          </w:tcPr>
          <w:p>
            <w:r>
              <w:t>31,00,000</w:t>
            </w:r>
          </w:p>
        </w:tc>
      </w:tr>
      <w:tr>
        <w:tc>
          <w:tcPr>
            <w:tcW w:type="dxa" w:w="2880"/>
          </w:tcPr>
          <w:p>
            <w:r>
              <w:t>GST @ 18% (est.)</w:t>
            </w:r>
          </w:p>
        </w:tc>
        <w:tc>
          <w:tcPr>
            <w:tcW w:type="dxa" w:w="2880"/>
          </w:tcPr>
          <w:p>
            <w:r>
              <w:t>2,34,179</w:t>
            </w:r>
          </w:p>
        </w:tc>
        <w:tc>
          <w:tcPr>
            <w:tcW w:type="dxa" w:w="2880"/>
          </w:tcPr>
          <w:p>
            <w:r>
              <w:t>5,58,000</w:t>
            </w:r>
          </w:p>
        </w:tc>
      </w:tr>
      <w:tr>
        <w:tc>
          <w:tcPr>
            <w:tcW w:type="dxa" w:w="2880"/>
          </w:tcPr>
          <w:p>
            <w:r>
              <w:t>GRAND TOTAL YEAR 1</w:t>
            </w:r>
          </w:p>
        </w:tc>
        <w:tc>
          <w:tcPr>
            <w:tcW w:type="dxa" w:w="2880"/>
          </w:tcPr>
          <w:p>
            <w:r>
              <w:t>15,35,171 (~₹15.4 Lakh)</w:t>
            </w:r>
          </w:p>
        </w:tc>
        <w:tc>
          <w:tcPr>
            <w:tcW w:type="dxa" w:w="2880"/>
          </w:tcPr>
          <w:p>
            <w:r>
              <w:t>36,58,000 (~₹36.6 Lakh)</w:t>
            </w:r>
          </w:p>
        </w:tc>
      </w:tr>
    </w:tbl>
    <w:p/>
    <w:p>
      <w:pPr>
        <w:pStyle w:val="Heading1"/>
      </w:pPr>
      <w:r>
        <w:t>7. Recommended Approval Path</w:t>
      </w:r>
    </w:p>
    <w:p>
      <w:r>
        <w:t>1. Approve MVP Low budget (~₹7.1 Lakh Year 1 incl. GST) for Phase 1 pilot.</w:t>
      </w:r>
    </w:p>
    <w:p>
      <w:r>
        <w:t>2. Procure TrueData trial (10 days free) + Polygon Developer trial before full commit.</w:t>
      </w:r>
    </w:p>
    <w:p>
      <w:r>
        <w:t>3. Confirm 20Y backfill depth and delivery % coverage with TrueData (historicaldata@truedata.in).</w:t>
      </w:r>
    </w:p>
    <w:p>
      <w:r>
        <w:t>4. Confirm redistribution requirements if dashboard will be client-facing (Category A5).</w:t>
      </w:r>
    </w:p>
    <w:p>
      <w:r>
        <w:t>5. Re-submit Production budget for approval after 90-day MVP validation.</w:t>
      </w:r>
    </w:p>
    <w:p>
      <w:pPr>
        <w:pStyle w:val="Heading1"/>
      </w:pPr>
      <w:r>
        <w:t>8. Exclusions (Not in This Budget)</w:t>
      </w:r>
    </w:p>
    <w:p>
      <w:pPr>
        <w:pStyle w:val="ListBullet"/>
      </w:pPr>
      <w:r>
        <w:t>Category H — Email/SMS alert APIs (Resend, Twilio, MSG91).</w:t>
      </w:r>
    </w:p>
    <w:p>
      <w:pPr>
        <w:pStyle w:val="ListBullet"/>
      </w:pPr>
      <w:r>
        <w:t>Category J — Broker/trading APIs (Kite, IBKR, Alpaca Trading).</w:t>
      </w:r>
    </w:p>
    <w:p>
      <w:pPr>
        <w:pStyle w:val="ListBullet"/>
      </w:pPr>
      <w:r>
        <w:t>Infrastructure — AWS/R2, VPS hosting, Sentry (optional, separate infra budget).</w:t>
      </w:r>
    </w:p>
    <w:p>
      <w:pPr>
        <w:pStyle w:val="ListBullet"/>
      </w:pPr>
      <w:r>
        <w:t>Development team cost, Laravel hosting, domain, SSL.</w:t>
      </w:r>
    </w:p>
    <w:p>
      <w:pPr>
        <w:pStyle w:val="ListBullet"/>
      </w:pPr>
      <w:r>
        <w:t>US market data display license beyond Polygon non-professional tier.</w:t>
      </w:r>
    </w:p>
    <w:p>
      <w:pPr>
        <w:pStyle w:val="Heading1"/>
      </w:pPr>
      <w:r>
        <w:t>9. Client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Approval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Approved (Yes/No)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Approved Budget (₹)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 / Date</w:t>
            </w:r>
          </w:p>
        </w:tc>
      </w:tr>
      <w:tr>
        <w:tc>
          <w:tcPr>
            <w:tcW w:type="dxa" w:w="2160"/>
          </w:tcPr>
          <w:p>
            <w:r>
              <w:t>MVP Scenario — Year 1 API budget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Production Scenario — Year 1 API budget (deferred)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TrueData as India data vendor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Polygon.io as US data vendor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Gemini as AI/RAG provider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r>
        <w:t>Authorised Signatory: _________________________    Date: _______________</w:t>
      </w:r>
    </w:p>
    <w:p>
      <w:r>
        <w:t>Client Name / Organisation: _________________________</w:t>
      </w:r>
    </w:p>
    <w:p/>
    <w:p>
      <w:pPr>
        <w:jc w:val="center"/>
      </w:pPr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