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0F766E"/>
          <w:sz w:val="18"/>
        </w:rPr>
        <w:t>WEEK 2 · RAG APPLICATION · AUGUST 2026</w:t>
      </w:r>
    </w:p>
    <w:p>
      <w:pPr>
        <w:pStyle w:val="Title"/>
      </w:pPr>
      <w:r>
        <w:t>Medical Device Software</w:t>
        <w:br/>
        <w:t>Regulatory Navigator</w:t>
      </w:r>
    </w:p>
    <w:p>
      <w:pPr>
        <w:spacing w:after="360"/>
      </w:pPr>
      <w:r>
        <w:rPr>
          <w:color w:val="4B5563"/>
          <w:sz w:val="28"/>
        </w:rPr>
        <w:t>Project overview, system design, evaluation, and submission record</w:t>
      </w:r>
    </w:p>
    <w:tbl>
      <w:tblPr>
        <w:tblW w:type="auto" w:w="0"/>
        <w:tblLayout w:type="fixed"/>
        <w:tblLook w:firstColumn="1" w:firstRow="1" w:lastColumn="0" w:lastRow="0" w:noHBand="0" w:noVBand="1" w:val="04A0"/>
      </w:tblPr>
      <w:tblGrid>
        <w:gridCol w:w="9360"/>
      </w:tblGrid>
      <w:tr>
        <w:trPr>
          <w:cantSplit/>
        </w:trPr>
        <w:tc>
          <w:tcPr>
            <w:tcW w:type="dxa" w:w="9360"/>
            <w:shd w:fill="E6F4F1"/>
            <w:tcMar>
              <w:top w:w="140" w:type="dxa"/>
              <w:start w:w="160" w:type="dxa"/>
              <w:bottom w:w="140" w:type="dxa"/>
              <w:end w:w="160" w:type="dxa"/>
            </w:tcMar>
            <w:vAlign w:val="center"/>
          </w:tcPr>
          <w:p>
            <w:pPr>
              <w:spacing w:after="80"/>
            </w:pPr>
            <w:r>
              <w:rPr>
                <w:b/>
                <w:color w:val="115E59"/>
              </w:rPr>
              <w:t>One-line RAG application statement</w:t>
            </w:r>
          </w:p>
          <w:p>
            <w:pPr>
              <w:spacing w:after="0"/>
            </w:pPr>
            <w:r>
              <w:t>My RAG app helps medical-device regulatory, quality, and software professionals answer software-classification and applicable-requirement questions from 21 curated, English-language FDA, U.S. statutory, EU MDR, IMDRF, IEC, and ISO evidence cards in a Streamlit application with ≥95% claim-level faithfulness and p95 latency ≤5 seconds.</w:t>
            </w:r>
          </w:p>
        </w:tc>
      </w:tr>
    </w:tbl>
    <w:p>
      <w:pPr>
        <w:spacing w:after="0"/>
      </w:pPr>
    </w:p>
    <w:p>
      <w:pPr>
        <w:pStyle w:val="Heading1"/>
      </w:pPr>
      <w:r>
        <w:t>Executive summary</w:t>
      </w:r>
    </w:p>
    <w:p>
      <w:r>
        <w:t>The navigator screens one software function at a time and produces a preliminary, cited view of software type, U.S. FDA device status, Non-Device CDS eligibility, IMDRF SaMD category, IEC 62304 safety class, EU MDR Rule 11 class, and applicable lifecycle frameworks. Typed LangGraph nodes keep deterministic regulatory logic separate from retrieval, citation validation, claim grounding, refusal behavior, and presentation.</w:t>
      </w:r>
    </w:p>
    <w:p>
      <w:r>
        <w:t>The intended users are medical-device regulatory, quality, and software professionals performing early product-definition or change-impact triage. The tool is educational research support—not legal advice, an agency determination, or a conformity assessment.</w:t>
      </w:r>
    </w:p>
    <w:tbl>
      <w:tblPr>
        <w:tblW w:type="auto" w:w="0"/>
        <w:tblLayout w:type="fixed"/>
        <w:tblLook w:firstColumn="1" w:firstRow="1" w:lastColumn="0" w:lastRow="0" w:noHBand="0" w:noVBand="1" w:val="04A0"/>
      </w:tblPr>
      <w:tblGrid>
        <w:gridCol w:w="6120"/>
        <w:gridCol w:w="3240"/>
      </w:tblGrid>
      <w:tr>
        <w:trPr>
          <w:tblHeader w:val="true"/>
          <w:cantSplit/>
        </w:trPr>
        <w:tc>
          <w:tcPr>
            <w:tcW w:type="dxa" w:w="6120"/>
            <w:shd w:fill="0F766E"/>
            <w:tcMar>
              <w:top w:w="90" w:type="dxa"/>
              <w:start w:w="100" w:type="dxa"/>
              <w:bottom w:w="90" w:type="dxa"/>
              <w:end w:w="100" w:type="dxa"/>
            </w:tcMar>
          </w:tcPr>
          <w:p>
            <w:pPr>
              <w:spacing w:after="0"/>
            </w:pPr>
            <w:r>
              <w:rPr>
                <w:b/>
                <w:color w:val="FFFFFF"/>
                <w:sz w:val="20"/>
              </w:rPr>
              <w:t>Current development benchmark</w:t>
            </w:r>
          </w:p>
        </w:tc>
        <w:tc>
          <w:tcPr>
            <w:tcW w:type="dxa" w:w="3240"/>
            <w:shd w:fill="0F766E"/>
            <w:tcMar>
              <w:top w:w="90" w:type="dxa"/>
              <w:start w:w="100" w:type="dxa"/>
              <w:bottom w:w="90" w:type="dxa"/>
              <w:end w:w="100" w:type="dxa"/>
            </w:tcMar>
          </w:tcPr>
          <w:p>
            <w:pPr>
              <w:spacing w:after="0"/>
            </w:pPr>
            <w:r>
              <w:rPr>
                <w:b/>
                <w:color w:val="FFFFFF"/>
                <w:sz w:val="20"/>
              </w:rPr>
              <w:t>Result</w:t>
            </w:r>
          </w:p>
        </w:tc>
      </w:tr>
      <w:tr>
        <w:trPr>
          <w:cantSplit/>
        </w:trPr>
        <w:tc>
          <w:tcPr>
            <w:tcW w:type="dxa" w:w="6120"/>
            <w:tcMar>
              <w:top w:w="90" w:type="dxa"/>
              <w:start w:w="100" w:type="dxa"/>
              <w:bottom w:w="90" w:type="dxa"/>
              <w:end w:w="100" w:type="dxa"/>
            </w:tcMar>
            <w:shd w:fill="FFFFFF"/>
            <w:vAlign w:val="top"/>
          </w:tcPr>
          <w:p>
            <w:pPr>
              <w:spacing w:after="0"/>
            </w:pPr>
            <w:r>
              <w:rPr>
                <w:sz w:val="19"/>
              </w:rPr>
              <w:t>Claim-level faithfulness</w:t>
            </w:r>
          </w:p>
        </w:tc>
        <w:tc>
          <w:tcPr>
            <w:tcW w:type="dxa" w:w="3240"/>
            <w:tcMar>
              <w:top w:w="90" w:type="dxa"/>
              <w:start w:w="100" w:type="dxa"/>
              <w:bottom w:w="90" w:type="dxa"/>
              <w:end w:w="100" w:type="dxa"/>
            </w:tcMar>
            <w:shd w:fill="FFFFFF"/>
            <w:vAlign w:val="top"/>
          </w:tcPr>
          <w:p>
            <w:pPr>
              <w:spacing w:after="0"/>
            </w:pPr>
            <w:r>
              <w:rPr>
                <w:sz w:val="19"/>
              </w:rPr>
              <w:t>100% on 20 end-to-end cases</w:t>
            </w:r>
          </w:p>
        </w:tc>
      </w:tr>
      <w:tr>
        <w:trPr>
          <w:cantSplit/>
        </w:trPr>
        <w:tc>
          <w:tcPr>
            <w:tcW w:type="dxa" w:w="6120"/>
            <w:tcMar>
              <w:top w:w="90" w:type="dxa"/>
              <w:start w:w="100" w:type="dxa"/>
              <w:bottom w:w="90" w:type="dxa"/>
              <w:end w:w="100" w:type="dxa"/>
            </w:tcMar>
            <w:shd w:fill="F3F4F6"/>
            <w:vAlign w:val="top"/>
          </w:tcPr>
          <w:p>
            <w:pPr>
              <w:spacing w:after="0"/>
            </w:pPr>
            <w:r>
              <w:rPr>
                <w:sz w:val="19"/>
              </w:rPr>
              <w:t>Retrieval quality</w:t>
            </w:r>
          </w:p>
        </w:tc>
        <w:tc>
          <w:tcPr>
            <w:tcW w:type="dxa" w:w="3240"/>
            <w:tcMar>
              <w:top w:w="90" w:type="dxa"/>
              <w:start w:w="100" w:type="dxa"/>
              <w:bottom w:w="90" w:type="dxa"/>
              <w:end w:w="100" w:type="dxa"/>
            </w:tcMar>
            <w:shd w:fill="F3F4F6"/>
            <w:vAlign w:val="top"/>
          </w:tcPr>
          <w:p>
            <w:pPr>
              <w:spacing w:after="0"/>
            </w:pPr>
            <w:r>
              <w:rPr>
                <w:sz w:val="19"/>
              </w:rPr>
              <w:t>100% Recall@5 · 0.933 MRR · 0.951 nDCG@5</w:t>
            </w:r>
          </w:p>
        </w:tc>
      </w:tr>
      <w:tr>
        <w:trPr>
          <w:cantSplit/>
        </w:trPr>
        <w:tc>
          <w:tcPr>
            <w:tcW w:type="dxa" w:w="6120"/>
            <w:tcMar>
              <w:top w:w="90" w:type="dxa"/>
              <w:start w:w="100" w:type="dxa"/>
              <w:bottom w:w="90" w:type="dxa"/>
              <w:end w:w="100" w:type="dxa"/>
            </w:tcMar>
            <w:shd w:fill="FFFFFF"/>
            <w:vAlign w:val="top"/>
          </w:tcPr>
          <w:p>
            <w:pPr>
              <w:spacing w:after="0"/>
            </w:pPr>
            <w:r>
              <w:rPr>
                <w:sz w:val="19"/>
              </w:rPr>
              <w:t>Refusal accuracy</w:t>
            </w:r>
          </w:p>
        </w:tc>
        <w:tc>
          <w:tcPr>
            <w:tcW w:type="dxa" w:w="3240"/>
            <w:tcMar>
              <w:top w:w="90" w:type="dxa"/>
              <w:start w:w="100" w:type="dxa"/>
              <w:bottom w:w="90" w:type="dxa"/>
              <w:end w:w="100" w:type="dxa"/>
            </w:tcMar>
            <w:shd w:fill="FFFFFF"/>
            <w:vAlign w:val="top"/>
          </w:tcPr>
          <w:p>
            <w:pPr>
              <w:spacing w:after="0"/>
            </w:pPr>
            <w:r>
              <w:rPr>
                <w:sz w:val="19"/>
              </w:rPr>
              <w:t>100% on supported and unsupported queries</w:t>
            </w:r>
          </w:p>
        </w:tc>
      </w:tr>
      <w:tr>
        <w:trPr>
          <w:cantSplit/>
        </w:trPr>
        <w:tc>
          <w:tcPr>
            <w:tcW w:type="dxa" w:w="6120"/>
            <w:tcMar>
              <w:top w:w="90" w:type="dxa"/>
              <w:start w:w="100" w:type="dxa"/>
              <w:bottom w:w="90" w:type="dxa"/>
              <w:end w:w="100" w:type="dxa"/>
            </w:tcMar>
            <w:shd w:fill="F3F4F6"/>
            <w:vAlign w:val="top"/>
          </w:tcPr>
          <w:p>
            <w:pPr>
              <w:spacing w:after="0"/>
            </w:pPr>
            <w:r>
              <w:rPr>
                <w:sz w:val="19"/>
              </w:rPr>
              <w:t>Latency</w:t>
            </w:r>
          </w:p>
        </w:tc>
        <w:tc>
          <w:tcPr>
            <w:tcW w:type="dxa" w:w="3240"/>
            <w:tcMar>
              <w:top w:w="90" w:type="dxa"/>
              <w:start w:w="100" w:type="dxa"/>
              <w:bottom w:w="90" w:type="dxa"/>
              <w:end w:w="100" w:type="dxa"/>
            </w:tcMar>
            <w:shd w:fill="F3F4F6"/>
            <w:vAlign w:val="top"/>
          </w:tcPr>
          <w:p>
            <w:pPr>
              <w:spacing w:after="0"/>
            </w:pPr>
            <w:r>
              <w:rPr>
                <w:sz w:val="19"/>
              </w:rPr>
              <w:t>0.004s p50 · 0.005s p95 · target ≤5s</w:t>
            </w:r>
          </w:p>
        </w:tc>
      </w:tr>
    </w:tbl>
    <w:p>
      <w:pPr>
        <w:spacing w:after="0"/>
      </w:pPr>
    </w:p>
    <w:p>
      <w:r>
        <w:br w:type="page"/>
      </w:r>
    </w:p>
    <w:p>
      <w:pPr>
        <w:pStyle w:val="Heading1"/>
      </w:pPr>
      <w:r>
        <w:t>Required RAG framework</w:t>
      </w:r>
    </w:p>
    <w:tbl>
      <w:tblPr>
        <w:tblW w:type="auto" w:w="0"/>
        <w:tblLayout w:type="fixed"/>
        <w:tblLook w:firstColumn="1" w:firstRow="1" w:lastColumn="0" w:lastRow="0" w:noHBand="0" w:noVBand="1" w:val="04A0"/>
      </w:tblPr>
      <w:tblGrid>
        <w:gridCol w:w="2088"/>
        <w:gridCol w:w="7272"/>
      </w:tblGrid>
      <w:tr>
        <w:trPr>
          <w:tblHeader w:val="true"/>
          <w:cantSplit/>
        </w:trPr>
        <w:tc>
          <w:tcPr>
            <w:tcW w:type="dxa" w:w="2088"/>
            <w:shd w:fill="0F766E"/>
            <w:tcMar>
              <w:top w:w="90" w:type="dxa"/>
              <w:start w:w="100" w:type="dxa"/>
              <w:bottom w:w="90" w:type="dxa"/>
              <w:end w:w="100" w:type="dxa"/>
            </w:tcMar>
          </w:tcPr>
          <w:p>
            <w:pPr>
              <w:spacing w:after="0"/>
            </w:pPr>
            <w:r>
              <w:rPr>
                <w:b/>
                <w:color w:val="FFFFFF"/>
                <w:sz w:val="20"/>
              </w:rPr>
              <w:t>Field</w:t>
            </w:r>
          </w:p>
        </w:tc>
        <w:tc>
          <w:tcPr>
            <w:tcW w:type="dxa" w:w="7272"/>
            <w:shd w:fill="0F766E"/>
            <w:tcMar>
              <w:top w:w="90" w:type="dxa"/>
              <w:start w:w="100" w:type="dxa"/>
              <w:bottom w:w="90" w:type="dxa"/>
              <w:end w:w="100" w:type="dxa"/>
            </w:tcMar>
          </w:tcPr>
          <w:p>
            <w:pPr>
              <w:spacing w:after="0"/>
            </w:pPr>
            <w:r>
              <w:rPr>
                <w:b/>
                <w:color w:val="FFFFFF"/>
                <w:sz w:val="20"/>
              </w:rPr>
              <w:t>Implementation</w:t>
            </w:r>
          </w:p>
        </w:tc>
      </w:tr>
      <w:tr>
        <w:trPr>
          <w:cantSplit/>
        </w:trPr>
        <w:tc>
          <w:tcPr>
            <w:tcW w:type="dxa" w:w="2088"/>
            <w:tcMar>
              <w:top w:w="90" w:type="dxa"/>
              <w:start w:w="100" w:type="dxa"/>
              <w:bottom w:w="90" w:type="dxa"/>
              <w:end w:w="100" w:type="dxa"/>
            </w:tcMar>
            <w:shd w:fill="FFFFFF"/>
            <w:vAlign w:val="top"/>
          </w:tcPr>
          <w:p>
            <w:pPr>
              <w:spacing w:after="0"/>
            </w:pPr>
            <w:r>
              <w:rPr>
                <w:sz w:val="19"/>
              </w:rPr>
              <w:t>Use case</w:t>
            </w:r>
          </w:p>
        </w:tc>
        <w:tc>
          <w:tcPr>
            <w:tcW w:type="dxa" w:w="7272"/>
            <w:tcMar>
              <w:top w:w="90" w:type="dxa"/>
              <w:start w:w="100" w:type="dxa"/>
              <w:bottom w:w="90" w:type="dxa"/>
              <w:end w:w="100" w:type="dxa"/>
            </w:tcMar>
            <w:shd w:fill="FFFFFF"/>
            <w:vAlign w:val="top"/>
          </w:tcPr>
          <w:p>
            <w:pPr>
              <w:spacing w:after="0"/>
            </w:pPr>
            <w:r>
              <w:rPr>
                <w:sz w:val="19"/>
              </w:rPr>
              <w:t>Answer preliminary software qualification, classification, and applicable-framework questions for one medical-software function, with cited claims, caveats, and missing-fact questions in Streamlit.</w:t>
            </w:r>
          </w:p>
        </w:tc>
      </w:tr>
      <w:tr>
        <w:trPr>
          <w:cantSplit/>
        </w:trPr>
        <w:tc>
          <w:tcPr>
            <w:tcW w:type="dxa" w:w="2088"/>
            <w:tcMar>
              <w:top w:w="90" w:type="dxa"/>
              <w:start w:w="100" w:type="dxa"/>
              <w:bottom w:w="90" w:type="dxa"/>
              <w:end w:w="100" w:type="dxa"/>
            </w:tcMar>
            <w:shd w:fill="F3F4F6"/>
            <w:vAlign w:val="top"/>
          </w:tcPr>
          <w:p>
            <w:pPr>
              <w:spacing w:after="0"/>
            </w:pPr>
            <w:r>
              <w:rPr>
                <w:sz w:val="19"/>
              </w:rPr>
              <w:t>Corpus</w:t>
            </w:r>
          </w:p>
        </w:tc>
        <w:tc>
          <w:tcPr>
            <w:tcW w:type="dxa" w:w="7272"/>
            <w:tcMar>
              <w:top w:w="90" w:type="dxa"/>
              <w:start w:w="100" w:type="dxa"/>
              <w:bottom w:w="90" w:type="dxa"/>
              <w:end w:w="100" w:type="dxa"/>
            </w:tcMar>
            <w:shd w:fill="F3F4F6"/>
            <w:vAlign w:val="top"/>
          </w:tcPr>
          <w:p>
            <w:pPr>
              <w:spacing w:after="0"/>
            </w:pPr>
            <w:r>
              <w:rPr>
                <w:sz w:val="19"/>
              </w:rPr>
              <w:t>21 curated English JSONL evidence cards spanning FDA, U.S. statutes, EU MDR, IMDRF, IEC 62304, and ISO 14971; authorized PDF, Markdown, and text can also be ingested. Issuers own official truth; the maintainer owns snapshots and review metadata.</w:t>
            </w:r>
          </w:p>
        </w:tc>
      </w:tr>
      <w:tr>
        <w:trPr>
          <w:cantSplit/>
        </w:trPr>
        <w:tc>
          <w:tcPr>
            <w:tcW w:type="dxa" w:w="2088"/>
            <w:tcMar>
              <w:top w:w="90" w:type="dxa"/>
              <w:start w:w="100" w:type="dxa"/>
              <w:bottom w:w="90" w:type="dxa"/>
              <w:end w:w="100" w:type="dxa"/>
            </w:tcMar>
            <w:shd w:fill="FFFFFF"/>
            <w:vAlign w:val="top"/>
          </w:tcPr>
          <w:p>
            <w:pPr>
              <w:spacing w:after="0"/>
            </w:pPr>
            <w:r>
              <w:rPr>
                <w:sz w:val="19"/>
              </w:rPr>
              <w:t>Ingestion + cleaning</w:t>
            </w:r>
          </w:p>
        </w:tc>
        <w:tc>
          <w:tcPr>
            <w:tcW w:type="dxa" w:w="7272"/>
            <w:tcMar>
              <w:top w:w="90" w:type="dxa"/>
              <w:start w:w="100" w:type="dxa"/>
              <w:bottom w:w="90" w:type="dxa"/>
              <w:end w:w="100" w:type="dxa"/>
            </w:tcMar>
            <w:shd w:fill="FFFFFF"/>
            <w:vAlign w:val="top"/>
          </w:tcPr>
          <w:p>
            <w:pPr>
              <w:spacing w:after="0"/>
            </w:pPr>
            <w:r>
              <w:rPr>
                <w:sz w:val="19"/>
              </w:rPr>
              <w:t>Extract PDF pages or Markdown heading paths, normalize whitespace, split at semantic boundaries, attach lifecycle metadata, reject empty/incomplete records, and deduplicate stable chunk IDs.</w:t>
            </w:r>
          </w:p>
        </w:tc>
      </w:tr>
      <w:tr>
        <w:trPr>
          <w:cantSplit/>
        </w:trPr>
        <w:tc>
          <w:tcPr>
            <w:tcW w:type="dxa" w:w="2088"/>
            <w:tcMar>
              <w:top w:w="90" w:type="dxa"/>
              <w:start w:w="100" w:type="dxa"/>
              <w:bottom w:w="90" w:type="dxa"/>
              <w:end w:w="100" w:type="dxa"/>
            </w:tcMar>
            <w:shd w:fill="F3F4F6"/>
            <w:vAlign w:val="top"/>
          </w:tcPr>
          <w:p>
            <w:pPr>
              <w:spacing w:after="0"/>
            </w:pPr>
            <w:r>
              <w:rPr>
                <w:sz w:val="19"/>
              </w:rPr>
              <w:t>Ingestion + freshness</w:t>
            </w:r>
          </w:p>
        </w:tc>
        <w:tc>
          <w:tcPr>
            <w:tcW w:type="dxa" w:w="7272"/>
            <w:tcMar>
              <w:top w:w="90" w:type="dxa"/>
              <w:start w:w="100" w:type="dxa"/>
              <w:bottom w:w="90" w:type="dxa"/>
              <w:end w:w="100" w:type="dxa"/>
            </w:tcMar>
            <w:shd w:fill="F3F4F6"/>
            <w:vAlign w:val="top"/>
          </w:tcPr>
          <w:p>
            <w:pPr>
              <w:spacing w:after="0"/>
            </w:pPr>
            <w:r>
              <w:rPr>
                <w:sz w:val="19"/>
              </w:rPr>
              <w:t>Review every source family monthly under a 30-day SLA, with a one-business-day target for known material updates. A manifest audit blocks answer release when stale or incomplete.</w:t>
            </w:r>
          </w:p>
        </w:tc>
      </w:tr>
      <w:tr>
        <w:trPr>
          <w:cantSplit/>
        </w:trPr>
        <w:tc>
          <w:tcPr>
            <w:tcW w:type="dxa" w:w="2088"/>
            <w:tcMar>
              <w:top w:w="90" w:type="dxa"/>
              <w:start w:w="100" w:type="dxa"/>
              <w:bottom w:w="90" w:type="dxa"/>
              <w:end w:w="100" w:type="dxa"/>
            </w:tcMar>
            <w:shd w:fill="FFFFFF"/>
            <w:vAlign w:val="top"/>
          </w:tcPr>
          <w:p>
            <w:pPr>
              <w:spacing w:after="0"/>
            </w:pPr>
            <w:r>
              <w:rPr>
                <w:sz w:val="19"/>
              </w:rPr>
              <w:t>Chunking + embedding</w:t>
            </w:r>
          </w:p>
        </w:tc>
        <w:tc>
          <w:tcPr>
            <w:tcW w:type="dxa" w:w="7272"/>
            <w:tcMar>
              <w:top w:w="90" w:type="dxa"/>
              <w:start w:w="100" w:type="dxa"/>
              <w:bottom w:w="90" w:type="dxa"/>
              <w:end w:w="100" w:type="dxa"/>
            </w:tcMar>
            <w:shd w:fill="FFFFFF"/>
            <w:vAlign w:val="top"/>
          </w:tcPr>
          <w:p>
            <w:pPr>
              <w:spacing w:after="0"/>
            </w:pPr>
            <w:r>
              <w:rPr>
                <w:sz w:val="19"/>
              </w:rPr>
              <w:t>Use hierarchy-aware 1,600-character chunks with 200-character overlap and a reproducible 384-dimensional signed hashing embedding. The size preserves coherent provisions; the offline model supports a transparent classroom baseline.</w:t>
            </w:r>
          </w:p>
        </w:tc>
      </w:tr>
      <w:tr>
        <w:trPr>
          <w:cantSplit/>
        </w:trPr>
        <w:tc>
          <w:tcPr>
            <w:tcW w:type="dxa" w:w="2088"/>
            <w:tcMar>
              <w:top w:w="90" w:type="dxa"/>
              <w:start w:w="100" w:type="dxa"/>
              <w:bottom w:w="90" w:type="dxa"/>
              <w:end w:w="100" w:type="dxa"/>
            </w:tcMar>
            <w:shd w:fill="F3F4F6"/>
            <w:vAlign w:val="top"/>
          </w:tcPr>
          <w:p>
            <w:pPr>
              <w:spacing w:after="0"/>
            </w:pPr>
            <w:r>
              <w:rPr>
                <w:sz w:val="19"/>
              </w:rPr>
              <w:t>Retrieve</w:t>
            </w:r>
          </w:p>
        </w:tc>
        <w:tc>
          <w:tcPr>
            <w:tcW w:type="dxa" w:w="7272"/>
            <w:tcMar>
              <w:top w:w="90" w:type="dxa"/>
              <w:start w:w="100" w:type="dxa"/>
              <w:bottom w:w="90" w:type="dxa"/>
              <w:end w:w="100" w:type="dxa"/>
            </w:tcMar>
            <w:shd w:fill="F3F4F6"/>
            <w:vAlign w:val="top"/>
          </w:tcPr>
          <w:p>
            <w:pPr>
              <w:spacing w:after="0"/>
            </w:pPr>
            <w:r>
              <w:rPr>
                <w:sz w:val="19"/>
              </w:rPr>
              <w:t>Use local Chroma plus BM25, 56/44 reciprocal-rank fusion, exact-identifier boosts, top-k 8, and metadata-constrained supplements for each decision-critical source family.</w:t>
            </w:r>
          </w:p>
        </w:tc>
      </w:tr>
    </w:tbl>
    <w:p>
      <w:pPr>
        <w:spacing w:after="0"/>
      </w:pPr>
    </w:p>
    <w:p>
      <w:pPr>
        <w:pStyle w:val="Heading2"/>
      </w:pPr>
      <w:r>
        <w:t>Source lifecycle and licensing</w:t>
      </w:r>
    </w:p>
    <w:p>
      <w:r>
        <w:t>Each evidence card records a stable ID, source family, jurisdiction, authority, document type, legal status, issue date, section, official URL, supersession flag, topics, and a concise evidence summary. Binding law, final guidance, draft guidance, harmonized frameworks, and licensed standards remain visibly distinct.</w:t>
      </w:r>
    </w:p>
    <w:tbl>
      <w:tblPr>
        <w:tblW w:type="auto" w:w="0"/>
        <w:tblLayout w:type="fixed"/>
        <w:tblLook w:firstColumn="1" w:firstRow="1" w:lastColumn="0" w:lastRow="0" w:noHBand="0" w:noVBand="1" w:val="04A0"/>
      </w:tblPr>
      <w:tblGrid>
        <w:gridCol w:w="9360"/>
      </w:tblGrid>
      <w:tr>
        <w:trPr>
          <w:cantSplit/>
        </w:trPr>
        <w:tc>
          <w:tcPr>
            <w:tcW w:type="dxa" w:w="9360"/>
            <w:shd w:fill="EAF1F8"/>
            <w:tcMar>
              <w:top w:w="140" w:type="dxa"/>
              <w:start w:w="160" w:type="dxa"/>
              <w:bottom w:w="140" w:type="dxa"/>
              <w:end w:w="160" w:type="dxa"/>
            </w:tcMar>
            <w:vAlign w:val="center"/>
          </w:tcPr>
          <w:p>
            <w:pPr>
              <w:spacing w:after="80"/>
            </w:pPr>
            <w:r>
              <w:rPr>
                <w:b/>
                <w:color w:val="115E59"/>
              </w:rPr>
              <w:t>Licensed standards boundary</w:t>
            </w:r>
          </w:p>
          <w:p>
            <w:pPr>
              <w:spacing w:after="0"/>
            </w:pPr>
            <w:r>
              <w:t>IEC and ISO clause text is intentionally not reproduced. The app exposes scope-level catalog evidence and directs users to licensed copies for clause-level conclusions.</w:t>
            </w:r>
          </w:p>
        </w:tc>
      </w:tr>
    </w:tbl>
    <w:p>
      <w:pPr>
        <w:spacing w:after="0"/>
      </w:pPr>
    </w:p>
    <w:p>
      <w:pPr>
        <w:pStyle w:val="Heading1"/>
      </w:pPr>
      <w:r>
        <w:t>System architecture</w:t>
      </w:r>
    </w:p>
    <w:p>
      <w:r>
        <w:t>The workflow is a typed state machine. Classification is deterministic; LangChain handles documents, embeddings, Chroma, and retrieval, while LangGraph makes routing and evidence gates explicit and testable.</w:t>
      </w:r>
    </w:p>
    <w:tbl>
      <w:tblPr>
        <w:tblW w:type="auto" w:w="0"/>
        <w:tblLayout w:type="fixed"/>
        <w:tblLook w:firstColumn="1" w:firstRow="1" w:lastColumn="0" w:lastRow="0" w:noHBand="0" w:noVBand="1" w:val="04A0"/>
      </w:tblPr>
      <w:tblGrid>
        <w:gridCol w:w="792"/>
        <w:gridCol w:w="2376"/>
        <w:gridCol w:w="6192"/>
      </w:tblGrid>
      <w:tr>
        <w:trPr>
          <w:tblHeader w:val="true"/>
          <w:cantSplit/>
        </w:trPr>
        <w:tc>
          <w:tcPr>
            <w:tcW w:type="dxa" w:w="792"/>
            <w:shd w:fill="0F766E"/>
            <w:tcMar>
              <w:top w:w="90" w:type="dxa"/>
              <w:start w:w="100" w:type="dxa"/>
              <w:bottom w:w="90" w:type="dxa"/>
              <w:end w:w="100" w:type="dxa"/>
            </w:tcMar>
          </w:tcPr>
          <w:p>
            <w:pPr>
              <w:spacing w:after="0"/>
            </w:pPr>
            <w:r>
              <w:rPr>
                <w:b/>
                <w:color w:val="FFFFFF"/>
                <w:sz w:val="20"/>
              </w:rPr>
              <w:t>Step</w:t>
            </w:r>
          </w:p>
        </w:tc>
        <w:tc>
          <w:tcPr>
            <w:tcW w:type="dxa" w:w="2376"/>
            <w:shd w:fill="0F766E"/>
            <w:tcMar>
              <w:top w:w="90" w:type="dxa"/>
              <w:start w:w="100" w:type="dxa"/>
              <w:bottom w:w="90" w:type="dxa"/>
              <w:end w:w="100" w:type="dxa"/>
            </w:tcMar>
          </w:tcPr>
          <w:p>
            <w:pPr>
              <w:spacing w:after="0"/>
            </w:pPr>
            <w:r>
              <w:rPr>
                <w:b/>
                <w:color w:val="FFFFFF"/>
                <w:sz w:val="20"/>
              </w:rPr>
              <w:t>Node group</w:t>
            </w:r>
          </w:p>
        </w:tc>
        <w:tc>
          <w:tcPr>
            <w:tcW w:type="dxa" w:w="6192"/>
            <w:shd w:fill="0F766E"/>
            <w:tcMar>
              <w:top w:w="90" w:type="dxa"/>
              <w:start w:w="100" w:type="dxa"/>
              <w:bottom w:w="90" w:type="dxa"/>
              <w:end w:w="100" w:type="dxa"/>
            </w:tcMar>
          </w:tcPr>
          <w:p>
            <w:pPr>
              <w:spacing w:after="0"/>
            </w:pPr>
            <w:r>
              <w:rPr>
                <w:b/>
                <w:color w:val="FFFFFF"/>
                <w:sz w:val="20"/>
              </w:rPr>
              <w:t>Responsibility</w:t>
            </w:r>
          </w:p>
        </w:tc>
      </w:tr>
      <w:tr>
        <w:trPr>
          <w:cantSplit/>
        </w:trPr>
        <w:tc>
          <w:tcPr>
            <w:tcW w:type="dxa" w:w="792"/>
            <w:tcMar>
              <w:top w:w="90" w:type="dxa"/>
              <w:start w:w="100" w:type="dxa"/>
              <w:bottom w:w="90" w:type="dxa"/>
              <w:end w:w="100" w:type="dxa"/>
            </w:tcMar>
            <w:shd w:fill="FFFFFF"/>
            <w:vAlign w:val="top"/>
          </w:tcPr>
          <w:p>
            <w:pPr>
              <w:spacing w:after="0"/>
            </w:pPr>
            <w:r>
              <w:rPr>
                <w:sz w:val="19"/>
              </w:rPr>
              <w:t>1</w:t>
            </w:r>
          </w:p>
        </w:tc>
        <w:tc>
          <w:tcPr>
            <w:tcW w:type="dxa" w:w="2376"/>
            <w:tcMar>
              <w:top w:w="90" w:type="dxa"/>
              <w:start w:w="100" w:type="dxa"/>
              <w:bottom w:w="90" w:type="dxa"/>
              <w:end w:w="100" w:type="dxa"/>
            </w:tcMar>
            <w:shd w:fill="FFFFFF"/>
            <w:vAlign w:val="top"/>
          </w:tcPr>
          <w:p>
            <w:pPr>
              <w:spacing w:after="0"/>
            </w:pPr>
            <w:r>
              <w:rPr>
                <w:sz w:val="19"/>
              </w:rPr>
              <w:t>Input + facts</w:t>
            </w:r>
          </w:p>
        </w:tc>
        <w:tc>
          <w:tcPr>
            <w:tcW w:type="dxa" w:w="6192"/>
            <w:tcMar>
              <w:top w:w="90" w:type="dxa"/>
              <w:start w:w="100" w:type="dxa"/>
              <w:bottom w:w="90" w:type="dxa"/>
              <w:end w:w="100" w:type="dxa"/>
            </w:tcMar>
            <w:shd w:fill="FFFFFF"/>
            <w:vAlign w:val="top"/>
          </w:tcPr>
          <w:p>
            <w:pPr>
              <w:spacing w:after="0"/>
            </w:pPr>
            <w:r>
              <w:rPr>
                <w:sz w:val="19"/>
              </w:rPr>
              <w:t>Validate the Pydantic schema; extract only explicit or high-confidence facts.</w:t>
            </w:r>
          </w:p>
        </w:tc>
      </w:tr>
      <w:tr>
        <w:trPr>
          <w:cantSplit/>
        </w:trPr>
        <w:tc>
          <w:tcPr>
            <w:tcW w:type="dxa" w:w="792"/>
            <w:tcMar>
              <w:top w:w="90" w:type="dxa"/>
              <w:start w:w="100" w:type="dxa"/>
              <w:bottom w:w="90" w:type="dxa"/>
              <w:end w:w="100" w:type="dxa"/>
            </w:tcMar>
            <w:shd w:fill="F3F4F6"/>
            <w:vAlign w:val="top"/>
          </w:tcPr>
          <w:p>
            <w:pPr>
              <w:spacing w:after="0"/>
            </w:pPr>
            <w:r>
              <w:rPr>
                <w:sz w:val="19"/>
              </w:rPr>
              <w:t>2</w:t>
            </w:r>
          </w:p>
        </w:tc>
        <w:tc>
          <w:tcPr>
            <w:tcW w:type="dxa" w:w="2376"/>
            <w:tcMar>
              <w:top w:w="90" w:type="dxa"/>
              <w:start w:w="100" w:type="dxa"/>
              <w:bottom w:w="90" w:type="dxa"/>
              <w:end w:w="100" w:type="dxa"/>
            </w:tcMar>
            <w:shd w:fill="F3F4F6"/>
            <w:vAlign w:val="top"/>
          </w:tcPr>
          <w:p>
            <w:pPr>
              <w:spacing w:after="0"/>
            </w:pPr>
            <w:r>
              <w:rPr>
                <w:sz w:val="19"/>
              </w:rPr>
              <w:t>Scope + route</w:t>
            </w:r>
          </w:p>
        </w:tc>
        <w:tc>
          <w:tcPr>
            <w:tcW w:type="dxa" w:w="6192"/>
            <w:tcMar>
              <w:top w:w="90" w:type="dxa"/>
              <w:start w:w="100" w:type="dxa"/>
              <w:bottom w:w="90" w:type="dxa"/>
              <w:end w:w="100" w:type="dxa"/>
            </w:tcMar>
            <w:shd w:fill="F3F4F6"/>
            <w:vAlign w:val="top"/>
          </w:tcPr>
          <w:p>
            <w:pPr>
              <w:spacing w:after="0"/>
            </w:pPr>
            <w:r>
              <w:rPr>
                <w:sz w:val="19"/>
              </w:rPr>
              <w:t>Classify software scope and select CDS or general U.S. analysis.</w:t>
            </w:r>
          </w:p>
        </w:tc>
      </w:tr>
      <w:tr>
        <w:trPr>
          <w:cantSplit/>
        </w:trPr>
        <w:tc>
          <w:tcPr>
            <w:tcW w:type="dxa" w:w="792"/>
            <w:tcMar>
              <w:top w:w="90" w:type="dxa"/>
              <w:start w:w="100" w:type="dxa"/>
              <w:bottom w:w="90" w:type="dxa"/>
              <w:end w:w="100" w:type="dxa"/>
            </w:tcMar>
            <w:shd w:fill="FFFFFF"/>
            <w:vAlign w:val="top"/>
          </w:tcPr>
          <w:p>
            <w:pPr>
              <w:spacing w:after="0"/>
            </w:pPr>
            <w:r>
              <w:rPr>
                <w:sz w:val="19"/>
              </w:rPr>
              <w:t>3</w:t>
            </w:r>
          </w:p>
        </w:tc>
        <w:tc>
          <w:tcPr>
            <w:tcW w:type="dxa" w:w="2376"/>
            <w:tcMar>
              <w:top w:w="90" w:type="dxa"/>
              <w:start w:w="100" w:type="dxa"/>
              <w:bottom w:w="90" w:type="dxa"/>
              <w:end w:w="100" w:type="dxa"/>
            </w:tcMar>
            <w:shd w:fill="FFFFFF"/>
            <w:vAlign w:val="top"/>
          </w:tcPr>
          <w:p>
            <w:pPr>
              <w:spacing w:after="0"/>
            </w:pPr>
            <w:r>
              <w:rPr>
                <w:sz w:val="19"/>
              </w:rPr>
              <w:t>Framework screens</w:t>
            </w:r>
          </w:p>
        </w:tc>
        <w:tc>
          <w:tcPr>
            <w:tcW w:type="dxa" w:w="6192"/>
            <w:tcMar>
              <w:top w:w="90" w:type="dxa"/>
              <w:start w:w="100" w:type="dxa"/>
              <w:bottom w:w="90" w:type="dxa"/>
              <w:end w:w="100" w:type="dxa"/>
            </w:tcMar>
            <w:shd w:fill="FFFFFF"/>
            <w:vAlign w:val="top"/>
          </w:tcPr>
          <w:p>
            <w:pPr>
              <w:spacing w:after="0"/>
            </w:pPr>
            <w:r>
              <w:rPr>
                <w:sz w:val="19"/>
              </w:rPr>
              <w:t>Apply U.S., IMDRF N10/N12, IEC 62304, and EU MDR Rule 11 rules.</w:t>
            </w:r>
          </w:p>
        </w:tc>
      </w:tr>
      <w:tr>
        <w:trPr>
          <w:cantSplit/>
        </w:trPr>
        <w:tc>
          <w:tcPr>
            <w:tcW w:type="dxa" w:w="792"/>
            <w:tcMar>
              <w:top w:w="90" w:type="dxa"/>
              <w:start w:w="100" w:type="dxa"/>
              <w:bottom w:w="90" w:type="dxa"/>
              <w:end w:w="100" w:type="dxa"/>
            </w:tcMar>
            <w:shd w:fill="F3F4F6"/>
            <w:vAlign w:val="top"/>
          </w:tcPr>
          <w:p>
            <w:pPr>
              <w:spacing w:after="0"/>
            </w:pPr>
            <w:r>
              <w:rPr>
                <w:sz w:val="19"/>
              </w:rPr>
              <w:t>4</w:t>
            </w:r>
          </w:p>
        </w:tc>
        <w:tc>
          <w:tcPr>
            <w:tcW w:type="dxa" w:w="2376"/>
            <w:tcMar>
              <w:top w:w="90" w:type="dxa"/>
              <w:start w:w="100" w:type="dxa"/>
              <w:bottom w:w="90" w:type="dxa"/>
              <w:end w:w="100" w:type="dxa"/>
            </w:tcMar>
            <w:shd w:fill="F3F4F6"/>
            <w:vAlign w:val="top"/>
          </w:tcPr>
          <w:p>
            <w:pPr>
              <w:spacing w:after="0"/>
            </w:pPr>
            <w:r>
              <w:rPr>
                <w:sz w:val="19"/>
              </w:rPr>
              <w:t>Uncertainty</w:t>
            </w:r>
          </w:p>
        </w:tc>
        <w:tc>
          <w:tcPr>
            <w:tcW w:type="dxa" w:w="6192"/>
            <w:tcMar>
              <w:top w:w="90" w:type="dxa"/>
              <w:start w:w="100" w:type="dxa"/>
              <w:bottom w:w="90" w:type="dxa"/>
              <w:end w:w="100" w:type="dxa"/>
            </w:tcMar>
            <w:shd w:fill="F3F4F6"/>
            <w:vAlign w:val="top"/>
          </w:tcPr>
          <w:p>
            <w:pPr>
              <w:spacing w:after="0"/>
            </w:pPr>
            <w:r>
              <w:rPr>
                <w:sz w:val="19"/>
              </w:rPr>
              <w:t>Preserve unknown facts as focused follow-up questions.</w:t>
            </w:r>
          </w:p>
        </w:tc>
      </w:tr>
      <w:tr>
        <w:trPr>
          <w:cantSplit/>
        </w:trPr>
        <w:tc>
          <w:tcPr>
            <w:tcW w:type="dxa" w:w="792"/>
            <w:tcMar>
              <w:top w:w="90" w:type="dxa"/>
              <w:start w:w="100" w:type="dxa"/>
              <w:bottom w:w="90" w:type="dxa"/>
              <w:end w:w="100" w:type="dxa"/>
            </w:tcMar>
            <w:shd w:fill="FFFFFF"/>
            <w:vAlign w:val="top"/>
          </w:tcPr>
          <w:p>
            <w:pPr>
              <w:spacing w:after="0"/>
            </w:pPr>
            <w:r>
              <w:rPr>
                <w:sz w:val="19"/>
              </w:rPr>
              <w:t>5</w:t>
            </w:r>
          </w:p>
        </w:tc>
        <w:tc>
          <w:tcPr>
            <w:tcW w:type="dxa" w:w="2376"/>
            <w:tcMar>
              <w:top w:w="90" w:type="dxa"/>
              <w:start w:w="100" w:type="dxa"/>
              <w:bottom w:w="90" w:type="dxa"/>
              <w:end w:w="100" w:type="dxa"/>
            </w:tcMar>
            <w:shd w:fill="FFFFFF"/>
            <w:vAlign w:val="top"/>
          </w:tcPr>
          <w:p>
            <w:pPr>
              <w:spacing w:after="0"/>
            </w:pPr>
            <w:r>
              <w:rPr>
                <w:sz w:val="19"/>
              </w:rPr>
              <w:t>Hybrid retrieval</w:t>
            </w:r>
          </w:p>
        </w:tc>
        <w:tc>
          <w:tcPr>
            <w:tcW w:type="dxa" w:w="6192"/>
            <w:tcMar>
              <w:top w:w="90" w:type="dxa"/>
              <w:start w:w="100" w:type="dxa"/>
              <w:bottom w:w="90" w:type="dxa"/>
              <w:end w:w="100" w:type="dxa"/>
            </w:tcMar>
            <w:shd w:fill="FFFFFF"/>
            <w:vAlign w:val="top"/>
          </w:tcPr>
          <w:p>
            <w:pPr>
              <w:spacing w:after="0"/>
            </w:pPr>
            <w:r>
              <w:rPr>
                <w:sz w:val="19"/>
              </w:rPr>
              <w:t>Fuse BM25 and Chroma ranks; supplement controlling source families.</w:t>
            </w:r>
          </w:p>
        </w:tc>
      </w:tr>
      <w:tr>
        <w:trPr>
          <w:cantSplit/>
        </w:trPr>
        <w:tc>
          <w:tcPr>
            <w:tcW w:type="dxa" w:w="792"/>
            <w:tcMar>
              <w:top w:w="90" w:type="dxa"/>
              <w:start w:w="100" w:type="dxa"/>
              <w:bottom w:w="90" w:type="dxa"/>
              <w:end w:w="100" w:type="dxa"/>
            </w:tcMar>
            <w:shd w:fill="F3F4F6"/>
            <w:vAlign w:val="top"/>
          </w:tcPr>
          <w:p>
            <w:pPr>
              <w:spacing w:after="0"/>
            </w:pPr>
            <w:r>
              <w:rPr>
                <w:sz w:val="19"/>
              </w:rPr>
              <w:t>6</w:t>
            </w:r>
          </w:p>
        </w:tc>
        <w:tc>
          <w:tcPr>
            <w:tcW w:type="dxa" w:w="2376"/>
            <w:tcMar>
              <w:top w:w="90" w:type="dxa"/>
              <w:start w:w="100" w:type="dxa"/>
              <w:bottom w:w="90" w:type="dxa"/>
              <w:end w:w="100" w:type="dxa"/>
            </w:tcMar>
            <w:shd w:fill="F3F4F6"/>
            <w:vAlign w:val="top"/>
          </w:tcPr>
          <w:p>
            <w:pPr>
              <w:spacing w:after="0"/>
            </w:pPr>
            <w:r>
              <w:rPr>
                <w:sz w:val="19"/>
              </w:rPr>
              <w:t>Evidence validation</w:t>
            </w:r>
          </w:p>
        </w:tc>
        <w:tc>
          <w:tcPr>
            <w:tcW w:type="dxa" w:w="6192"/>
            <w:tcMar>
              <w:top w:w="90" w:type="dxa"/>
              <w:start w:w="100" w:type="dxa"/>
              <w:bottom w:w="90" w:type="dxa"/>
              <w:end w:w="100" w:type="dxa"/>
            </w:tcMar>
            <w:shd w:fill="F3F4F6"/>
            <w:vAlign w:val="top"/>
          </w:tcPr>
          <w:p>
            <w:pPr>
              <w:spacing w:after="0"/>
            </w:pPr>
            <w:r>
              <w:rPr>
                <w:sz w:val="19"/>
              </w:rPr>
              <w:t>Reject superseded or metadata-incomplete citations and audit freshness.</w:t>
            </w:r>
          </w:p>
        </w:tc>
      </w:tr>
      <w:tr>
        <w:trPr>
          <w:cantSplit/>
        </w:trPr>
        <w:tc>
          <w:tcPr>
            <w:tcW w:type="dxa" w:w="792"/>
            <w:tcMar>
              <w:top w:w="90" w:type="dxa"/>
              <w:start w:w="100" w:type="dxa"/>
              <w:bottom w:w="90" w:type="dxa"/>
              <w:end w:w="100" w:type="dxa"/>
            </w:tcMar>
            <w:shd w:fill="FFFFFF"/>
            <w:vAlign w:val="top"/>
          </w:tcPr>
          <w:p>
            <w:pPr>
              <w:spacing w:after="0"/>
            </w:pPr>
            <w:r>
              <w:rPr>
                <w:sz w:val="19"/>
              </w:rPr>
              <w:t>7</w:t>
            </w:r>
          </w:p>
        </w:tc>
        <w:tc>
          <w:tcPr>
            <w:tcW w:type="dxa" w:w="2376"/>
            <w:tcMar>
              <w:top w:w="90" w:type="dxa"/>
              <w:start w:w="100" w:type="dxa"/>
              <w:bottom w:w="90" w:type="dxa"/>
              <w:end w:w="100" w:type="dxa"/>
            </w:tcMar>
            <w:shd w:fill="FFFFFF"/>
            <w:vAlign w:val="top"/>
          </w:tcPr>
          <w:p>
            <w:pPr>
              <w:spacing w:after="0"/>
            </w:pPr>
            <w:r>
              <w:rPr>
                <w:sz w:val="19"/>
              </w:rPr>
              <w:t>Claim grounding</w:t>
            </w:r>
          </w:p>
        </w:tc>
        <w:tc>
          <w:tcPr>
            <w:tcW w:type="dxa" w:w="6192"/>
            <w:tcMar>
              <w:top w:w="90" w:type="dxa"/>
              <w:start w:w="100" w:type="dxa"/>
              <w:bottom w:w="90" w:type="dxa"/>
              <w:end w:w="100" w:type="dxa"/>
            </w:tcMar>
            <w:shd w:fill="FFFFFF"/>
            <w:vAlign w:val="top"/>
          </w:tcPr>
          <w:p>
            <w:pPr>
              <w:spacing w:after="0"/>
            </w:pPr>
            <w:r>
              <w:rPr>
                <w:sz w:val="19"/>
              </w:rPr>
              <w:t>Bind every displayed conclusion to required source keys and citation IDs.</w:t>
            </w:r>
          </w:p>
        </w:tc>
      </w:tr>
      <w:tr>
        <w:trPr>
          <w:cantSplit/>
        </w:trPr>
        <w:tc>
          <w:tcPr>
            <w:tcW w:type="dxa" w:w="792"/>
            <w:tcMar>
              <w:top w:w="90" w:type="dxa"/>
              <w:start w:w="100" w:type="dxa"/>
              <w:bottom w:w="90" w:type="dxa"/>
              <w:end w:w="100" w:type="dxa"/>
            </w:tcMar>
            <w:shd w:fill="F3F4F6"/>
            <w:vAlign w:val="top"/>
          </w:tcPr>
          <w:p>
            <w:pPr>
              <w:spacing w:after="0"/>
            </w:pPr>
            <w:r>
              <w:rPr>
                <w:sz w:val="19"/>
              </w:rPr>
              <w:t>8</w:t>
            </w:r>
          </w:p>
        </w:tc>
        <w:tc>
          <w:tcPr>
            <w:tcW w:type="dxa" w:w="2376"/>
            <w:tcMar>
              <w:top w:w="90" w:type="dxa"/>
              <w:start w:w="100" w:type="dxa"/>
              <w:bottom w:w="90" w:type="dxa"/>
              <w:end w:w="100" w:type="dxa"/>
            </w:tcMar>
            <w:shd w:fill="F3F4F6"/>
            <w:vAlign w:val="top"/>
          </w:tcPr>
          <w:p>
            <w:pPr>
              <w:spacing w:after="0"/>
            </w:pPr>
            <w:r>
              <w:rPr>
                <w:sz w:val="19"/>
              </w:rPr>
              <w:t>Release + render</w:t>
            </w:r>
          </w:p>
        </w:tc>
        <w:tc>
          <w:tcPr>
            <w:tcW w:type="dxa" w:w="6192"/>
            <w:tcMar>
              <w:top w:w="90" w:type="dxa"/>
              <w:start w:w="100" w:type="dxa"/>
              <w:bottom w:w="90" w:type="dxa"/>
              <w:end w:w="100" w:type="dxa"/>
            </w:tcMar>
            <w:shd w:fill="F3F4F6"/>
            <w:vAlign w:val="top"/>
          </w:tcPr>
          <w:p>
            <w:pPr>
              <w:spacing w:after="0"/>
            </w:pPr>
            <w:r>
              <w:rPr>
                <w:sz w:val="19"/>
              </w:rPr>
              <w:t>Answer, answer with caveats, or refuse; show links and quality metrics.</w:t>
            </w:r>
          </w:p>
        </w:tc>
      </w:tr>
    </w:tbl>
    <w:p>
      <w:pPr>
        <w:spacing w:after="0"/>
      </w:pPr>
    </w:p>
    <w:p>
      <w:pPr>
        <w:pStyle w:val="Heading2"/>
      </w:pPr>
      <w:r>
        <w:t>Refusal and confidence policy</w:t>
      </w:r>
    </w:p>
    <w:p>
      <w:pPr>
        <w:pStyle w:val="ListBullet"/>
      </w:pPr>
      <w:r>
        <w:t>Refuse unrelated or explicitly unsupported topics such as recipes, HIPAA, billing, or reimbursement.</w:t>
      </w:r>
    </w:p>
    <w:p>
      <w:pPr>
        <w:pStyle w:val="ListBullet"/>
      </w:pPr>
      <w:r>
        <w:t>Refuse when atomic-claim source coverage is below 80% or the freshness audit fails.</w:t>
      </w:r>
    </w:p>
    <w:p>
      <w:pPr>
        <w:pStyle w:val="ListBullet"/>
      </w:pPr>
      <w:r>
        <w:t>Return “answer with caveats” when evidence is sufficient but material product facts remain unresolved.</w:t>
      </w:r>
    </w:p>
    <w:p>
      <w:pPr>
        <w:pStyle w:val="ListBullet"/>
      </w:pPr>
      <w:r>
        <w:t>Use ≥95% mean claim-level faithfulness as the project release target; keep the operational per-answer gate at 80% to block severely incomplete multi-framework results.</w:t>
      </w:r>
    </w:p>
    <w:p>
      <w:pPr>
        <w:pStyle w:val="Heading1"/>
      </w:pPr>
      <w:r>
        <w:t>Prompts and agent instructions</w:t>
      </w:r>
    </w:p>
    <w:p>
      <w:pPr>
        <w:pStyle w:val="Heading2"/>
      </w:pPr>
      <w:r>
        <w:t>Fact extraction system instruction</w:t>
      </w:r>
    </w:p>
    <w:tbl>
      <w:tblPr>
        <w:tblW w:type="auto" w:w="0"/>
        <w:tblLayout w:type="fixed"/>
        <w:tblLook w:firstColumn="1" w:firstRow="1" w:lastColumn="0" w:lastRow="0" w:noHBand="0" w:noVBand="1" w:val="04A0"/>
      </w:tblPr>
      <w:tblGrid>
        <w:gridCol w:w="9360"/>
      </w:tblGrid>
      <w:tr>
        <w:trPr>
          <w:cantSplit/>
        </w:trPr>
        <w:tc>
          <w:tcPr>
            <w:tcW w:type="dxa" w:w="9360"/>
            <w:shd w:fill="EAF1F8"/>
            <w:tcMar>
              <w:top w:w="140" w:type="dxa"/>
              <w:start w:w="160" w:type="dxa"/>
              <w:bottom w:w="140" w:type="dxa"/>
              <w:end w:w="160" w:type="dxa"/>
            </w:tcMar>
            <w:vAlign w:val="center"/>
          </w:tcPr>
          <w:p>
            <w:pPr>
              <w:spacing w:after="80"/>
            </w:pPr>
            <w:r>
              <w:rPr>
                <w:b/>
                <w:color w:val="115E59"/>
              </w:rPr>
              <w:t>Constrained extraction</w:t>
            </w:r>
          </w:p>
          <w:p>
            <w:pPr>
              <w:spacing w:after="0"/>
            </w:pPr>
            <w:r>
              <w:t>Extract only facts about one medical-software function that the description actually supports. Use null or ‘unknown’ for missing facts; do not infer clinical severity, hardware independence, or whether an HCP can independently review a recommendation.</w:t>
            </w:r>
          </w:p>
        </w:tc>
      </w:tr>
    </w:tbl>
    <w:p>
      <w:pPr>
        <w:spacing w:after="0"/>
      </w:pPr>
    </w:p>
    <w:p>
      <w:pPr>
        <w:pStyle w:val="Heading2"/>
      </w:pPr>
      <w:r>
        <w:t>Fact extraction user prompt</w:t>
      </w:r>
    </w:p>
    <w:p>
      <w:r>
        <w:t>Provide the software description and intended-use statement, then request the constrained AssessmentInput schema. Explicit user-entered form facts override extracted candidates.</w:t>
      </w:r>
    </w:p>
    <w:p>
      <w:pPr>
        <w:pStyle w:val="Heading2"/>
      </w:pPr>
      <w:r>
        <w:t>Grounded assessment instruction</w:t>
      </w:r>
    </w:p>
    <w:tbl>
      <w:tblPr>
        <w:tblW w:type="auto" w:w="0"/>
        <w:tblLayout w:type="fixed"/>
        <w:tblLook w:firstColumn="1" w:firstRow="1" w:lastColumn="0" w:lastRow="0" w:noHBand="0" w:noVBand="1" w:val="04A0"/>
      </w:tblPr>
      <w:tblGrid>
        <w:gridCol w:w="9360"/>
      </w:tblGrid>
      <w:tr>
        <w:trPr>
          <w:cantSplit/>
        </w:trPr>
        <w:tc>
          <w:tcPr>
            <w:tcW w:type="dxa" w:w="9360"/>
            <w:shd w:fill="E6F4F1"/>
            <w:tcMar>
              <w:top w:w="140" w:type="dxa"/>
              <w:start w:w="160" w:type="dxa"/>
              <w:bottom w:w="140" w:type="dxa"/>
              <w:end w:w="160" w:type="dxa"/>
            </w:tcMar>
            <w:vAlign w:val="center"/>
          </w:tcPr>
          <w:p>
            <w:pPr>
              <w:spacing w:after="80"/>
            </w:pPr>
            <w:r>
              <w:rPr>
                <w:b/>
                <w:color w:val="115E59"/>
              </w:rPr>
              <w:t>Evidence discipline</w:t>
            </w:r>
          </w:p>
          <w:p>
            <w:pPr>
              <w:spacing w:after="0"/>
            </w:pPr>
            <w:r>
              <w:t>Use only deterministic classifications and supplied evidence; label conclusions preliminary; cite with [chunk_id]; distinguish law, final guidance, draft guidance, and harmonized frameworks; never reconstruct licensed IEC/ISO text; preserve missing facts.</w:t>
            </w:r>
          </w:p>
        </w:tc>
      </w:tr>
    </w:tbl>
    <w:p>
      <w:pPr>
        <w:spacing w:after="0"/>
      </w:pPr>
    </w:p>
    <w:p>
      <w:pPr>
        <w:pStyle w:val="Heading2"/>
      </w:pPr>
      <w:r>
        <w:t>Implementation note</w:t>
      </w:r>
    </w:p>
    <w:p>
      <w:r>
        <w:t>The default application works without an API key. Optional OpenAI structured extraction turns natural language into candidate facts but cannot decide applicability and falls back to deterministic extraction if unavailable. Grounded prose is generated deterministically from atomic claims so citation validation does not require an LLM judge.</w:t>
      </w:r>
    </w:p>
    <w:p>
      <w:pPr>
        <w:pStyle w:val="Heading2"/>
      </w:pPr>
      <w:r>
        <w:t>Safety contract</w:t>
      </w:r>
    </w:p>
    <w:p>
      <w:pPr>
        <w:pStyle w:val="ListBullet"/>
      </w:pPr>
      <w:r>
        <w:t>Every inline citation ID must exist in the validated evidence set.</w:t>
      </w:r>
    </w:p>
    <w:p>
      <w:pPr>
        <w:pStyle w:val="ListBullet"/>
      </w:pPr>
      <w:r>
        <w:t>Every atomic claim declares the source families required to support it.</w:t>
      </w:r>
    </w:p>
    <w:p>
      <w:pPr>
        <w:pStyle w:val="ListBullet"/>
      </w:pPr>
      <w:r>
        <w:t>Draft guidance is labeled draft and never represented as binding law.</w:t>
      </w:r>
    </w:p>
    <w:p>
      <w:pPr>
        <w:pStyle w:val="ListBullet"/>
      </w:pPr>
      <w:r>
        <w:t>IMDRF categories are not presented as FDA or EU device classes.</w:t>
      </w:r>
    </w:p>
    <w:p>
      <w:pPr>
        <w:pStyle w:val="ListBullet"/>
      </w:pPr>
      <w:r>
        <w:t>Missing product facts remain visible rather than being silently inferred.</w:t>
      </w:r>
    </w:p>
    <w:p>
      <w:r>
        <w:br w:type="page"/>
      </w:r>
    </w:p>
    <w:p>
      <w:pPr>
        <w:pStyle w:val="Heading1"/>
      </w:pPr>
      <w:r>
        <w:t>Evaluation</w:t>
      </w:r>
    </w:p>
    <w:p>
      <w:r>
        <w:t>The checked-in benchmark includes 20 end-to-end classification cases and 15 raw retrieval/refusal cases. Metrics below come from the 2026-08-22 local run; they are development results, not independent regulatory validation.</w:t>
      </w:r>
    </w:p>
    <w:tbl>
      <w:tblPr>
        <w:tblW w:type="auto" w:w="0"/>
        <w:tblLayout w:type="fixed"/>
        <w:tblLook w:firstColumn="1" w:firstRow="1" w:lastColumn="0" w:lastRow="0" w:noHBand="0" w:noVBand="1" w:val="04A0"/>
      </w:tblPr>
      <w:tblGrid>
        <w:gridCol w:w="3096"/>
        <w:gridCol w:w="1800"/>
        <w:gridCol w:w="4464"/>
      </w:tblGrid>
      <w:tr>
        <w:trPr>
          <w:tblHeader w:val="true"/>
          <w:cantSplit/>
        </w:trPr>
        <w:tc>
          <w:tcPr>
            <w:tcW w:type="dxa" w:w="3096"/>
            <w:shd w:fill="0F766E"/>
            <w:tcMar>
              <w:top w:w="90" w:type="dxa"/>
              <w:start w:w="100" w:type="dxa"/>
              <w:bottom w:w="90" w:type="dxa"/>
              <w:end w:w="100" w:type="dxa"/>
            </w:tcMar>
          </w:tcPr>
          <w:p>
            <w:pPr>
              <w:spacing w:after="0"/>
            </w:pPr>
            <w:r>
              <w:rPr>
                <w:b/>
                <w:color w:val="FFFFFF"/>
                <w:sz w:val="20"/>
              </w:rPr>
              <w:t>Metric</w:t>
            </w:r>
          </w:p>
        </w:tc>
        <w:tc>
          <w:tcPr>
            <w:tcW w:type="dxa" w:w="1800"/>
            <w:shd w:fill="0F766E"/>
            <w:tcMar>
              <w:top w:w="90" w:type="dxa"/>
              <w:start w:w="100" w:type="dxa"/>
              <w:bottom w:w="90" w:type="dxa"/>
              <w:end w:w="100" w:type="dxa"/>
            </w:tcMar>
          </w:tcPr>
          <w:p>
            <w:pPr>
              <w:spacing w:after="0"/>
            </w:pPr>
            <w:r>
              <w:rPr>
                <w:b/>
                <w:color w:val="FFFFFF"/>
                <w:sz w:val="20"/>
              </w:rPr>
              <w:t>Measured</w:t>
            </w:r>
          </w:p>
        </w:tc>
        <w:tc>
          <w:tcPr>
            <w:tcW w:type="dxa" w:w="4464"/>
            <w:shd w:fill="0F766E"/>
            <w:tcMar>
              <w:top w:w="90" w:type="dxa"/>
              <w:start w:w="100" w:type="dxa"/>
              <w:bottom w:w="90" w:type="dxa"/>
              <w:end w:w="100" w:type="dxa"/>
            </w:tcMar>
          </w:tcPr>
          <w:p>
            <w:pPr>
              <w:spacing w:after="0"/>
            </w:pPr>
            <w:r>
              <w:rPr>
                <w:b/>
                <w:color w:val="FFFFFF"/>
                <w:sz w:val="20"/>
              </w:rPr>
              <w:t>Target / interpretation</w:t>
            </w:r>
          </w:p>
        </w:tc>
      </w:tr>
      <w:tr>
        <w:trPr>
          <w:cantSplit/>
        </w:trPr>
        <w:tc>
          <w:tcPr>
            <w:tcW w:type="dxa" w:w="3096"/>
            <w:tcMar>
              <w:top w:w="90" w:type="dxa"/>
              <w:start w:w="100" w:type="dxa"/>
              <w:bottom w:w="90" w:type="dxa"/>
              <w:end w:w="100" w:type="dxa"/>
            </w:tcMar>
            <w:shd w:fill="FFFFFF"/>
            <w:vAlign w:val="top"/>
          </w:tcPr>
          <w:p>
            <w:pPr>
              <w:spacing w:after="0"/>
            </w:pPr>
            <w:r>
              <w:rPr>
                <w:sz w:val="19"/>
              </w:rPr>
              <w:t>Software-category accuracy</w:t>
            </w:r>
          </w:p>
        </w:tc>
        <w:tc>
          <w:tcPr>
            <w:tcW w:type="dxa" w:w="1800"/>
            <w:tcMar>
              <w:top w:w="90" w:type="dxa"/>
              <w:start w:w="100" w:type="dxa"/>
              <w:bottom w:w="90" w:type="dxa"/>
              <w:end w:w="100" w:type="dxa"/>
            </w:tcMar>
            <w:shd w:fill="FFFFFF"/>
            <w:vAlign w:val="top"/>
          </w:tcPr>
          <w:p>
            <w:pPr>
              <w:spacing w:after="0"/>
            </w:pPr>
            <w:r>
              <w:rPr>
                <w:sz w:val="19"/>
              </w:rPr>
              <w:t>100%</w:t>
            </w:r>
          </w:p>
        </w:tc>
        <w:tc>
          <w:tcPr>
            <w:tcW w:type="dxa" w:w="4464"/>
            <w:tcMar>
              <w:top w:w="90" w:type="dxa"/>
              <w:start w:w="100" w:type="dxa"/>
              <w:bottom w:w="90" w:type="dxa"/>
              <w:end w:w="100" w:type="dxa"/>
            </w:tcMar>
            <w:shd w:fill="FFFFFF"/>
            <w:vAlign w:val="top"/>
          </w:tcPr>
          <w:p>
            <w:pPr>
              <w:spacing w:after="0"/>
            </w:pPr>
            <w:r>
              <w:rPr>
                <w:sz w:val="19"/>
              </w:rPr>
              <w:t>Expected label substring across 20 cases</w:t>
            </w:r>
          </w:p>
        </w:tc>
      </w:tr>
      <w:tr>
        <w:trPr>
          <w:cantSplit/>
        </w:trPr>
        <w:tc>
          <w:tcPr>
            <w:tcW w:type="dxa" w:w="3096"/>
            <w:tcMar>
              <w:top w:w="90" w:type="dxa"/>
              <w:start w:w="100" w:type="dxa"/>
              <w:bottom w:w="90" w:type="dxa"/>
              <w:end w:w="100" w:type="dxa"/>
            </w:tcMar>
            <w:shd w:fill="F3F4F6"/>
            <w:vAlign w:val="top"/>
          </w:tcPr>
          <w:p>
            <w:pPr>
              <w:spacing w:after="0"/>
            </w:pPr>
            <w:r>
              <w:rPr>
                <w:sz w:val="19"/>
              </w:rPr>
              <w:t>U.S.-status accuracy</w:t>
            </w:r>
          </w:p>
        </w:tc>
        <w:tc>
          <w:tcPr>
            <w:tcW w:type="dxa" w:w="1800"/>
            <w:tcMar>
              <w:top w:w="90" w:type="dxa"/>
              <w:start w:w="100" w:type="dxa"/>
              <w:bottom w:w="90" w:type="dxa"/>
              <w:end w:w="100" w:type="dxa"/>
            </w:tcMar>
            <w:shd w:fill="F3F4F6"/>
            <w:vAlign w:val="top"/>
          </w:tcPr>
          <w:p>
            <w:pPr>
              <w:spacing w:after="0"/>
            </w:pPr>
            <w:r>
              <w:rPr>
                <w:sz w:val="19"/>
              </w:rPr>
              <w:t>100%</w:t>
            </w:r>
          </w:p>
        </w:tc>
        <w:tc>
          <w:tcPr>
            <w:tcW w:type="dxa" w:w="4464"/>
            <w:tcMar>
              <w:top w:w="90" w:type="dxa"/>
              <w:start w:w="100" w:type="dxa"/>
              <w:bottom w:w="90" w:type="dxa"/>
              <w:end w:w="100" w:type="dxa"/>
            </w:tcMar>
            <w:shd w:fill="F3F4F6"/>
            <w:vAlign w:val="top"/>
          </w:tcPr>
          <w:p>
            <w:pPr>
              <w:spacing w:after="0"/>
            </w:pPr>
            <w:r>
              <w:rPr>
                <w:sz w:val="19"/>
              </w:rPr>
              <w:t>Expected status across 20 cases</w:t>
            </w:r>
          </w:p>
        </w:tc>
      </w:tr>
      <w:tr>
        <w:trPr>
          <w:cantSplit/>
        </w:trPr>
        <w:tc>
          <w:tcPr>
            <w:tcW w:type="dxa" w:w="3096"/>
            <w:tcMar>
              <w:top w:w="90" w:type="dxa"/>
              <w:start w:w="100" w:type="dxa"/>
              <w:bottom w:w="90" w:type="dxa"/>
              <w:end w:w="100" w:type="dxa"/>
            </w:tcMar>
            <w:shd w:fill="FFFFFF"/>
            <w:vAlign w:val="top"/>
          </w:tcPr>
          <w:p>
            <w:pPr>
              <w:spacing w:after="0"/>
            </w:pPr>
            <w:r>
              <w:rPr>
                <w:sz w:val="19"/>
              </w:rPr>
              <w:t>Required-source recall</w:t>
            </w:r>
          </w:p>
        </w:tc>
        <w:tc>
          <w:tcPr>
            <w:tcW w:type="dxa" w:w="1800"/>
            <w:tcMar>
              <w:top w:w="90" w:type="dxa"/>
              <w:start w:w="100" w:type="dxa"/>
              <w:bottom w:w="90" w:type="dxa"/>
              <w:end w:w="100" w:type="dxa"/>
            </w:tcMar>
            <w:shd w:fill="FFFFFF"/>
            <w:vAlign w:val="top"/>
          </w:tcPr>
          <w:p>
            <w:pPr>
              <w:spacing w:after="0"/>
            </w:pPr>
            <w:r>
              <w:rPr>
                <w:sz w:val="19"/>
              </w:rPr>
              <w:t>100%</w:t>
            </w:r>
          </w:p>
        </w:tc>
        <w:tc>
          <w:tcPr>
            <w:tcW w:type="dxa" w:w="4464"/>
            <w:tcMar>
              <w:top w:w="90" w:type="dxa"/>
              <w:start w:w="100" w:type="dxa"/>
              <w:bottom w:w="90" w:type="dxa"/>
              <w:end w:w="100" w:type="dxa"/>
            </w:tcMar>
            <w:shd w:fill="FFFFFF"/>
            <w:vAlign w:val="top"/>
          </w:tcPr>
          <w:p>
            <w:pPr>
              <w:spacing w:after="0"/>
            </w:pPr>
            <w:r>
              <w:rPr>
                <w:sz w:val="19"/>
              </w:rPr>
              <w:t>All case-required source families present</w:t>
            </w:r>
          </w:p>
        </w:tc>
      </w:tr>
      <w:tr>
        <w:trPr>
          <w:cantSplit/>
        </w:trPr>
        <w:tc>
          <w:tcPr>
            <w:tcW w:type="dxa" w:w="3096"/>
            <w:tcMar>
              <w:top w:w="90" w:type="dxa"/>
              <w:start w:w="100" w:type="dxa"/>
              <w:bottom w:w="90" w:type="dxa"/>
              <w:end w:w="100" w:type="dxa"/>
            </w:tcMar>
            <w:shd w:fill="F3F4F6"/>
            <w:vAlign w:val="top"/>
          </w:tcPr>
          <w:p>
            <w:pPr>
              <w:spacing w:after="0"/>
            </w:pPr>
            <w:r>
              <w:rPr>
                <w:sz w:val="19"/>
              </w:rPr>
              <w:t>Claim-level faithfulness</w:t>
            </w:r>
          </w:p>
        </w:tc>
        <w:tc>
          <w:tcPr>
            <w:tcW w:type="dxa" w:w="1800"/>
            <w:tcMar>
              <w:top w:w="90" w:type="dxa"/>
              <w:start w:w="100" w:type="dxa"/>
              <w:bottom w:w="90" w:type="dxa"/>
              <w:end w:w="100" w:type="dxa"/>
            </w:tcMar>
            <w:shd w:fill="F3F4F6"/>
            <w:vAlign w:val="top"/>
          </w:tcPr>
          <w:p>
            <w:pPr>
              <w:spacing w:after="0"/>
            </w:pPr>
            <w:r>
              <w:rPr>
                <w:sz w:val="19"/>
              </w:rPr>
              <w:t>100%</w:t>
            </w:r>
          </w:p>
        </w:tc>
        <w:tc>
          <w:tcPr>
            <w:tcW w:type="dxa" w:w="4464"/>
            <w:tcMar>
              <w:top w:w="90" w:type="dxa"/>
              <w:start w:w="100" w:type="dxa"/>
              <w:bottom w:w="90" w:type="dxa"/>
              <w:end w:w="100" w:type="dxa"/>
            </w:tcMar>
            <w:shd w:fill="F3F4F6"/>
            <w:vAlign w:val="top"/>
          </w:tcPr>
          <w:p>
            <w:pPr>
              <w:spacing w:after="0"/>
            </w:pPr>
            <w:r>
              <w:rPr>
                <w:sz w:val="19"/>
              </w:rPr>
              <w:t>Target ≥95%; required citations per atomic claim</w:t>
            </w:r>
          </w:p>
        </w:tc>
      </w:tr>
      <w:tr>
        <w:trPr>
          <w:cantSplit/>
        </w:trPr>
        <w:tc>
          <w:tcPr>
            <w:tcW w:type="dxa" w:w="3096"/>
            <w:tcMar>
              <w:top w:w="90" w:type="dxa"/>
              <w:start w:w="100" w:type="dxa"/>
              <w:bottom w:w="90" w:type="dxa"/>
              <w:end w:w="100" w:type="dxa"/>
            </w:tcMar>
            <w:shd w:fill="FFFFFF"/>
            <w:vAlign w:val="top"/>
          </w:tcPr>
          <w:p>
            <w:pPr>
              <w:spacing w:after="0"/>
            </w:pPr>
            <w:r>
              <w:rPr>
                <w:sz w:val="19"/>
              </w:rPr>
              <w:t>Inline citation validity</w:t>
            </w:r>
          </w:p>
        </w:tc>
        <w:tc>
          <w:tcPr>
            <w:tcW w:type="dxa" w:w="1800"/>
            <w:tcMar>
              <w:top w:w="90" w:type="dxa"/>
              <w:start w:w="100" w:type="dxa"/>
              <w:bottom w:w="90" w:type="dxa"/>
              <w:end w:w="100" w:type="dxa"/>
            </w:tcMar>
            <w:shd w:fill="FFFFFF"/>
            <w:vAlign w:val="top"/>
          </w:tcPr>
          <w:p>
            <w:pPr>
              <w:spacing w:after="0"/>
            </w:pPr>
            <w:r>
              <w:rPr>
                <w:sz w:val="19"/>
              </w:rPr>
              <w:t>100%</w:t>
            </w:r>
          </w:p>
        </w:tc>
        <w:tc>
          <w:tcPr>
            <w:tcW w:type="dxa" w:w="4464"/>
            <w:tcMar>
              <w:top w:w="90" w:type="dxa"/>
              <w:start w:w="100" w:type="dxa"/>
              <w:bottom w:w="90" w:type="dxa"/>
              <w:end w:w="100" w:type="dxa"/>
            </w:tcMar>
            <w:shd w:fill="FFFFFF"/>
            <w:vAlign w:val="top"/>
          </w:tcPr>
          <w:p>
            <w:pPr>
              <w:spacing w:after="0"/>
            </w:pPr>
            <w:r>
              <w:rPr>
                <w:sz w:val="19"/>
              </w:rPr>
              <w:t>No invented citation IDs</w:t>
            </w:r>
          </w:p>
        </w:tc>
      </w:tr>
      <w:tr>
        <w:trPr>
          <w:cantSplit/>
        </w:trPr>
        <w:tc>
          <w:tcPr>
            <w:tcW w:type="dxa" w:w="3096"/>
            <w:tcMar>
              <w:top w:w="90" w:type="dxa"/>
              <w:start w:w="100" w:type="dxa"/>
              <w:bottom w:w="90" w:type="dxa"/>
              <w:end w:w="100" w:type="dxa"/>
            </w:tcMar>
            <w:shd w:fill="F3F4F6"/>
            <w:vAlign w:val="top"/>
          </w:tcPr>
          <w:p>
            <w:pPr>
              <w:spacing w:after="0"/>
            </w:pPr>
            <w:r>
              <w:rPr>
                <w:sz w:val="19"/>
              </w:rPr>
              <w:t>Retrieval Recall@5</w:t>
            </w:r>
          </w:p>
        </w:tc>
        <w:tc>
          <w:tcPr>
            <w:tcW w:type="dxa" w:w="1800"/>
            <w:tcMar>
              <w:top w:w="90" w:type="dxa"/>
              <w:start w:w="100" w:type="dxa"/>
              <w:bottom w:w="90" w:type="dxa"/>
              <w:end w:w="100" w:type="dxa"/>
            </w:tcMar>
            <w:shd w:fill="F3F4F6"/>
            <w:vAlign w:val="top"/>
          </w:tcPr>
          <w:p>
            <w:pPr>
              <w:spacing w:after="0"/>
            </w:pPr>
            <w:r>
              <w:rPr>
                <w:sz w:val="19"/>
              </w:rPr>
              <w:t>100%</w:t>
            </w:r>
          </w:p>
        </w:tc>
        <w:tc>
          <w:tcPr>
            <w:tcW w:type="dxa" w:w="4464"/>
            <w:tcMar>
              <w:top w:w="90" w:type="dxa"/>
              <w:start w:w="100" w:type="dxa"/>
              <w:bottom w:w="90" w:type="dxa"/>
              <w:end w:w="100" w:type="dxa"/>
            </w:tcMar>
            <w:shd w:fill="F3F4F6"/>
            <w:vAlign w:val="top"/>
          </w:tcPr>
          <w:p>
            <w:pPr>
              <w:spacing w:after="0"/>
            </w:pPr>
            <w:r>
              <w:rPr>
                <w:sz w:val="19"/>
              </w:rPr>
              <w:t>Relevant source family in top five</w:t>
            </w:r>
          </w:p>
        </w:tc>
      </w:tr>
      <w:tr>
        <w:trPr>
          <w:cantSplit/>
        </w:trPr>
        <w:tc>
          <w:tcPr>
            <w:tcW w:type="dxa" w:w="3096"/>
            <w:tcMar>
              <w:top w:w="90" w:type="dxa"/>
              <w:start w:w="100" w:type="dxa"/>
              <w:bottom w:w="90" w:type="dxa"/>
              <w:end w:w="100" w:type="dxa"/>
            </w:tcMar>
            <w:shd w:fill="FFFFFF"/>
            <w:vAlign w:val="top"/>
          </w:tcPr>
          <w:p>
            <w:pPr>
              <w:spacing w:after="0"/>
            </w:pPr>
            <w:r>
              <w:rPr>
                <w:sz w:val="19"/>
              </w:rPr>
              <w:t>MRR / nDCG@5</w:t>
            </w:r>
          </w:p>
        </w:tc>
        <w:tc>
          <w:tcPr>
            <w:tcW w:type="dxa" w:w="1800"/>
            <w:tcMar>
              <w:top w:w="90" w:type="dxa"/>
              <w:start w:w="100" w:type="dxa"/>
              <w:bottom w:w="90" w:type="dxa"/>
              <w:end w:w="100" w:type="dxa"/>
            </w:tcMar>
            <w:shd w:fill="FFFFFF"/>
            <w:vAlign w:val="top"/>
          </w:tcPr>
          <w:p>
            <w:pPr>
              <w:spacing w:after="0"/>
            </w:pPr>
            <w:r>
              <w:rPr>
                <w:sz w:val="19"/>
              </w:rPr>
              <w:t>0.933 / 0.951</w:t>
            </w:r>
          </w:p>
        </w:tc>
        <w:tc>
          <w:tcPr>
            <w:tcW w:type="dxa" w:w="4464"/>
            <w:tcMar>
              <w:top w:w="90" w:type="dxa"/>
              <w:start w:w="100" w:type="dxa"/>
              <w:bottom w:w="90" w:type="dxa"/>
              <w:end w:w="100" w:type="dxa"/>
            </w:tcMar>
            <w:shd w:fill="FFFFFF"/>
            <w:vAlign w:val="top"/>
          </w:tcPr>
          <w:p>
            <w:pPr>
              <w:spacing w:after="0"/>
            </w:pPr>
            <w:r>
              <w:rPr>
                <w:sz w:val="19"/>
              </w:rPr>
              <w:t>Rank sensitivity beyond simple recall</w:t>
            </w:r>
          </w:p>
        </w:tc>
      </w:tr>
      <w:tr>
        <w:trPr>
          <w:cantSplit/>
        </w:trPr>
        <w:tc>
          <w:tcPr>
            <w:tcW w:type="dxa" w:w="3096"/>
            <w:tcMar>
              <w:top w:w="90" w:type="dxa"/>
              <w:start w:w="100" w:type="dxa"/>
              <w:bottom w:w="90" w:type="dxa"/>
              <w:end w:w="100" w:type="dxa"/>
            </w:tcMar>
            <w:shd w:fill="F3F4F6"/>
            <w:vAlign w:val="top"/>
          </w:tcPr>
          <w:p>
            <w:pPr>
              <w:spacing w:after="0"/>
            </w:pPr>
            <w:r>
              <w:rPr>
                <w:sz w:val="19"/>
              </w:rPr>
              <w:t>Refusal accuracy</w:t>
            </w:r>
          </w:p>
        </w:tc>
        <w:tc>
          <w:tcPr>
            <w:tcW w:type="dxa" w:w="1800"/>
            <w:tcMar>
              <w:top w:w="90" w:type="dxa"/>
              <w:start w:w="100" w:type="dxa"/>
              <w:bottom w:w="90" w:type="dxa"/>
              <w:end w:w="100" w:type="dxa"/>
            </w:tcMar>
            <w:shd w:fill="F3F4F6"/>
            <w:vAlign w:val="top"/>
          </w:tcPr>
          <w:p>
            <w:pPr>
              <w:spacing w:after="0"/>
            </w:pPr>
            <w:r>
              <w:rPr>
                <w:sz w:val="19"/>
              </w:rPr>
              <w:t>100%</w:t>
            </w:r>
          </w:p>
        </w:tc>
        <w:tc>
          <w:tcPr>
            <w:tcW w:type="dxa" w:w="4464"/>
            <w:tcMar>
              <w:top w:w="90" w:type="dxa"/>
              <w:start w:w="100" w:type="dxa"/>
              <w:bottom w:w="90" w:type="dxa"/>
              <w:end w:w="100" w:type="dxa"/>
            </w:tcMar>
            <w:shd w:fill="F3F4F6"/>
            <w:vAlign w:val="top"/>
          </w:tcPr>
          <w:p>
            <w:pPr>
              <w:spacing w:after="0"/>
            </w:pPr>
            <w:r>
              <w:rPr>
                <w:sz w:val="19"/>
              </w:rPr>
              <w:t>Supported vs. unsupported query gate</w:t>
            </w:r>
          </w:p>
        </w:tc>
      </w:tr>
      <w:tr>
        <w:trPr>
          <w:cantSplit/>
        </w:trPr>
        <w:tc>
          <w:tcPr>
            <w:tcW w:type="dxa" w:w="3096"/>
            <w:tcMar>
              <w:top w:w="90" w:type="dxa"/>
              <w:start w:w="100" w:type="dxa"/>
              <w:bottom w:w="90" w:type="dxa"/>
              <w:end w:w="100" w:type="dxa"/>
            </w:tcMar>
            <w:shd w:fill="FFFFFF"/>
            <w:vAlign w:val="top"/>
          </w:tcPr>
          <w:p>
            <w:pPr>
              <w:spacing w:after="0"/>
            </w:pPr>
            <w:r>
              <w:rPr>
                <w:sz w:val="19"/>
              </w:rPr>
              <w:t>p50 / p95 latency</w:t>
            </w:r>
          </w:p>
        </w:tc>
        <w:tc>
          <w:tcPr>
            <w:tcW w:type="dxa" w:w="1800"/>
            <w:tcMar>
              <w:top w:w="90" w:type="dxa"/>
              <w:start w:w="100" w:type="dxa"/>
              <w:bottom w:w="90" w:type="dxa"/>
              <w:end w:w="100" w:type="dxa"/>
            </w:tcMar>
            <w:shd w:fill="FFFFFF"/>
            <w:vAlign w:val="top"/>
          </w:tcPr>
          <w:p>
            <w:pPr>
              <w:spacing w:after="0"/>
            </w:pPr>
            <w:r>
              <w:rPr>
                <w:sz w:val="19"/>
              </w:rPr>
              <w:t>0.004s / 0.005s</w:t>
            </w:r>
          </w:p>
        </w:tc>
        <w:tc>
          <w:tcPr>
            <w:tcW w:type="dxa" w:w="4464"/>
            <w:tcMar>
              <w:top w:w="90" w:type="dxa"/>
              <w:start w:w="100" w:type="dxa"/>
              <w:bottom w:w="90" w:type="dxa"/>
              <w:end w:w="100" w:type="dxa"/>
            </w:tcMar>
            <w:shd w:fill="FFFFFF"/>
            <w:vAlign w:val="top"/>
          </w:tcPr>
          <w:p>
            <w:pPr>
              <w:spacing w:after="0"/>
            </w:pPr>
            <w:r>
              <w:rPr>
                <w:sz w:val="19"/>
              </w:rPr>
              <w:t>p95 target ≤5s; cold load ≈0.257s</w:t>
            </w:r>
          </w:p>
        </w:tc>
      </w:tr>
    </w:tbl>
    <w:p>
      <w:pPr>
        <w:spacing w:after="0"/>
      </w:pPr>
    </w:p>
    <w:p>
      <w:pPr>
        <w:pStyle w:val="Heading2"/>
      </w:pPr>
      <w:r>
        <w:t>Failure analysis</w:t>
      </w:r>
    </w:p>
    <w:p>
      <w:pPr>
        <w:pStyle w:val="ListBullet"/>
      </w:pPr>
      <w:r>
        <w:t>No automated release-check failures occurred in the current development sets.</w:t>
      </w:r>
    </w:p>
    <w:p>
      <w:pPr>
        <w:pStyle w:val="ListBullet"/>
      </w:pPr>
      <w:r>
        <w:t>Source-family supplements protect completeness but can hide ranking weakness; raw retrieval is therefore measured separately.</w:t>
      </w:r>
    </w:p>
    <w:p>
      <w:pPr>
        <w:pStyle w:val="ListBullet"/>
      </w:pPr>
      <w:r>
        <w:t>Exact 520(o) and OTS queries ranked the correct source second, explaining MRR and nDCG below 1.0 despite full Recall@5.</w:t>
      </w:r>
    </w:p>
    <w:p>
      <w:pPr>
        <w:pStyle w:val="ListBullet"/>
      </w:pPr>
      <w:r>
        <w:t>The small curated benchmark can overstate generalization; blind expert labeling and adversarial cases are still required.</w:t>
      </w:r>
    </w:p>
    <w:p>
      <w:pPr>
        <w:pStyle w:val="ListBullet"/>
      </w:pPr>
      <w:r>
        <w:t>The offline hashing embedding is a transparent baseline, not a production semantic model.</w:t>
      </w:r>
    </w:p>
    <w:p>
      <w:r>
        <w:br w:type="page"/>
      </w:r>
    </w:p>
    <w:p>
      <w:pPr>
        <w:pStyle w:val="Heading1"/>
      </w:pPr>
      <w:r>
        <w:t>Iterations tried</w:t>
      </w:r>
    </w:p>
    <w:tbl>
      <w:tblPr>
        <w:tblW w:type="auto" w:w="0"/>
        <w:tblLayout w:type="fixed"/>
        <w:tblLook w:firstColumn="1" w:firstRow="1" w:lastColumn="0" w:lastRow="0" w:noHBand="0" w:noVBand="1" w:val="04A0"/>
      </w:tblPr>
      <w:tblGrid>
        <w:gridCol w:w="2160"/>
        <w:gridCol w:w="3096"/>
        <w:gridCol w:w="4104"/>
      </w:tblGrid>
      <w:tr>
        <w:trPr>
          <w:tblHeader w:val="true"/>
          <w:cantSplit/>
        </w:trPr>
        <w:tc>
          <w:tcPr>
            <w:tcW w:type="dxa" w:w="2160"/>
            <w:shd w:fill="0F766E"/>
            <w:tcMar>
              <w:top w:w="90" w:type="dxa"/>
              <w:start w:w="100" w:type="dxa"/>
              <w:bottom w:w="90" w:type="dxa"/>
              <w:end w:w="100" w:type="dxa"/>
            </w:tcMar>
          </w:tcPr>
          <w:p>
            <w:pPr>
              <w:spacing w:after="0"/>
            </w:pPr>
            <w:r>
              <w:rPr>
                <w:b/>
                <w:color w:val="FFFFFF"/>
                <w:sz w:val="20"/>
              </w:rPr>
              <w:t>Iteration</w:t>
            </w:r>
          </w:p>
        </w:tc>
        <w:tc>
          <w:tcPr>
            <w:tcW w:type="dxa" w:w="3096"/>
            <w:shd w:fill="0F766E"/>
            <w:tcMar>
              <w:top w:w="90" w:type="dxa"/>
              <w:start w:w="100" w:type="dxa"/>
              <w:bottom w:w="90" w:type="dxa"/>
              <w:end w:w="100" w:type="dxa"/>
            </w:tcMar>
          </w:tcPr>
          <w:p>
            <w:pPr>
              <w:spacing w:after="0"/>
            </w:pPr>
            <w:r>
              <w:rPr>
                <w:b/>
                <w:color w:val="FFFFFF"/>
                <w:sz w:val="20"/>
              </w:rPr>
              <w:t>Change</w:t>
            </w:r>
          </w:p>
        </w:tc>
        <w:tc>
          <w:tcPr>
            <w:tcW w:type="dxa" w:w="4104"/>
            <w:shd w:fill="0F766E"/>
            <w:tcMar>
              <w:top w:w="90" w:type="dxa"/>
              <w:start w:w="100" w:type="dxa"/>
              <w:bottom w:w="90" w:type="dxa"/>
              <w:end w:w="100" w:type="dxa"/>
            </w:tcMar>
          </w:tcPr>
          <w:p>
            <w:pPr>
              <w:spacing w:after="0"/>
            </w:pPr>
            <w:r>
              <w:rPr>
                <w:b/>
                <w:color w:val="FFFFFF"/>
                <w:sz w:val="20"/>
              </w:rPr>
              <w:t>Observation</w:t>
            </w:r>
          </w:p>
        </w:tc>
      </w:tr>
      <w:tr>
        <w:trPr>
          <w:cantSplit/>
        </w:trPr>
        <w:tc>
          <w:tcPr>
            <w:tcW w:type="dxa" w:w="2160"/>
            <w:tcMar>
              <w:top w:w="90" w:type="dxa"/>
              <w:start w:w="100" w:type="dxa"/>
              <w:bottom w:w="90" w:type="dxa"/>
              <w:end w:w="100" w:type="dxa"/>
            </w:tcMar>
            <w:shd w:fill="FFFFFF"/>
            <w:vAlign w:val="top"/>
          </w:tcPr>
          <w:p>
            <w:pPr>
              <w:spacing w:after="0"/>
            </w:pPr>
            <w:r>
              <w:rPr>
                <w:sz w:val="19"/>
              </w:rPr>
              <w:t>1 · Rule-only result</w:t>
            </w:r>
          </w:p>
        </w:tc>
        <w:tc>
          <w:tcPr>
            <w:tcW w:type="dxa" w:w="3096"/>
            <w:tcMar>
              <w:top w:w="90" w:type="dxa"/>
              <w:start w:w="100" w:type="dxa"/>
              <w:bottom w:w="90" w:type="dxa"/>
              <w:end w:w="100" w:type="dxa"/>
            </w:tcMar>
            <w:shd w:fill="FFFFFF"/>
            <w:vAlign w:val="top"/>
          </w:tcPr>
          <w:p>
            <w:pPr>
              <w:spacing w:after="0"/>
            </w:pPr>
            <w:r>
              <w:rPr>
                <w:sz w:val="19"/>
              </w:rPr>
              <w:t>Deterministic classifications plus an evidence list.</w:t>
            </w:r>
          </w:p>
        </w:tc>
        <w:tc>
          <w:tcPr>
            <w:tcW w:type="dxa" w:w="4104"/>
            <w:tcMar>
              <w:top w:w="90" w:type="dxa"/>
              <w:start w:w="100" w:type="dxa"/>
              <w:bottom w:w="90" w:type="dxa"/>
              <w:end w:w="100" w:type="dxa"/>
            </w:tcMar>
            <w:shd w:fill="FFFFFF"/>
            <w:vAlign w:val="top"/>
          </w:tcPr>
          <w:p>
            <w:pPr>
              <w:spacing w:after="0"/>
            </w:pPr>
            <w:r>
              <w:rPr>
                <w:sz w:val="19"/>
              </w:rPr>
              <w:t>Reproducible, but prose claims were not explicitly bound to citations and evaluation was too coarse.</w:t>
            </w:r>
          </w:p>
        </w:tc>
      </w:tr>
      <w:tr>
        <w:trPr>
          <w:cantSplit/>
        </w:trPr>
        <w:tc>
          <w:tcPr>
            <w:tcW w:type="dxa" w:w="2160"/>
            <w:tcMar>
              <w:top w:w="90" w:type="dxa"/>
              <w:start w:w="100" w:type="dxa"/>
              <w:bottom w:w="90" w:type="dxa"/>
              <w:end w:w="100" w:type="dxa"/>
            </w:tcMar>
            <w:shd w:fill="F3F4F6"/>
            <w:vAlign w:val="top"/>
          </w:tcPr>
          <w:p>
            <w:pPr>
              <w:spacing w:after="0"/>
            </w:pPr>
            <w:r>
              <w:rPr>
                <w:sz w:val="19"/>
              </w:rPr>
              <w:t>2 · Semantic baseline</w:t>
            </w:r>
          </w:p>
        </w:tc>
        <w:tc>
          <w:tcPr>
            <w:tcW w:type="dxa" w:w="3096"/>
            <w:tcMar>
              <w:top w:w="90" w:type="dxa"/>
              <w:start w:w="100" w:type="dxa"/>
              <w:bottom w:w="90" w:type="dxa"/>
              <w:end w:w="100" w:type="dxa"/>
            </w:tcMar>
            <w:shd w:fill="F3F4F6"/>
            <w:vAlign w:val="top"/>
          </w:tcPr>
          <w:p>
            <w:pPr>
              <w:spacing w:after="0"/>
            </w:pPr>
            <w:r>
              <w:rPr>
                <w:sz w:val="19"/>
              </w:rPr>
              <w:t>Local Chroma with signed hashing embeddings.</w:t>
            </w:r>
          </w:p>
        </w:tc>
        <w:tc>
          <w:tcPr>
            <w:tcW w:type="dxa" w:w="4104"/>
            <w:tcMar>
              <w:top w:w="90" w:type="dxa"/>
              <w:start w:w="100" w:type="dxa"/>
              <w:bottom w:w="90" w:type="dxa"/>
              <w:end w:w="100" w:type="dxa"/>
            </w:tcMar>
            <w:shd w:fill="F3F4F6"/>
            <w:vAlign w:val="top"/>
          </w:tcPr>
          <w:p>
            <w:pPr>
              <w:spacing w:after="0"/>
            </w:pPr>
            <w:r>
              <w:rPr>
                <w:sz w:val="19"/>
              </w:rPr>
              <w:t>Offline semantic retrieval worked, but exact regulatory identifiers could be displaced.</w:t>
            </w:r>
          </w:p>
        </w:tc>
      </w:tr>
      <w:tr>
        <w:trPr>
          <w:cantSplit/>
        </w:trPr>
        <w:tc>
          <w:tcPr>
            <w:tcW w:type="dxa" w:w="2160"/>
            <w:tcMar>
              <w:top w:w="90" w:type="dxa"/>
              <w:start w:w="100" w:type="dxa"/>
              <w:bottom w:w="90" w:type="dxa"/>
              <w:end w:w="100" w:type="dxa"/>
            </w:tcMar>
            <w:shd w:fill="FFFFFF"/>
            <w:vAlign w:val="top"/>
          </w:tcPr>
          <w:p>
            <w:pPr>
              <w:spacing w:after="0"/>
            </w:pPr>
            <w:r>
              <w:rPr>
                <w:sz w:val="19"/>
              </w:rPr>
              <w:t>3 · Hybrid retrieval</w:t>
            </w:r>
          </w:p>
        </w:tc>
        <w:tc>
          <w:tcPr>
            <w:tcW w:type="dxa" w:w="3096"/>
            <w:tcMar>
              <w:top w:w="90" w:type="dxa"/>
              <w:start w:w="100" w:type="dxa"/>
              <w:bottom w:w="90" w:type="dxa"/>
              <w:end w:w="100" w:type="dxa"/>
            </w:tcMar>
            <w:shd w:fill="FFFFFF"/>
            <w:vAlign w:val="top"/>
          </w:tcPr>
          <w:p>
            <w:pPr>
              <w:spacing w:after="0"/>
            </w:pPr>
            <w:r>
              <w:rPr>
                <w:sz w:val="19"/>
              </w:rPr>
              <w:t>BM25 + vector RRF, exact boosts, and source-family supplements.</w:t>
            </w:r>
          </w:p>
        </w:tc>
        <w:tc>
          <w:tcPr>
            <w:tcW w:type="dxa" w:w="4104"/>
            <w:tcMar>
              <w:top w:w="90" w:type="dxa"/>
              <w:start w:w="100" w:type="dxa"/>
              <w:bottom w:w="90" w:type="dxa"/>
              <w:end w:w="100" w:type="dxa"/>
            </w:tcMar>
            <w:shd w:fill="FFFFFF"/>
            <w:vAlign w:val="top"/>
          </w:tcPr>
          <w:p>
            <w:pPr>
              <w:spacing w:after="0"/>
            </w:pPr>
            <w:r>
              <w:rPr>
                <w:sz w:val="19"/>
              </w:rPr>
              <w:t>Improved direct retrieval and guaranteed controlling-source completeness while keeping raw ranking measurable.</w:t>
            </w:r>
          </w:p>
        </w:tc>
      </w:tr>
      <w:tr>
        <w:trPr>
          <w:cantSplit/>
        </w:trPr>
        <w:tc>
          <w:tcPr>
            <w:tcW w:type="dxa" w:w="2160"/>
            <w:tcMar>
              <w:top w:w="90" w:type="dxa"/>
              <w:start w:w="100" w:type="dxa"/>
              <w:bottom w:w="90" w:type="dxa"/>
              <w:end w:w="100" w:type="dxa"/>
            </w:tcMar>
            <w:shd w:fill="F3F4F6"/>
            <w:vAlign w:val="top"/>
          </w:tcPr>
          <w:p>
            <w:pPr>
              <w:spacing w:after="0"/>
            </w:pPr>
            <w:r>
              <w:rPr>
                <w:sz w:val="19"/>
              </w:rPr>
              <w:t>4 · Release gates</w:t>
            </w:r>
          </w:p>
        </w:tc>
        <w:tc>
          <w:tcPr>
            <w:tcW w:type="dxa" w:w="3096"/>
            <w:tcMar>
              <w:top w:w="90" w:type="dxa"/>
              <w:start w:w="100" w:type="dxa"/>
              <w:bottom w:w="90" w:type="dxa"/>
              <w:end w:w="100" w:type="dxa"/>
            </w:tcMar>
            <w:shd w:fill="F3F4F6"/>
            <w:vAlign w:val="top"/>
          </w:tcPr>
          <w:p>
            <w:pPr>
              <w:spacing w:after="0"/>
            </w:pPr>
            <w:r>
              <w:rPr>
                <w:sz w:val="19"/>
              </w:rPr>
              <w:t>Atomic claims, citation validation, freshness audit, refusal policy, and latency metrics.</w:t>
            </w:r>
          </w:p>
        </w:tc>
        <w:tc>
          <w:tcPr>
            <w:tcW w:type="dxa" w:w="4104"/>
            <w:tcMar>
              <w:top w:w="90" w:type="dxa"/>
              <w:start w:w="100" w:type="dxa"/>
              <w:bottom w:w="90" w:type="dxa"/>
              <w:end w:w="100" w:type="dxa"/>
            </w:tcMar>
            <w:shd w:fill="F3F4F6"/>
            <w:vAlign w:val="top"/>
          </w:tcPr>
          <w:p>
            <w:pPr>
              <w:spacing w:after="0"/>
            </w:pPr>
            <w:r>
              <w:rPr>
                <w:sz w:val="19"/>
              </w:rPr>
              <w:t>Closed the faithfulness, I-don’t-know, freshness, latency, and failure-analysis criteria.</w:t>
            </w:r>
          </w:p>
        </w:tc>
      </w:tr>
    </w:tbl>
    <w:p>
      <w:pPr>
        <w:spacing w:after="0"/>
      </w:pPr>
    </w:p>
    <w:p>
      <w:pPr>
        <w:pStyle w:val="Heading1"/>
      </w:pPr>
      <w:r>
        <w:t>Learnings and observations</w:t>
      </w:r>
    </w:p>
    <w:p>
      <w:pPr>
        <w:pStyle w:val="ListBullet"/>
      </w:pPr>
      <w:r>
        <w:t>Regulatory RAG needs semantic matching and exact retrieval because identifiers and framework names often carry more meaning than nearby prose.</w:t>
      </w:r>
    </w:p>
    <w:p>
      <w:pPr>
        <w:pStyle w:val="ListBullet"/>
      </w:pPr>
      <w:r>
        <w:t>Deterministic nodes expose ambiguity; an LLM is more useful for constrained extraction and presentation than legal applicability.</w:t>
      </w:r>
    </w:p>
    <w:p>
      <w:pPr>
        <w:pStyle w:val="ListBullet"/>
      </w:pPr>
      <w:r>
        <w:t>Source recall is not sufficient: every material claim must be bound to evidence that supports that specific claim.</w:t>
      </w:r>
    </w:p>
    <w:p>
      <w:pPr>
        <w:pStyle w:val="ListBullet"/>
      </w:pPr>
      <w:r>
        <w:t>Publication date and index-review date answer different lifecycle questions and must both be tracked.</w:t>
      </w:r>
    </w:p>
    <w:p>
      <w:pPr>
        <w:pStyle w:val="ListBullet"/>
      </w:pPr>
      <w:r>
        <w:t>Perfect results on a small curated set require skepticism, independent review, and a much larger blind benchmark.</w:t>
      </w:r>
    </w:p>
    <w:p>
      <w:r>
        <w:br w:type="page"/>
      </w:r>
    </w:p>
    <w:p>
      <w:pPr>
        <w:pStyle w:val="Heading1"/>
      </w:pPr>
      <w:r>
        <w:t>Reproduction and handoff</w:t>
      </w:r>
    </w:p>
    <w:p>
      <w:r>
        <w:t>Run the application and release checks from the project root:</w:t>
      </w:r>
    </w:p>
    <w:tbl>
      <w:tblPr>
        <w:tblW w:type="auto" w:w="0"/>
        <w:tblLayout w:type="fixed"/>
        <w:tblLook w:firstColumn="1" w:firstRow="1" w:lastColumn="0" w:lastRow="0" w:noHBand="0" w:noVBand="1" w:val="04A0"/>
      </w:tblPr>
      <w:tblGrid>
        <w:gridCol w:w="9360"/>
      </w:tblGrid>
      <w:tr>
        <w:trPr>
          <w:cantSplit/>
        </w:trPr>
        <w:tc>
          <w:tcPr>
            <w:tcW w:type="dxa" w:w="9360"/>
            <w:shd w:fill="111827"/>
            <w:tcMar>
              <w:top w:w="140" w:type="dxa"/>
              <w:start w:w="160" w:type="dxa"/>
              <w:bottom w:w="140" w:type="dxa"/>
              <w:end w:w="160" w:type="dxa"/>
            </w:tcMar>
          </w:tcPr>
          <w:p>
            <w:r>
              <w:rPr>
                <w:rFonts w:ascii="Courier New" w:hAnsi="Courier New"/>
                <w:color w:val="FFFFFF"/>
                <w:sz w:val="18"/>
              </w:rPr>
              <w:t>python3.12 -m venv .venv</w:t>
              <w:br/>
              <w:t>source .venv/bin/activate</w:t>
              <w:br/>
              <w:t>python -m pip install -e ".[dev]"</w:t>
              <w:br/>
              <w:t>streamlit run app.py</w:t>
              <w:br/>
              <w:t>pytest</w:t>
              <w:br/>
              <w:t>python -m regulation_navigator.evaluate</w:t>
              <w:br/>
              <w:t>regnav audit-corpus</w:t>
            </w:r>
          </w:p>
        </w:tc>
      </w:tr>
    </w:tbl>
    <w:p>
      <w:pPr>
        <w:pStyle w:val="Heading2"/>
      </w:pPr>
      <w:r>
        <w:t>Submission artifacts</w:t>
      </w:r>
    </w:p>
    <w:p>
      <w:pPr>
        <w:pStyle w:val="ListBullet"/>
      </w:pPr>
      <w:r>
        <w:t>Runnable Streamlit application and LangGraph workflow.</w:t>
      </w:r>
    </w:p>
    <w:p>
      <w:pPr>
        <w:pStyle w:val="ListBullet"/>
      </w:pPr>
      <w:r>
        <w:t>21-record source-linked corpus, ingestion CLI, and freshness manifest.</w:t>
      </w:r>
    </w:p>
    <w:p>
      <w:pPr>
        <w:pStyle w:val="ListBullet"/>
      </w:pPr>
      <w:r>
        <w:t>20 classification cases, 15 retrieval/refusal cases, and a generated evaluation report.</w:t>
      </w:r>
    </w:p>
    <w:p>
      <w:pPr>
        <w:pStyle w:val="ListBullet"/>
      </w:pPr>
      <w:r>
        <w:t>This Google Docs-ready project document, demo script, and ≤5-minute MP4 walkthrough.</w:t>
      </w:r>
    </w:p>
    <w:p>
      <w:pPr>
        <w:pStyle w:val="ListBullet"/>
      </w:pPr>
      <w:r>
        <w:t>Repository contents ready for GitHub; publishing requires an authenticated destination and visibility choice.</w:t>
      </w:r>
    </w:p>
    <w:p>
      <w:pPr>
        <w:pStyle w:val="Heading2"/>
      </w:pPr>
      <w:r>
        <w:t>AI coding tools used</w:t>
      </w:r>
    </w:p>
    <w:p>
      <w:r>
        <w:t>Codex was used to scaffold and implement the Python project, inspect the handout, refine the LangGraph workflow, add automated evaluation, run tests and static checks, and generate submission artifacts. Human review remains required for regulatory interpretations, source licensing, benchmark labels, and final submission decisions.</w:t>
      </w:r>
    </w:p>
    <w:tbl>
      <w:tblPr>
        <w:tblW w:type="auto" w:w="0"/>
        <w:tblLayout w:type="fixed"/>
        <w:tblLook w:firstColumn="1" w:firstRow="1" w:lastColumn="0" w:lastRow="0" w:noHBand="0" w:noVBand="1" w:val="04A0"/>
      </w:tblPr>
      <w:tblGrid>
        <w:gridCol w:w="9360"/>
      </w:tblGrid>
      <w:tr>
        <w:trPr>
          <w:cantSplit/>
        </w:trPr>
        <w:tc>
          <w:tcPr>
            <w:tcW w:type="dxa" w:w="9360"/>
            <w:shd w:fill="EAF1F8"/>
            <w:tcMar>
              <w:top w:w="140" w:type="dxa"/>
              <w:start w:w="160" w:type="dxa"/>
              <w:bottom w:w="140" w:type="dxa"/>
              <w:end w:w="160" w:type="dxa"/>
            </w:tcMar>
            <w:vAlign w:val="center"/>
          </w:tcPr>
          <w:p>
            <w:pPr>
              <w:spacing w:after="80"/>
            </w:pPr>
            <w:r>
              <w:rPr>
                <w:b/>
                <w:color w:val="115E59"/>
              </w:rPr>
              <w:t>Required human review</w:t>
            </w:r>
          </w:p>
          <w:p>
            <w:pPr>
              <w:spacing w:after="0"/>
            </w:pPr>
            <w:r>
              <w:t>The navigator does not determine U.S. product code, FDA class, submission pathway, EU conformity route, clinical-evidence sufficiency, or final IEC 62304 class. Exact claims, architecture, hazards, risk controls, current source text, and qualified regulatory review remain necessary.</w:t>
            </w:r>
          </w:p>
        </w:tc>
      </w:tr>
    </w:tbl>
    <w:p>
      <w:pPr>
        <w:spacing w:after="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bCs/>
      <w:color w:val="1F2937"/>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2937"/>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0"/>
      <w:contextualSpacing/>
    </w:pPr>
    <w:rPr>
      <w:rFonts w:asciiTheme="majorHAnsi" w:eastAsiaTheme="majorEastAsia" w:hAnsiTheme="majorHAnsi" w:cstheme="majorBidi" w:ascii="Arial" w:hAnsi="Arial"/>
      <w:b w:val="0"/>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Regulation Navigator — Week 2 Project Submission</dc:title>
  <dc:subject>RAG application project overview and evaluation</dc:subject>
  <dc:creator>Regulation Navigator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