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Report: Consumer Adoption Survey 2022</w:t>
      </w:r>
    </w:p>
    <w:p/>
    <w:p>
      <w:r>
        <w:t>Abstract</w:t>
      </w:r>
    </w:p>
    <w:p>
      <w:r>
        <w:t xml:space="preserve">We surveyed 1405 participants about adoption of digital   tools and measured satisfaction.  </w:t>
      </w:r>
    </w:p>
    <w:p/>
    <w:p>
      <w:r>
        <w:t>Methodology</w:t>
      </w:r>
    </w:p>
    <w:p>
      <w:r>
        <w:t>Participants were recruited online and responded to a structured questionnaire.</w:t>
      </w:r>
    </w:p>
    <w:p>
      <w:r>
        <w:t xml:space="preserve">  </w:t>
      </w:r>
    </w:p>
    <w:p>
      <w:r>
        <w:t>Results</w:t>
      </w:r>
    </w:p>
    <w:p>
      <w:r>
        <w:t>Overall adoption was 31.7%, with dropout at 5.5%.</w:t>
      </w:r>
    </w:p>
    <w:p/>
    <w:p>
      <w:r>
        <w:t>Discussion</w:t>
      </w:r>
    </w:p>
    <w:p>
      <w:r>
        <w:t>Findings suggest that usability and trust are the strongest pedictors of adoption.</w:t>
      </w:r>
    </w:p>
    <w:p/>
    <w:p>
      <w:r>
        <w:t>Conclusion</w:t>
      </w:r>
    </w:p>
    <w:p>
      <w:r>
        <w:t>Further longitudinal work is needed to confirm these preliminary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