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Incident Report: Service Degradation (Q1 2025)</w:t>
      </w:r>
    </w:p>
    <w:p/>
    <w:p>
      <w:r>
        <w:t>Summary</w:t>
      </w:r>
    </w:p>
    <w:p>
      <w:r>
        <w:t>On  26 June 2024 the platform experiecned elevated latency lasting 254 minutes.</w:t>
      </w:r>
    </w:p>
    <w:p/>
    <w:p>
      <w:r>
        <w:t>Root Cause Analysis</w:t>
      </w:r>
    </w:p>
    <w:p>
      <w:r>
        <w:t>A misconfigured cache layer caused cascading timeouts across dependent services.</w:t>
      </w:r>
    </w:p>
    <w:p/>
    <w:p>
      <w:r>
        <w:t>Findings</w:t>
      </w:r>
    </w:p>
    <w:p>
      <w:r>
        <w:t>Error rate peaked at 7.1% of requests. 1029 customers were affected.</w:t>
      </w:r>
    </w:p>
    <w:p/>
    <w:p>
      <w:r>
        <w:t>Recommendations</w:t>
      </w:r>
    </w:p>
    <w:p>
      <w:r>
        <w:t xml:space="preserve">Add canary deployments, tighten alerting thresholds and run quarterly failure drills.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