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Relasi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29225" cy="2820670"/>
            <wp:effectExtent l="0" t="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102" t="26640" r="19824" b="1956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supplier dan detail supplier memiliki relasi one-to-one karena setiap baris pada masing-masing tabel berhubungan dengan satu baris tabel yang lainnya.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supplier dan tabel obat memiliki relasi one-to-many karena satu baris di tabel supplier dapat berelasi dengan banyak baris di tabel obat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obat dan tabel penjualan  memiliki relasi many-to-many dengan perantara tabel detail penjualan dimana setiap baris dalam masing-masing tabel dapat berelasi dengan banyak baris di tabel lainnya.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773DC"/>
    <w:multiLevelType w:val="singleLevel"/>
    <w:tmpl w:val="337773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83E00"/>
    <w:rsid w:val="7A0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2022-06-08T15:13:00Z</dcterms:created>
  <dc:creator>My-Asus</dc:creator>
  <cp:lastModifiedBy>Entus Dakhi</cp:lastModifiedBy>
  <dcterms:modified xsi:type="dcterms:W3CDTF">2022-06-08T15:26:42Z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9F9A7920E331460F921A99A64B51751D</vt:lpwstr>
  </property>
</Properties>
</file>