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b/>
          <w:sz w:val="28"/>
        </w:rPr>
        <w:t>The auditory–cardiac channel in the last days of life: a neurovisceral hypothesis for limiting opioid escalation</w:t>
      </w:r>
    </w:p>
    <w:p>
      <w:pPr>
        <w:spacing w:line="360" w:lineRule="auto"/>
      </w:pPr>
      <w:r>
        <w:rPr>
          <w:i w:val="0"/>
          <w:sz w:val="22"/>
        </w:rPr>
        <w:t>Leon Sandler</w:t>
      </w:r>
    </w:p>
    <w:p>
      <w:pPr>
        <w:spacing w:line="360" w:lineRule="auto"/>
      </w:pPr>
      <w:r>
        <w:rPr>
          <w:i w:val="0"/>
          <w:sz w:val="21"/>
        </w:rPr>
        <w:t>Independent Researcher, Northbrook, Illinois, United States</w:t>
      </w:r>
    </w:p>
    <w:p>
      <w:pPr>
        <w:spacing w:line="360" w:lineRule="auto"/>
      </w:pPr>
      <w:r>
        <w:rPr>
          <w:i w:val="0"/>
          <w:sz w:val="21"/>
        </w:rPr>
        <w:t>ORCID: 0009-0007-4584-808X · Correspondence: sandler.leon@gmail.com</w:t>
      </w:r>
    </w:p>
    <w:p>
      <w:pPr>
        <w:spacing w:before="280" w:after="80" w:line="360" w:lineRule="auto"/>
      </w:pPr>
      <w:r>
        <w:rPr>
          <w:b/>
          <w:sz w:val="24"/>
        </w:rPr>
        <w:t>Abstract</w:t>
      </w:r>
    </w:p>
    <w:p>
      <w:pPr>
        <w:spacing w:line="360" w:lineRule="auto"/>
      </w:pPr>
      <w:r>
        <w:rPr>
          <w:i w:val="0"/>
          <w:sz w:val="22"/>
        </w:rPr>
        <w:t>In the last days of life, continuous opioid infusion is titrated against observed distress. Because renal and hepatic clearance fall as death approaches, escalation and accumulation interact: metabolite accumulation can produce agitation, agitation is read as pain, and pain prompts further escalation. The endpoint is often a depth of sedation that ends communication between the patient and those present, days before death. We propose that part of this escalation is driven not by nociception but by a self-reinforcing loop between autonomic arousal and perceived pain, and that the loop is accessible through a sensory channel that remains functional when others have failed. Auditory event-related potentials persist in actively dying patients, and the subcortical auditory pathway reaches the central autonomic network without requiring cortical participation. We set out the anatomy, state explicitly which links are demonstrated and which are assumed, and analyse a minimal model of the escalation loop. The model indicates that damping autonomic arousal postpones rather than prevents metabolite accumulation, with a bounded benefit. We give five falsifiable predictions, the conditions under which the proposal would cause harm, and the reasons a negative trial would be informative. No patient data were collected and nothing here is a treatment recommendation.</w:t>
      </w:r>
    </w:p>
    <w:p>
      <w:pPr>
        <w:spacing w:line="360" w:lineRule="auto"/>
      </w:pPr>
      <w:r>
        <w:rPr>
          <w:i w:val="0"/>
          <w:sz w:val="21"/>
        </w:rPr>
        <w:t>Keywords: palliative care; end-of-life care; opioid escalation; auditory event-related potentials; neurovisceral integration; heart rate variability; clinical hypnosis; terminal agitation</w:t>
      </w:r>
    </w:p>
    <w:p>
      <w:pPr>
        <w:spacing w:before="280" w:after="80" w:line="360" w:lineRule="auto"/>
      </w:pPr>
      <w:r>
        <w:rPr>
          <w:b/>
          <w:sz w:val="24"/>
        </w:rPr>
        <w:t>1. The problem</w:t>
      </w:r>
    </w:p>
    <w:p>
      <w:pPr>
        <w:spacing w:line="480" w:lineRule="auto"/>
      </w:pPr>
      <w:r>
        <w:rPr>
          <w:i w:val="0"/>
          <w:sz w:val="22"/>
        </w:rPr>
        <w:t>Care of the dying is, pharmacologically, a titration problem. Continuous subcutaneous or intravenous opioid is adjusted against observed signs of distress: grimacing, restlessness, tachypnoea, tachycardia. National guidance is explicit that dose should follow assessed need [1], and opioids are the best-evidenced treatment for refractory breathlessness at the end of life [2]. None of this is in question here.</w:t>
      </w:r>
    </w:p>
    <w:p>
      <w:pPr>
        <w:spacing w:line="480" w:lineRule="auto"/>
        <w:ind w:firstLine="432"/>
      </w:pPr>
      <w:r>
        <w:rPr>
          <w:i w:val="0"/>
          <w:sz w:val="22"/>
        </w:rPr>
        <w:t>The difficulty is that the signs being titrated against are not specific to nociception, and the patient can no longer disambiguate them. As organ function declines, opioid metabolites accumulate. Opioid-induced neurotoxicity — myoclonus, hyperalgesia, delirium, terminal agitation — is a recognised complication in palliative medicine [3], and its presentation overlaps almost completely with the presentation of under-treated pain. A clinician watching a restless, grimacing patient cannot tell from the bedside whether the dose is too low or too high, and the default, humane response is to increase it.</w:t>
      </w:r>
    </w:p>
    <w:p>
      <w:pPr>
        <w:spacing w:line="480" w:lineRule="auto"/>
        <w:ind w:firstLine="432"/>
      </w:pPr>
      <w:r>
        <w:rPr>
          <w:i w:val="0"/>
          <w:sz w:val="22"/>
        </w:rPr>
        <w:t>We note at once that the mechanism usually invoked for this neurotoxicity is contested. Morphine-3-glucuronide was proposed as the neuroexcitatory agent [4], but the same group subsequently reported that M3G is not neurotoxic to primary hippocampal or cerebellar granule neurones [5]. The clinical syndrome is well described; its molecular basis is not settled, and we therefore treat metabolite accumulation as a phenomenological driver rather than asserting a specific mediator.</w:t>
      </w:r>
    </w:p>
    <w:p>
      <w:pPr>
        <w:spacing w:line="480" w:lineRule="auto"/>
        <w:ind w:firstLine="432"/>
      </w:pPr>
      <w:r>
        <w:rPr>
          <w:i w:val="0"/>
          <w:sz w:val="22"/>
        </w:rPr>
        <w:t>The cost of the resulting escalation is not primarily physiological. It is that the patient becomes unreachable. Families describe losing the person some days before the death, and clinicians are left balancing comfort against presence with no instrument that measures the trade-off.</w:t>
      </w:r>
    </w:p>
    <w:p>
      <w:pPr>
        <w:spacing w:before="280" w:after="80" w:line="360" w:lineRule="auto"/>
      </w:pPr>
      <w:r>
        <w:rPr>
          <w:b/>
          <w:sz w:val="24"/>
        </w:rPr>
        <w:t>2. The hypothesis</w:t>
      </w:r>
    </w:p>
    <w:p>
      <w:pPr>
        <w:spacing w:line="360" w:lineRule="auto"/>
        <w:ind w:left="576" w:right="576"/>
      </w:pPr>
      <w:r>
        <w:rPr>
          <w:b/>
          <w:sz w:val="22"/>
        </w:rPr>
        <w:t>A component of terminal opioid escalation is driven by a self-reinforcing loop between autonomic arousal and perceived pain, rather than by nociceptive input alone. Because the subcortical auditory pathway remains functional when other sensory channels have failed, structured auditory input can reach the central autonomic network directly and damp that loop, postponing the point at which accumulation forces a choice between comfort and consciousness.</w:t>
      </w:r>
    </w:p>
    <w:p>
      <w:pPr>
        <w:spacing w:line="480" w:lineRule="auto"/>
        <w:ind w:firstLine="432"/>
      </w:pPr>
      <w:r>
        <w:rPr>
          <w:i w:val="0"/>
          <w:sz w:val="22"/>
        </w:rPr>
        <w:t>Two claims are separable here and should be judged separately. The first is that an arousal–pain loop contributes materially to dose escalation in the last days. The second is that the auditory channel is a usable point of entry to it. The first could be true and the second false.</w:t>
      </w:r>
    </w:p>
    <w:p>
      <w:pPr>
        <w:spacing w:before="280" w:after="80" w:line="360" w:lineRule="auto"/>
      </w:pPr>
      <w:r>
        <w:rPr>
          <w:b/>
          <w:sz w:val="24"/>
        </w:rPr>
        <w:t>3. Why the auditory channel, and what has actually been shown</w:t>
      </w:r>
    </w:p>
    <w:p>
      <w:pPr>
        <w:spacing w:line="480" w:lineRule="auto"/>
      </w:pPr>
      <w:r>
        <w:rPr>
          <w:i w:val="0"/>
          <w:sz w:val="22"/>
        </w:rPr>
        <w:t>Acoustic signals reach the brainstem through the cochlear nuclei, superior olivary complex and inferior colliculus before any thalamocortical routing [6]. These are among the most metabolically economical and phylogenetically conserved structures in the central nervous system, and processing along this path does not require cortical participation.</w:t>
      </w:r>
    </w:p>
    <w:p>
      <w:pPr>
        <w:spacing w:line="480" w:lineRule="auto"/>
        <w:ind w:firstLine="432"/>
      </w:pPr>
      <w:r>
        <w:rPr>
          <w:i w:val="0"/>
          <w:sz w:val="22"/>
        </w:rPr>
        <w:t>The evidentiary position must be stated precisely, because the source literature is often summarised more strongly than it supports. Two distinct findings are relevant and they are not the same finding.</w:t>
      </w:r>
    </w:p>
    <w:p>
      <w:pPr>
        <w:pStyle w:val="ListBullet"/>
        <w:spacing w:line="360" w:lineRule="auto"/>
      </w:pPr>
      <w:r>
        <w:rPr>
          <w:b/>
          <w:sz w:val="22"/>
        </w:rPr>
        <w:t xml:space="preserve">Hearing persists. </w:t>
      </w:r>
      <w:r>
        <w:rPr>
          <w:sz w:val="22"/>
        </w:rPr>
        <w:t>Auditory event-related potentials to tone sequences persist in actively dying hospice patients, in some cases within hours of death, and resemble those of healthy controls [7]. This establishes that the auditory system is still processing structured acoustic input at the end of life. It does not establish that words are being understood.</w:t>
      </w:r>
    </w:p>
    <w:p>
      <w:pPr>
        <w:pStyle w:val="ListBullet"/>
        <w:spacing w:line="360" w:lineRule="auto"/>
      </w:pPr>
      <w:r>
        <w:rPr>
          <w:b/>
          <w:sz w:val="22"/>
        </w:rPr>
        <w:t xml:space="preserve">Semantic processing can survive unresponsiveness. </w:t>
      </w:r>
      <w:r>
        <w:rPr>
          <w:sz w:val="22"/>
        </w:rPr>
        <w:t>The N400, an index of semantic mismatch, has been recorded in patients with disorders of consciousness, where its presence predicts later recovery [8]. This establishes that automatic semantic processing can survive profound unresponsiveness. It was not measured in dying patients, and its absence in many such patients is precisely what makes it prognostic.</w:t>
      </w:r>
    </w:p>
    <w:p>
      <w:pPr>
        <w:spacing w:line="480" w:lineRule="auto"/>
        <w:ind w:firstLine="432"/>
      </w:pPr>
      <w:r>
        <w:rPr>
          <w:i w:val="0"/>
          <w:sz w:val="22"/>
        </w:rPr>
        <w:t>No published study has demonstrated semantic processing in actively dying patients. The proposition that the dying brain decodes the meaning of what is said to it is therefore a hypothesis, not a premise, and we treat it as this paper's primary experimental prediction (Section 7). Framing it as established — as popular accounts of ‘hearing is the last sense to go’ routinely do — would put the weight of the argument on a claim the literature has not yet tested.</w:t>
      </w:r>
    </w:p>
    <w:p>
      <w:pPr>
        <w:spacing w:before="280" w:after="80" w:line="360" w:lineRule="auto"/>
      </w:pPr>
      <w:r>
        <w:rPr>
          <w:b/>
          <w:sz w:val="24"/>
        </w:rPr>
        <w:t>4. From acoustic input to autonomic state</w:t>
      </w:r>
    </w:p>
    <w:p>
      <w:pPr>
        <w:spacing w:line="480" w:lineRule="auto"/>
      </w:pPr>
      <w:r>
        <w:rPr>
          <w:i w:val="0"/>
          <w:sz w:val="22"/>
        </w:rPr>
        <w:t>The route from processed sound to cardiac output runs through the central autonomic network. Under the neurovisceral integration account, prefrontal and limbic structures exert inhibitory control over sympathoexcitatory circuits, with vagally mediated heart rate variability as the accessible index of that control [9]. Afferent traffic from baroreceptors returns through the nucleus tractus solitarius to the insular cortex, which supports interoceptive representation of bodily state [10]. The loop is bidirectional: a steady cardiac rhythm is not merely an output of calm but an input to it.</w:t>
      </w:r>
    </w:p>
    <w:p>
      <w:pPr>
        <w:spacing w:line="480" w:lineRule="auto"/>
        <w:ind w:firstLine="432"/>
      </w:pPr>
      <w:r>
        <w:rPr>
          <w:i w:val="0"/>
          <w:sz w:val="22"/>
        </w:rPr>
        <w:t>Where this becomes relevant to analgesia is the separability of pain's sensory and affective dimensions. Hypnotic suggestion directed at unpleasantness rather than intensity alters activity in the anterior cingulate cortex without corresponding change in primary somatosensory cortex [11] — the affective component can be moved while the sensory component is left intact. Meta-analysis supports a moderate to large analgesic effect of hypnotic procedures [12], and the clinical literature on hypnotic approaches to chronic pain is consistent with a mechanism acting on pain-related distress rather than on transduction [13].</w:t>
      </w:r>
    </w:p>
    <w:p>
      <w:pPr>
        <w:jc w:val="center"/>
      </w:pPr>
      <w:r>
        <w:drawing>
          <wp:inline xmlns:a="http://schemas.openxmlformats.org/drawingml/2006/main" xmlns:pic="http://schemas.openxmlformats.org/drawingml/2006/picture">
            <wp:extent cx="5669280" cy="5345027"/>
            <wp:docPr id="1" name="Picture 1"/>
            <wp:cNvGraphicFramePr>
              <a:graphicFrameLocks noChangeAspect="1"/>
            </wp:cNvGraphicFramePr>
            <a:graphic>
              <a:graphicData uri="http://schemas.openxmlformats.org/drawingml/2006/picture">
                <pic:pic>
                  <pic:nvPicPr>
                    <pic:cNvPr id="0" name="figure1_pathway.png"/>
                    <pic:cNvPicPr/>
                  </pic:nvPicPr>
                  <pic:blipFill>
                    <a:blip r:embed="rId9"/>
                    <a:stretch>
                      <a:fillRect/>
                    </a:stretch>
                  </pic:blipFill>
                  <pic:spPr>
                    <a:xfrm>
                      <a:off x="0" y="0"/>
                      <a:ext cx="5669280" cy="5345027"/>
                    </a:xfrm>
                    <a:prstGeom prst="rect"/>
                  </pic:spPr>
                </pic:pic>
              </a:graphicData>
            </a:graphic>
          </wp:inline>
        </w:drawing>
      </w:r>
    </w:p>
    <w:p>
      <w:pPr>
        <w:spacing w:line="240" w:lineRule="auto" w:after="240"/>
      </w:pPr>
      <w:r>
        <w:rPr>
          <w:sz w:val="19"/>
        </w:rPr>
        <w:t>Figure 1. The proposed auditory–cardiac pathway. Grey boxes are established anatomy; green marks the two steps for which there is direct evidence in unresponsive or dying patients; blue marks the proposed points of intervention and measurement. The red limb closes the loop: the interoceptive reading of cardiac state feeds back into threat appraisal.</w:t>
      </w:r>
    </w:p>
    <w:p>
      <w:pPr>
        <w:spacing w:before="280" w:after="80" w:line="360" w:lineRule="auto"/>
      </w:pPr>
      <w:r>
        <w:rPr>
          <w:b/>
          <w:sz w:val="24"/>
        </w:rPr>
        <w:t>5. A minimal model of the escalation loop</w:t>
      </w:r>
    </w:p>
    <w:p>
      <w:pPr>
        <w:spacing w:line="480" w:lineRule="auto"/>
      </w:pPr>
      <w:r>
        <w:rPr>
          <w:i w:val="0"/>
          <w:sz w:val="22"/>
        </w:rPr>
        <w:t>To ask whether the proposed loop can produce the clinical pattern, and what damping it would be worth, we analyse a deliberately minimal system. Perceived pain P is nociceptive drive N amplified by autonomic arousal A with gain g; arousal is driven by perceived pain and damped by a term V standing for the intervention; dose follows perceived pain; metabolite M accumulates as clearance declines exponentially; and once M crosses a threshold an agitation term is added to N, which is what closes the loop.</w:t>
      </w:r>
    </w:p>
    <w:p>
      <w:pPr>
        <w:spacing w:line="360" w:lineRule="auto"/>
      </w:pPr>
      <w:r>
        <w:rPr>
          <w:i/>
          <w:sz w:val="22"/>
        </w:rPr>
        <w:t>P = N(1 + gA);  dA/dt = (a₀ + k_P P − V − A)/τ_A;  dM/dt = k_M D − CL(t)M;  CL(t) = CL₀ exp(−t/τ_CL)</w:t>
      </w:r>
    </w:p>
    <w:p>
      <w:pPr>
        <w:spacing w:line="480" w:lineRule="auto"/>
        <w:ind w:firstLine="432"/>
      </w:pPr>
      <w:r>
        <w:rPr>
          <w:i w:val="0"/>
          <w:sz w:val="22"/>
        </w:rPr>
        <w:t>Every parameter is illustrative. None is fitted to patient data, this is not a pharmacokinetic simulation of morphine, and no quantity below should be read as a predicted dose or survival time. The model is used only to ask what class of behaviour the loop can produce and what would have to be measured to refute it. Results are therefore reported as relative timings.</w:t>
      </w:r>
    </w:p>
    <w:p>
      <w:pPr>
        <w:spacing w:line="480" w:lineRule="auto"/>
        <w:ind w:firstLine="432"/>
      </w:pPr>
      <w:r>
        <w:rPr>
          <w:i w:val="0"/>
          <w:sz w:val="22"/>
        </w:rPr>
        <w:t>Three results follow. First, the loop is capable of producing the clinical pattern: with the assumed parameters the threshold is crossed on day 1.04, after which dose saturates. Second, damping arousal postpones that crossing — a modest damping term delays it by 6.2 hours and lowers mean pre-threshold dose by 11%. Third, and most importantly, damping never prevents the crossing at any strength. The delay saturates at a ceiling of 34.8 hours, reached when arousal is fully suppressed; removing the affective loop altogether gives essentially the same answer (day 2.50). The benefit this hypothesis can claim is bounded, and the bound is hours to a little over a day.</w:t>
      </w:r>
    </w:p>
    <w:p>
      <w:pPr>
        <w:jc w:val="center"/>
      </w:pPr>
      <w:r>
        <w:drawing>
          <wp:inline xmlns:a="http://schemas.openxmlformats.org/drawingml/2006/main" xmlns:pic="http://schemas.openxmlformats.org/drawingml/2006/picture">
            <wp:extent cx="5669280" cy="2159726"/>
            <wp:docPr id="2" name="Picture 2"/>
            <wp:cNvGraphicFramePr>
              <a:graphicFrameLocks noChangeAspect="1"/>
            </wp:cNvGraphicFramePr>
            <a:graphic>
              <a:graphicData uri="http://schemas.openxmlformats.org/drawingml/2006/picture">
                <pic:pic>
                  <pic:nvPicPr>
                    <pic:cNvPr id="0" name="figure2_model.png"/>
                    <pic:cNvPicPr/>
                  </pic:nvPicPr>
                  <pic:blipFill>
                    <a:blip r:embed="rId10"/>
                    <a:stretch>
                      <a:fillRect/>
                    </a:stretch>
                  </pic:blipFill>
                  <pic:spPr>
                    <a:xfrm>
                      <a:off x="0" y="0"/>
                      <a:ext cx="5669280" cy="2159726"/>
                    </a:xfrm>
                    <a:prstGeom prst="rect"/>
                  </pic:spPr>
                </pic:pic>
              </a:graphicData>
            </a:graphic>
          </wp:inline>
        </w:drawing>
      </w:r>
    </w:p>
    <w:p>
      <w:pPr>
        <w:spacing w:line="240" w:lineRule="auto" w:after="240"/>
      </w:pPr>
      <w:r>
        <w:rPr>
          <w:sz w:val="19"/>
        </w:rPr>
        <w:t>Figure 2. Behaviour of the minimal loop model. (A) Accumulated metabolite against time for no intervention, modest damping and maximal damping; circles mark the threshold crossing. (B) Delay in reaching the threshold as a function of damping strength. The delay saturates at 34.8 hours and no damping strength prevents the crossing. Parameters are illustrative throughout; the figure shows the shape of the result, not a prediction for any patient.</w:t>
      </w:r>
    </w:p>
    <w:p>
      <w:pPr>
        <w:spacing w:line="480" w:lineRule="auto"/>
        <w:ind w:firstLine="432"/>
      </w:pPr>
      <w:r>
        <w:rPr>
          <w:i w:val="0"/>
          <w:sz w:val="22"/>
        </w:rPr>
        <w:t>That the modelled benefit is bounded is not a weakness of the proposal but the most useful thing the model says. An intervention that postpones the neurotoxic threshold by hours is worth having if those hours are lucid and the patient's family is present. An intervention sold as a way to avoid opioid escalation would be both wrong and dangerous.</w:t>
      </w:r>
    </w:p>
    <w:p>
      <w:pPr>
        <w:spacing w:before="280" w:after="80" w:line="360" w:lineRule="auto"/>
      </w:pPr>
      <w:r>
        <w:rPr>
          <w:b/>
          <w:sz w:val="24"/>
        </w:rPr>
        <w:t>6. Evidence status of each link</w:t>
      </w:r>
    </w:p>
    <w:p>
      <w:pPr>
        <w:spacing w:line="480" w:lineRule="auto"/>
      </w:pPr>
      <w:r>
        <w:rPr>
          <w:i w:val="0"/>
          <w:sz w:val="22"/>
        </w:rPr>
        <w:t>The argument above chains together claims of very different evidentiary standing. Table 1 assigns each a status rather than folding them into a single judgement about the hypothesis, so that a reader can locate the weak links directly.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18"/>
              </w:rPr>
              <w:t>Link</w:t>
            </w:r>
          </w:p>
        </w:tc>
        <w:tc>
          <w:tcPr>
            <w:tcW w:type="dxa" w:w="3120"/>
          </w:tcPr>
          <w:p>
            <w:pPr>
              <w:spacing w:line="240" w:lineRule="auto"/>
            </w:pPr>
            <w:r/>
            <w:r>
              <w:rPr>
                <w:b/>
                <w:sz w:val="18"/>
              </w:rPr>
              <w:t>Status</w:t>
            </w:r>
          </w:p>
        </w:tc>
        <w:tc>
          <w:tcPr>
            <w:tcW w:type="dxa" w:w="3120"/>
          </w:tcPr>
          <w:p>
            <w:pPr>
              <w:spacing w:line="240" w:lineRule="auto"/>
            </w:pPr>
            <w:r/>
            <w:r>
              <w:rPr>
                <w:b/>
                <w:sz w:val="18"/>
              </w:rPr>
              <w:t>Basis</w:t>
            </w:r>
          </w:p>
        </w:tc>
      </w:tr>
      <w:tr>
        <w:tc>
          <w:tcPr>
            <w:tcW w:type="dxa" w:w="3120"/>
          </w:tcPr>
          <w:p>
            <w:pPr>
              <w:spacing w:line="240" w:lineRule="auto" w:after="20"/>
            </w:pPr>
            <w:r/>
            <w:r>
              <w:rPr>
                <w:sz w:val="18"/>
              </w:rPr>
              <w:t>Subcortical auditory pathway reaches limbic and autonomic structures without cortical routing</w:t>
            </w:r>
          </w:p>
        </w:tc>
        <w:tc>
          <w:tcPr>
            <w:tcW w:type="dxa" w:w="3120"/>
          </w:tcPr>
          <w:p>
            <w:pPr>
              <w:spacing w:line="240" w:lineRule="auto" w:after="20"/>
            </w:pPr>
            <w:r/>
            <w:r>
              <w:rPr>
                <w:sz w:val="18"/>
              </w:rPr>
              <w:t>Demonstrated</w:t>
            </w:r>
          </w:p>
        </w:tc>
        <w:tc>
          <w:tcPr>
            <w:tcW w:type="dxa" w:w="3120"/>
          </w:tcPr>
          <w:p>
            <w:pPr>
              <w:spacing w:line="240" w:lineRule="auto" w:after="20"/>
            </w:pPr>
            <w:r/>
            <w:r>
              <w:rPr>
                <w:sz w:val="18"/>
              </w:rPr>
              <w:t>Established neuroanatomy [6]</w:t>
            </w:r>
          </w:p>
        </w:tc>
      </w:tr>
      <w:tr>
        <w:tc>
          <w:tcPr>
            <w:tcW w:type="dxa" w:w="3120"/>
          </w:tcPr>
          <w:p>
            <w:pPr>
              <w:spacing w:line="240" w:lineRule="auto" w:after="20"/>
            </w:pPr>
            <w:r/>
            <w:r>
              <w:rPr>
                <w:sz w:val="18"/>
              </w:rPr>
              <w:t>Auditory ERPs to structured sound persist in actively dying patients</w:t>
            </w:r>
          </w:p>
        </w:tc>
        <w:tc>
          <w:tcPr>
            <w:tcW w:type="dxa" w:w="3120"/>
          </w:tcPr>
          <w:p>
            <w:pPr>
              <w:spacing w:line="240" w:lineRule="auto" w:after="20"/>
            </w:pPr>
            <w:r/>
            <w:r>
              <w:rPr>
                <w:sz w:val="18"/>
              </w:rPr>
              <w:t>Demonstrated</w:t>
            </w:r>
          </w:p>
        </w:tc>
        <w:tc>
          <w:tcPr>
            <w:tcW w:type="dxa" w:w="3120"/>
          </w:tcPr>
          <w:p>
            <w:pPr>
              <w:spacing w:line="240" w:lineRule="auto" w:after="20"/>
            </w:pPr>
            <w:r/>
            <w:r>
              <w:rPr>
                <w:sz w:val="18"/>
              </w:rPr>
              <w:t>Direct measurement in hospice patients [7]</w:t>
            </w:r>
          </w:p>
        </w:tc>
      </w:tr>
      <w:tr>
        <w:tc>
          <w:tcPr>
            <w:tcW w:type="dxa" w:w="3120"/>
          </w:tcPr>
          <w:p>
            <w:pPr>
              <w:spacing w:line="240" w:lineRule="auto" w:after="20"/>
            </w:pPr>
            <w:r/>
            <w:r>
              <w:rPr>
                <w:sz w:val="18"/>
              </w:rPr>
              <w:t>Automatic semantic processing can survive profound unresponsiveness</w:t>
            </w:r>
          </w:p>
        </w:tc>
        <w:tc>
          <w:tcPr>
            <w:tcW w:type="dxa" w:w="3120"/>
          </w:tcPr>
          <w:p>
            <w:pPr>
              <w:spacing w:line="240" w:lineRule="auto" w:after="20"/>
            </w:pPr>
            <w:r/>
            <w:r>
              <w:rPr>
                <w:sz w:val="18"/>
              </w:rPr>
              <w:t>Demonstrated</w:t>
            </w:r>
          </w:p>
        </w:tc>
        <w:tc>
          <w:tcPr>
            <w:tcW w:type="dxa" w:w="3120"/>
          </w:tcPr>
          <w:p>
            <w:pPr>
              <w:spacing w:line="240" w:lineRule="auto" w:after="20"/>
            </w:pPr>
            <w:r/>
            <w:r>
              <w:rPr>
                <w:sz w:val="18"/>
              </w:rPr>
              <w:t>N400 in disorders of consciousness [8]</w:t>
            </w:r>
          </w:p>
        </w:tc>
      </w:tr>
      <w:tr>
        <w:tc>
          <w:tcPr>
            <w:tcW w:type="dxa" w:w="3120"/>
          </w:tcPr>
          <w:p>
            <w:pPr>
              <w:spacing w:line="240" w:lineRule="auto" w:after="20"/>
            </w:pPr>
            <w:r/>
            <w:r>
              <w:rPr>
                <w:sz w:val="18"/>
              </w:rPr>
              <w:t>Semantic processing persists in actively dying patients</w:t>
            </w:r>
          </w:p>
        </w:tc>
        <w:tc>
          <w:tcPr>
            <w:tcW w:type="dxa" w:w="3120"/>
          </w:tcPr>
          <w:p>
            <w:pPr>
              <w:spacing w:line="240" w:lineRule="auto" w:after="20"/>
            </w:pPr>
            <w:r/>
            <w:r>
              <w:rPr>
                <w:sz w:val="18"/>
              </w:rPr>
              <w:t>Untested</w:t>
            </w:r>
          </w:p>
        </w:tc>
        <w:tc>
          <w:tcPr>
            <w:tcW w:type="dxa" w:w="3120"/>
          </w:tcPr>
          <w:p>
            <w:pPr>
              <w:spacing w:line="240" w:lineRule="auto" w:after="20"/>
            </w:pPr>
            <w:r/>
            <w:r>
              <w:rPr>
                <w:sz w:val="18"/>
              </w:rPr>
              <w:t>Not measured in this population; prediction P1</w:t>
            </w:r>
          </w:p>
        </w:tc>
      </w:tr>
      <w:tr>
        <w:tc>
          <w:tcPr>
            <w:tcW w:type="dxa" w:w="3120"/>
          </w:tcPr>
          <w:p>
            <w:pPr>
              <w:spacing w:line="240" w:lineRule="auto" w:after="20"/>
            </w:pPr>
            <w:r/>
            <w:r>
              <w:rPr>
                <w:sz w:val="18"/>
              </w:rPr>
              <w:t>Vagally mediated HRV indexes central autonomic control</w:t>
            </w:r>
          </w:p>
        </w:tc>
        <w:tc>
          <w:tcPr>
            <w:tcW w:type="dxa" w:w="3120"/>
          </w:tcPr>
          <w:p>
            <w:pPr>
              <w:spacing w:line="240" w:lineRule="auto" w:after="20"/>
            </w:pPr>
            <w:r/>
            <w:r>
              <w:rPr>
                <w:sz w:val="18"/>
              </w:rPr>
              <w:t>Demonstrated</w:t>
            </w:r>
          </w:p>
        </w:tc>
        <w:tc>
          <w:tcPr>
            <w:tcW w:type="dxa" w:w="3120"/>
          </w:tcPr>
          <w:p>
            <w:pPr>
              <w:spacing w:line="240" w:lineRule="auto" w:after="20"/>
            </w:pPr>
            <w:r/>
            <w:r>
              <w:rPr>
                <w:sz w:val="18"/>
              </w:rPr>
              <w:t>Neurovisceral integration [9]</w:t>
            </w:r>
          </w:p>
        </w:tc>
      </w:tr>
      <w:tr>
        <w:tc>
          <w:tcPr>
            <w:tcW w:type="dxa" w:w="3120"/>
          </w:tcPr>
          <w:p>
            <w:pPr>
              <w:spacing w:line="240" w:lineRule="auto" w:after="20"/>
            </w:pPr>
            <w:r/>
            <w:r>
              <w:rPr>
                <w:sz w:val="18"/>
              </w:rPr>
              <w:t>Hypnotic suggestion separates pain affect from pain sensation</w:t>
            </w:r>
          </w:p>
        </w:tc>
        <w:tc>
          <w:tcPr>
            <w:tcW w:type="dxa" w:w="3120"/>
          </w:tcPr>
          <w:p>
            <w:pPr>
              <w:spacing w:line="240" w:lineRule="auto" w:after="20"/>
            </w:pPr>
            <w:r/>
            <w:r>
              <w:rPr>
                <w:sz w:val="18"/>
              </w:rPr>
              <w:t>Demonstrated</w:t>
            </w:r>
          </w:p>
        </w:tc>
        <w:tc>
          <w:tcPr>
            <w:tcW w:type="dxa" w:w="3120"/>
          </w:tcPr>
          <w:p>
            <w:pPr>
              <w:spacing w:line="240" w:lineRule="auto" w:after="20"/>
            </w:pPr>
            <w:r/>
            <w:r>
              <w:rPr>
                <w:sz w:val="18"/>
              </w:rPr>
              <w:t>ACC dissociation in healthy volunteers [11]</w:t>
            </w:r>
          </w:p>
        </w:tc>
      </w:tr>
      <w:tr>
        <w:tc>
          <w:tcPr>
            <w:tcW w:type="dxa" w:w="3120"/>
          </w:tcPr>
          <w:p>
            <w:pPr>
              <w:spacing w:line="240" w:lineRule="auto" w:after="20"/>
            </w:pPr>
            <w:r/>
            <w:r>
              <w:rPr>
                <w:sz w:val="18"/>
              </w:rPr>
              <w:t>Hypnotic procedures reduce analgesic requirement</w:t>
            </w:r>
          </w:p>
        </w:tc>
        <w:tc>
          <w:tcPr>
            <w:tcW w:type="dxa" w:w="3120"/>
          </w:tcPr>
          <w:p>
            <w:pPr>
              <w:spacing w:line="240" w:lineRule="auto" w:after="20"/>
            </w:pPr>
            <w:r/>
            <w:r>
              <w:rPr>
                <w:sz w:val="18"/>
              </w:rPr>
              <w:t>Supported</w:t>
            </w:r>
          </w:p>
        </w:tc>
        <w:tc>
          <w:tcPr>
            <w:tcW w:type="dxa" w:w="3120"/>
          </w:tcPr>
          <w:p>
            <w:pPr>
              <w:spacing w:line="240" w:lineRule="auto" w:after="20"/>
            </w:pPr>
            <w:r/>
            <w:r>
              <w:rPr>
                <w:sz w:val="18"/>
              </w:rPr>
              <w:t>Randomised evidence in conscious sedation [14]; meta-analysis [12]</w:t>
            </w:r>
          </w:p>
        </w:tc>
      </w:tr>
      <w:tr>
        <w:tc>
          <w:tcPr>
            <w:tcW w:type="dxa" w:w="3120"/>
          </w:tcPr>
          <w:p>
            <w:pPr>
              <w:spacing w:line="240" w:lineRule="auto" w:after="20"/>
            </w:pPr>
            <w:r/>
            <w:r>
              <w:rPr>
                <w:sz w:val="18"/>
              </w:rPr>
              <w:t>Arousal amplifies perceived pain via central sensitisation</w:t>
            </w:r>
          </w:p>
        </w:tc>
        <w:tc>
          <w:tcPr>
            <w:tcW w:type="dxa" w:w="3120"/>
          </w:tcPr>
          <w:p>
            <w:pPr>
              <w:spacing w:line="240" w:lineRule="auto" w:after="20"/>
            </w:pPr>
            <w:r/>
            <w:r>
              <w:rPr>
                <w:sz w:val="18"/>
              </w:rPr>
              <w:t>Supported</w:t>
            </w:r>
          </w:p>
        </w:tc>
        <w:tc>
          <w:tcPr>
            <w:tcW w:type="dxa" w:w="3120"/>
          </w:tcPr>
          <w:p>
            <w:pPr>
              <w:spacing w:line="240" w:lineRule="auto" w:after="20"/>
            </w:pPr>
            <w:r/>
            <w:r>
              <w:rPr>
                <w:sz w:val="18"/>
              </w:rPr>
              <w:t>Mechanistic review [15]</w:t>
            </w:r>
          </w:p>
        </w:tc>
      </w:tr>
      <w:tr>
        <w:tc>
          <w:tcPr>
            <w:tcW w:type="dxa" w:w="3120"/>
          </w:tcPr>
          <w:p>
            <w:pPr>
              <w:spacing w:line="240" w:lineRule="auto" w:after="20"/>
            </w:pPr>
            <w:r/>
            <w:r>
              <w:rPr>
                <w:sz w:val="18"/>
              </w:rPr>
              <w:t>An arousal-pain loop drives a material share of terminal escalation</w:t>
            </w:r>
          </w:p>
        </w:tc>
        <w:tc>
          <w:tcPr>
            <w:tcW w:type="dxa" w:w="3120"/>
          </w:tcPr>
          <w:p>
            <w:pPr>
              <w:spacing w:line="240" w:lineRule="auto" w:after="20"/>
            </w:pPr>
            <w:r/>
            <w:r>
              <w:rPr>
                <w:sz w:val="18"/>
              </w:rPr>
              <w:t>Proposed</w:t>
            </w:r>
          </w:p>
        </w:tc>
        <w:tc>
          <w:tcPr>
            <w:tcW w:type="dxa" w:w="3120"/>
          </w:tcPr>
          <w:p>
            <w:pPr>
              <w:spacing w:line="240" w:lineRule="auto" w:after="20"/>
            </w:pPr>
            <w:r/>
            <w:r>
              <w:rPr>
                <w:sz w:val="18"/>
              </w:rPr>
              <w:t>This paper; prediction P2</w:t>
            </w:r>
          </w:p>
        </w:tc>
      </w:tr>
      <w:tr>
        <w:tc>
          <w:tcPr>
            <w:tcW w:type="dxa" w:w="3120"/>
          </w:tcPr>
          <w:p>
            <w:pPr>
              <w:spacing w:line="240" w:lineRule="auto" w:after="20"/>
            </w:pPr>
            <w:r/>
            <w:r>
              <w:rPr>
                <w:sz w:val="18"/>
              </w:rPr>
              <w:t>Auditory input can damp that loop in dying patients</w:t>
            </w:r>
          </w:p>
        </w:tc>
        <w:tc>
          <w:tcPr>
            <w:tcW w:type="dxa" w:w="3120"/>
          </w:tcPr>
          <w:p>
            <w:pPr>
              <w:spacing w:line="240" w:lineRule="auto" w:after="20"/>
            </w:pPr>
            <w:r/>
            <w:r>
              <w:rPr>
                <w:sz w:val="18"/>
              </w:rPr>
              <w:t>Proposed</w:t>
            </w:r>
          </w:p>
        </w:tc>
        <w:tc>
          <w:tcPr>
            <w:tcW w:type="dxa" w:w="3120"/>
          </w:tcPr>
          <w:p>
            <w:pPr>
              <w:spacing w:line="240" w:lineRule="auto" w:after="20"/>
            </w:pPr>
            <w:r/>
            <w:r>
              <w:rPr>
                <w:sz w:val="18"/>
              </w:rPr>
              <w:t>This paper; prediction P3</w:t>
            </w:r>
          </w:p>
        </w:tc>
      </w:tr>
      <w:tr>
        <w:tc>
          <w:tcPr>
            <w:tcW w:type="dxa" w:w="3120"/>
          </w:tcPr>
          <w:p>
            <w:pPr>
              <w:spacing w:line="240" w:lineRule="auto" w:after="20"/>
            </w:pPr>
            <w:r/>
            <w:r>
              <w:rPr>
                <w:sz w:val="18"/>
              </w:rPr>
              <w:t>Damping postpones rather than prevents metabolite accumulation</w:t>
            </w:r>
          </w:p>
        </w:tc>
        <w:tc>
          <w:tcPr>
            <w:tcW w:type="dxa" w:w="3120"/>
          </w:tcPr>
          <w:p>
            <w:pPr>
              <w:spacing w:line="240" w:lineRule="auto" w:after="20"/>
            </w:pPr>
            <w:r/>
            <w:r>
              <w:rPr>
                <w:sz w:val="18"/>
              </w:rPr>
              <w:t>Model result</w:t>
            </w:r>
          </w:p>
        </w:tc>
        <w:tc>
          <w:tcPr>
            <w:tcW w:type="dxa" w:w="3120"/>
          </w:tcPr>
          <w:p>
            <w:pPr>
              <w:spacing w:line="240" w:lineRule="auto" w:after="20"/>
            </w:pPr>
            <w:r/>
            <w:r>
              <w:rPr>
                <w:sz w:val="18"/>
              </w:rPr>
              <w:t>Section 5; conditional on assumed parameters</w:t>
            </w:r>
          </w:p>
        </w:tc>
      </w:tr>
      <w:tr>
        <w:tc>
          <w:tcPr>
            <w:tcW w:type="dxa" w:w="3120"/>
          </w:tcPr>
          <w:p>
            <w:pPr>
              <w:spacing w:line="240" w:lineRule="auto" w:after="20"/>
            </w:pPr>
            <w:r/>
            <w:r>
              <w:rPr>
                <w:sz w:val="18"/>
              </w:rPr>
              <w:t>A specific metabolite mediates opioid-induced neurotoxicity</w:t>
            </w:r>
          </w:p>
        </w:tc>
        <w:tc>
          <w:tcPr>
            <w:tcW w:type="dxa" w:w="3120"/>
          </w:tcPr>
          <w:p>
            <w:pPr>
              <w:spacing w:line="240" w:lineRule="auto" w:after="20"/>
            </w:pPr>
            <w:r/>
            <w:r>
              <w:rPr>
                <w:sz w:val="18"/>
              </w:rPr>
              <w:t>Contested</w:t>
            </w:r>
          </w:p>
        </w:tc>
        <w:tc>
          <w:tcPr>
            <w:tcW w:type="dxa" w:w="3120"/>
          </w:tcPr>
          <w:p>
            <w:pPr>
              <w:spacing w:line="240" w:lineRule="auto" w:after="20"/>
            </w:pPr>
            <w:r/>
            <w:r>
              <w:rPr>
                <w:sz w:val="18"/>
              </w:rPr>
              <w:t>Proposed [4], refuted by the same group [5]</w:t>
            </w:r>
          </w:p>
        </w:tc>
      </w:tr>
    </w:tbl>
    <w:p>
      <w:pPr>
        <w:spacing w:line="240" w:lineRule="auto" w:after="240"/>
      </w:pPr>
      <w:r>
        <w:rPr>
          <w:sz w:val="19"/>
        </w:rPr>
        <w:t>Table 1. Status of each link in the chain. Rows 4, 9 and 10 are the load bearing untested claims and are the targets of the experimental programme in Section 7.</w:t>
      </w:r>
    </w:p>
    <w:p>
      <w:pPr>
        <w:spacing w:before="280" w:after="80" w:line="360" w:lineRule="auto"/>
      </w:pPr>
      <w:r>
        <w:rPr>
          <w:b/>
          <w:sz w:val="24"/>
        </w:rPr>
        <w:t>7. Predictions and falsification</w:t>
      </w:r>
    </w:p>
    <w:p>
      <w:pPr>
        <w:spacing w:line="480" w:lineRule="auto"/>
      </w:pPr>
      <w:r>
        <w:rPr>
          <w:i w:val="0"/>
          <w:sz w:val="22"/>
        </w:rPr>
        <w:t>The hypothesis is refuted by any of the following.</w:t>
      </w:r>
    </w:p>
    <w:p>
      <w:pPr>
        <w:spacing w:line="360" w:lineRule="auto" w:before="100"/>
      </w:pPr>
      <w:r>
        <w:rPr>
          <w:b/>
          <w:sz w:val="22"/>
        </w:rPr>
        <w:t xml:space="preserve">P1. Semantic processing in dying patients. </w:t>
      </w:r>
      <w:r>
        <w:rPr>
          <w:sz w:val="22"/>
        </w:rPr>
        <w:t>N400 responses to semantic mismatch, recorded in actively dying patients using the paradigm already validated in disorders of consciousness, should be present in a substantial minority. If they are absent in essentially all patients while tone-based responses persist, the verbal content of the intervention is irrelevant and only prosody and familiarity could matter.</w:t>
      </w:r>
    </w:p>
    <w:p>
      <w:pPr>
        <w:spacing w:line="360" w:lineRule="auto" w:before="100"/>
      </w:pPr>
      <w:r>
        <w:rPr>
          <w:b/>
          <w:sz w:val="22"/>
        </w:rPr>
        <w:t xml:space="preserve">P2. An arousal component to escalation. </w:t>
      </w:r>
      <w:r>
        <w:rPr>
          <w:sz w:val="22"/>
        </w:rPr>
        <w:t>Among patients matched for disease, site and nociceptive burden, those with lower vagally mediated heart rate variability should require larger opioid dose increments over the same interval. If dose trajectory is independent of autonomic state, the loop does not contribute materially and the proposal fails at its foundation.</w:t>
      </w:r>
    </w:p>
    <w:p>
      <w:pPr>
        <w:spacing w:line="360" w:lineRule="auto" w:before="100"/>
      </w:pPr>
      <w:r>
        <w:rPr>
          <w:b/>
          <w:sz w:val="22"/>
        </w:rPr>
        <w:t xml:space="preserve">P3. Auditory input moves autonomic state. </w:t>
      </w:r>
      <w:r>
        <w:rPr>
          <w:sz w:val="22"/>
        </w:rPr>
        <w:t>Structured verbal pacing delivered to unresponsive dying patients should produce a measurable increase in high-frequency heart rate variability relative to matched acoustic control, within minutes. This is the most directly testable prediction and requires no change to any treatment.</w:t>
      </w:r>
    </w:p>
    <w:p>
      <w:pPr>
        <w:spacing w:line="360" w:lineRule="auto" w:before="100"/>
      </w:pPr>
      <w:r>
        <w:rPr>
          <w:b/>
          <w:sz w:val="22"/>
        </w:rPr>
        <w:t xml:space="preserve">P4. Dose trajectory. </w:t>
      </w:r>
      <w:r>
        <w:rPr>
          <w:sz w:val="22"/>
        </w:rPr>
        <w:t>In a randomised comparison against an attention-matched control, the intervention arm should show a lower rate of dose escalation over 48 hours without any increase in observed distress scores. The model's bounded benefit means the expected effect is small; a trial powered for a large effect would fail for the wrong reason.</w:t>
      </w:r>
    </w:p>
    <w:p>
      <w:pPr>
        <w:spacing w:line="360" w:lineRule="auto" w:before="100"/>
      </w:pPr>
      <w:r>
        <w:rPr>
          <w:b/>
          <w:sz w:val="22"/>
        </w:rPr>
        <w:t xml:space="preserve">P5. Preserved responsiveness. </w:t>
      </w:r>
      <w:r>
        <w:rPr>
          <w:sz w:val="22"/>
        </w:rPr>
        <w:t>If the mechanism operates, the intervention arm should retain measurable responsiveness longer. This is the outcome that matters to families and the one the hypothesis exists to serve, and it should be reported whatever the dose result.</w:t>
      </w:r>
    </w:p>
    <w:p>
      <w:pPr>
        <w:spacing w:line="480" w:lineRule="auto"/>
        <w:ind w:firstLine="432"/>
      </w:pPr>
      <w:r>
        <w:rPr>
          <w:i w:val="0"/>
          <w:sz w:val="22"/>
        </w:rPr>
        <w:t>P3 is the decisive early test. It is non-invasive, requires no protocol deviation, and would be informative whichever way it resolved.</w:t>
      </w:r>
    </w:p>
    <w:p>
      <w:pPr>
        <w:spacing w:before="280" w:after="80" w:line="360" w:lineRule="auto"/>
      </w:pPr>
      <w:r>
        <w:rPr>
          <w:b/>
          <w:sz w:val="24"/>
        </w:rPr>
        <w:t>8. How this proposal could cause harm</w:t>
      </w:r>
    </w:p>
    <w:p>
      <w:pPr>
        <w:spacing w:line="480" w:lineRule="auto"/>
      </w:pPr>
      <w:r>
        <w:rPr>
          <w:i w:val="0"/>
          <w:sz w:val="22"/>
        </w:rPr>
        <w:t>A hypothesis whose practical implication is a smaller opioid dose in dying patients carries a specific and serious risk, and enumerating it is part of the proposal rather than a caveat appended to it.</w:t>
      </w:r>
    </w:p>
    <w:p>
      <w:pPr>
        <w:spacing w:line="360" w:lineRule="auto" w:before="100"/>
      </w:pPr>
      <w:r>
        <w:rPr>
          <w:b/>
          <w:sz w:val="22"/>
        </w:rPr>
        <w:t xml:space="preserve">Under-treatment of pain. </w:t>
      </w:r>
      <w:r>
        <w:rPr>
          <w:sz w:val="22"/>
        </w:rPr>
        <w:t>The principal danger is that the framework is read as a reason to withhold or delay analgesia in a patient who cannot report pain. Nothing here supports that. The proposal is adjunctive: the opioid is titrated to comfort exactly as it would otherwise be, and any reduction in requirement is an observed outcome, never a target to be pursued.</w:t>
      </w:r>
    </w:p>
    <w:p>
      <w:pPr>
        <w:spacing w:line="360" w:lineRule="auto" w:before="100"/>
      </w:pPr>
      <w:r>
        <w:rPr>
          <w:b/>
          <w:sz w:val="22"/>
        </w:rPr>
        <w:t xml:space="preserve">Misattribution of distress. </w:t>
      </w:r>
      <w:r>
        <w:rPr>
          <w:sz w:val="22"/>
        </w:rPr>
        <w:t>If a patient appears calmer because arousal has been damped while nociception is unchanged, observed distress scores could fall without the underlying pain changing. This is the failure mode most likely to cause harm and is the reason P4 specifies distress scores as a safety endpoint rather than an efficacy one.</w:t>
      </w:r>
    </w:p>
    <w:p>
      <w:pPr>
        <w:spacing w:line="360" w:lineRule="auto" w:before="100"/>
      </w:pPr>
      <w:r>
        <w:rPr>
          <w:b/>
          <w:sz w:val="22"/>
        </w:rPr>
        <w:t xml:space="preserve">Burden on the dying and on families. </w:t>
      </w:r>
      <w:r>
        <w:rPr>
          <w:sz w:val="22"/>
        </w:rPr>
        <w:t>Continuous verbal intervention at the bedside is not neutral. It occupies the room, may displace silence that families need, and may be experienced as intrusive by patients who cannot decline it. Consent cannot be obtained from an unresponsive patient, and advance preference should govern.</w:t>
      </w:r>
    </w:p>
    <w:p>
      <w:pPr>
        <w:spacing w:line="360" w:lineRule="auto" w:before="100"/>
      </w:pPr>
      <w:r>
        <w:rPr>
          <w:b/>
          <w:sz w:val="22"/>
        </w:rPr>
        <w:t xml:space="preserve">False reassurance. </w:t>
      </w:r>
      <w:r>
        <w:rPr>
          <w:sz w:val="22"/>
        </w:rPr>
        <w:t>Presenting an unproven adjunct as a way to preserve lucidity risks families attributing an unavoidable decline to insufficient effort, or declining adequate analgesia in hope of more time. The bounded benefit in Section 5 should be communicated as a bound, not as an expectation.</w:t>
      </w:r>
    </w:p>
    <w:p>
      <w:pPr>
        <w:spacing w:line="360" w:lineRule="auto" w:before="100"/>
      </w:pPr>
      <w:r>
        <w:rPr>
          <w:b/>
          <w:sz w:val="22"/>
        </w:rPr>
        <w:t xml:space="preserve">Displacement of established care. </w:t>
      </w:r>
      <w:r>
        <w:rPr>
          <w:sz w:val="22"/>
        </w:rPr>
        <w:t>Music therapy at the end of life has been systematically reviewed, with evidence judged insufficient for confident conclusions [16]. A new adjunct with weaker evidence should not compete for the same resources.</w:t>
      </w:r>
    </w:p>
    <w:p>
      <w:pPr>
        <w:spacing w:before="280" w:after="80" w:line="360" w:lineRule="auto"/>
      </w:pPr>
      <w:r>
        <w:rPr>
          <w:b/>
          <w:sz w:val="24"/>
        </w:rPr>
        <w:t>9. Relation to existing practice</w:t>
      </w:r>
    </w:p>
    <w:p>
      <w:pPr>
        <w:spacing w:line="480" w:lineRule="auto"/>
      </w:pPr>
      <w:r>
        <w:rPr>
          <w:i w:val="0"/>
          <w:sz w:val="22"/>
        </w:rPr>
        <w:t>Soothing speech, familiar voices and music are already part of good hospice practice, and hypnotherapy has been delivered to palliative patients for anxiety [17]. The claim here is narrower than 'sound helps'. It is that a specific, measurable autonomic pathway mediates the effect; that the relevant outcome is the trajectory of opioid requirement rather than a comfort score; and that the mechanism predicts a bounded, quantifiable benefit which can be tested and found absent. Existing practice is compatible with the hypothesis but does not test it, because it has not been paired with autonomic measurement or dose trajectory as endpoints.</w:t>
      </w:r>
    </w:p>
    <w:p>
      <w:pPr>
        <w:spacing w:before="280" w:after="80" w:line="360" w:lineRule="auto"/>
      </w:pPr>
      <w:r>
        <w:rPr>
          <w:b/>
          <w:sz w:val="24"/>
        </w:rPr>
        <w:t>10. Ethical statement</w:t>
      </w:r>
    </w:p>
    <w:p>
      <w:pPr>
        <w:spacing w:line="480" w:lineRule="auto"/>
      </w:pPr>
      <w:r>
        <w:rPr>
          <w:i w:val="0"/>
          <w:sz w:val="22"/>
        </w:rPr>
        <w:t>This is a conceptual hypothesis paper. No patient was studied, no data were collected, and no intervention described here has been tested in any population. Nothing in it constitutes clinical advice or a treatment recommendation, and nothing in it should delay, reduce or substitute for established palliative care, including adequate analgesia. Decisions about opioid dosing in dying patients are clinical judgements made at the bedside by those responsible for the patient. Any prospective evaluation would require research ethics approval with particular attention to consent by proxy, to the right to decline, and to safety monitoring for under-treated pain.</w:t>
      </w:r>
    </w:p>
    <w:p>
      <w:pPr>
        <w:spacing w:before="280" w:after="80" w:line="360" w:lineRule="auto"/>
      </w:pPr>
      <w:r>
        <w:rPr>
          <w:b/>
          <w:sz w:val="24"/>
        </w:rPr>
        <w:t>Declarations</w:t>
      </w:r>
    </w:p>
    <w:p>
      <w:pPr>
        <w:spacing w:line="480" w:lineRule="auto"/>
      </w:pPr>
      <w:r>
        <w:rPr>
          <w:i w:val="0"/>
          <w:sz w:val="22"/>
        </w:rPr>
        <w:t>Funding. This work received no external funding.</w:t>
      </w:r>
    </w:p>
    <w:p>
      <w:pPr>
        <w:spacing w:line="480" w:lineRule="auto"/>
      </w:pPr>
      <w:r>
        <w:rPr>
          <w:i w:val="0"/>
          <w:sz w:val="22"/>
        </w:rPr>
        <w:t>Competing interests. The author declares no competing interests.</w:t>
      </w:r>
    </w:p>
    <w:p>
      <w:pPr>
        <w:spacing w:line="480" w:lineRule="auto"/>
      </w:pPr>
      <w:r>
        <w:rPr>
          <w:i w:val="0"/>
          <w:sz w:val="22"/>
        </w:rPr>
        <w:t>Data availability. The model implementation, parameter set and figure generators are openly available at https://github.com/sandlerleon/auditory-cardiac-model and archived at https://doi.org/10.5281/zenodo.22860430. Running escalation_model.py followed by make_figures.py reproduces every number and figure. This manuscript is deposited at https://doi.org/10.5281/zenodo.22860432. Both are concept DOIs and resolve to the current version. No patient data were generated or analysed.</w:t>
      </w:r>
    </w:p>
    <w:p>
      <w:pPr>
        <w:spacing w:line="480" w:lineRule="auto"/>
      </w:pPr>
      <w:r>
        <w:rPr>
          <w:i w:val="0"/>
          <w:sz w:val="22"/>
        </w:rPr>
        <w:t>Use of generative artificial intelligence. During the preparation of this work the author used Claude (Anthropic) to assist with literature synthesis, model implementation and drafting. The author reviewed and edited all content, verified every cited reference against Crossref, and takes full responsibility for the publication. No generative AI tool is listed as an author and none was used to produce or alter data.</w:t>
      </w:r>
    </w:p>
    <w:p>
      <w:pPr>
        <w:spacing w:before="280" w:after="80" w:line="360" w:lineRule="auto"/>
      </w:pPr>
      <w:r>
        <w:rPr>
          <w:b/>
          <w:sz w:val="24"/>
        </w:rPr>
        <w:t>References</w:t>
      </w:r>
    </w:p>
    <w:p>
      <w:pPr>
        <w:spacing w:line="360" w:lineRule="auto" w:after="60"/>
        <w:ind w:left="504" w:hanging="504"/>
      </w:pPr>
      <w:r>
        <w:rPr>
          <w:sz w:val="19"/>
        </w:rPr>
        <w:t>[1] Hodgkinson S, Ruegger J, Field-Smith A, Latchem S, Ahmedzai SH. Care of dying adults in the last days of life. Clinical Medicine 2016;16:254-258. https://doi.org/10.7861/clinmedicine.16-3-254</w:t>
      </w:r>
    </w:p>
    <w:p>
      <w:pPr>
        <w:spacing w:line="360" w:lineRule="auto" w:after="60"/>
        <w:ind w:left="504" w:hanging="504"/>
      </w:pPr>
      <w:r>
        <w:rPr>
          <w:sz w:val="19"/>
        </w:rPr>
        <w:t>[2] Barnes H, McDonald J, Smallwood N, Manser R. Opioids for the palliation of refractory breathlessness in adults with advanced disease and terminal illness. Cochrane Database of Systematic Reviews 2016;2019. https://doi.org/10.1002/14651858.cd011008.pub2</w:t>
      </w:r>
    </w:p>
    <w:p>
      <w:pPr>
        <w:spacing w:line="360" w:lineRule="auto" w:after="60"/>
        <w:ind w:left="504" w:hanging="504"/>
      </w:pPr>
      <w:r>
        <w:rPr>
          <w:sz w:val="19"/>
        </w:rPr>
        <w:t>[3] Le Bihan A, Bridge S, Hedges V. Opioid-induced neurotoxicity in palliative medicine: a rapid review. BMJ Supportive &amp;amp; Palliative Care 2026;:spcare-2025-006002. https://doi.org/10.1136/spcare-2025-006002</w:t>
      </w:r>
    </w:p>
    <w:p>
      <w:pPr>
        <w:spacing w:line="360" w:lineRule="auto" w:after="60"/>
        <w:ind w:left="504" w:hanging="504"/>
      </w:pPr>
      <w:r>
        <w:rPr>
          <w:sz w:val="19"/>
        </w:rPr>
        <w:t>[4] Smith M. Neuroexcitatory Effects Of Morphine And Hydromorphone: Evidence Implicating The 3‐Glucuronide Metabolites. Clinical and Experimental Pharmacology and Physiology 2000;27:524-528. https://doi.org/10.1046/j.1440-1681.2000.03290.x</w:t>
      </w:r>
    </w:p>
    <w:p>
      <w:pPr>
        <w:spacing w:line="360" w:lineRule="auto" w:after="60"/>
        <w:ind w:left="504" w:hanging="504"/>
      </w:pPr>
      <w:r>
        <w:rPr>
          <w:sz w:val="19"/>
        </w:rPr>
        <w:t>[5] Hemstapat K, Smith SA, Monteith GR, Smith MT. The Neuroexcitatory Morphine Metabolite, Morphine‐3‐glucuronide (M3G), is not Neurotoxic in Primary Cultures of either Hippocampal or Cerebellar Granule Neurones. Pharmacology &amp;amp; Toxicology 2003;93:197-200. https://doi.org/10.1034/j.1600-0773.2003.930408.x</w:t>
      </w:r>
    </w:p>
    <w:p>
      <w:pPr>
        <w:spacing w:line="360" w:lineRule="auto" w:after="60"/>
        <w:ind w:left="504" w:hanging="504"/>
      </w:pPr>
      <w:r>
        <w:rPr>
          <w:sz w:val="19"/>
        </w:rPr>
        <w:t>[6] Kraus N, Chandrasekaran B. Music training for the development of auditory skills. Nature Reviews Neuroscience 2010;11:599-605. https://doi.org/10.1038/nrn2882</w:t>
      </w:r>
    </w:p>
    <w:p>
      <w:pPr>
        <w:spacing w:line="360" w:lineRule="auto" w:after="60"/>
        <w:ind w:left="504" w:hanging="504"/>
      </w:pPr>
      <w:r>
        <w:rPr>
          <w:sz w:val="19"/>
        </w:rPr>
        <w:t>[7] Blundon EG, Gallagher RE, Ward LM. Electrophysiological evidence of preserved hearing at the end of life. Scientific Reports 2020;10. https://doi.org/10.1038/s41598-020-67234-9</w:t>
      </w:r>
    </w:p>
    <w:p>
      <w:pPr>
        <w:spacing w:line="360" w:lineRule="auto" w:after="60"/>
        <w:ind w:left="504" w:hanging="504"/>
      </w:pPr>
      <w:r>
        <w:rPr>
          <w:sz w:val="19"/>
        </w:rPr>
        <w:t>[8] Steppacher I, Eickhoff S, Jordanov T, Kaps M, Witzke W, Kissler J. N400 predicts recovery from disorders of consciousness. Annals of Neurology 2013;73:594-602. https://doi.org/10.1002/ana.23835</w:t>
      </w:r>
    </w:p>
    <w:p>
      <w:pPr>
        <w:spacing w:line="360" w:lineRule="auto" w:after="60"/>
        <w:ind w:left="504" w:hanging="504"/>
      </w:pPr>
      <w:r>
        <w:rPr>
          <w:sz w:val="19"/>
        </w:rPr>
        <w:t>[9] Thayer JF, Lane RD. Claude Bernard and the heart–brain connection: Further elaboration of a model of neurovisceral integration. Neuroscience &amp;amp; Biobehavioral Reviews 2009;33:81-88. https://doi.org/10.1016/j.neubiorev.2008.08.004</w:t>
      </w:r>
    </w:p>
    <w:p>
      <w:pPr>
        <w:spacing w:line="360" w:lineRule="auto" w:after="60"/>
        <w:ind w:left="504" w:hanging="504"/>
      </w:pPr>
      <w:r>
        <w:rPr>
          <w:sz w:val="19"/>
        </w:rPr>
        <w:t>[10] Critchley HD, Wiens S, Rotshtein P, Öhman A, Dolan RJ. Neural systems supporting interoceptive awareness. Nature Neuroscience 2004;7:189-195. https://doi.org/10.1038/nn1176</w:t>
      </w:r>
    </w:p>
    <w:p>
      <w:pPr>
        <w:spacing w:line="360" w:lineRule="auto" w:after="60"/>
        <w:ind w:left="504" w:hanging="504"/>
      </w:pPr>
      <w:r>
        <w:rPr>
          <w:sz w:val="19"/>
        </w:rPr>
        <w:t>[11] Rainville P, Duncan GH, Price DD, Carrier B, Bushnell MC. Pain Affect Encoded in Human Anterior Cingulate But Not Somatosensory Cortex. Science 1997;277:968-971. https://doi.org/10.1126/science.277.5328.968</w:t>
      </w:r>
    </w:p>
    <w:p>
      <w:pPr>
        <w:spacing w:line="360" w:lineRule="auto" w:after="60"/>
        <w:ind w:left="504" w:hanging="504"/>
      </w:pPr>
      <w:r>
        <w:rPr>
          <w:sz w:val="19"/>
        </w:rPr>
        <w:t>[12] Montgomery GH, Duhamel KN, Redd WH. A meta-analysis of hypnotically induced analgesia: How effective is hypnosis?. International Journal of Clinical and Experimental Hypnosis 2000;48:138-153. https://doi.org/10.1080/00207140008410045</w:t>
      </w:r>
    </w:p>
    <w:p>
      <w:pPr>
        <w:spacing w:line="360" w:lineRule="auto" w:after="60"/>
        <w:ind w:left="504" w:hanging="504"/>
      </w:pPr>
      <w:r>
        <w:rPr>
          <w:sz w:val="19"/>
        </w:rPr>
        <w:t>[13] Jensen MP, Patterson DR. Hypnotic approaches for chronic pain management: Clinical implications of recent research findings.. American Psychologist 2014;69:167-177. https://doi.org/10.1037/a0035644</w:t>
      </w:r>
    </w:p>
    <w:p>
      <w:pPr>
        <w:spacing w:line="360" w:lineRule="auto" w:after="60"/>
        <w:ind w:left="504" w:hanging="504"/>
      </w:pPr>
      <w:r>
        <w:rPr>
          <w:sz w:val="19"/>
        </w:rPr>
        <w:t>[14] Faymonville EM, Mambourg HP, Joris J, Vrijens B, Fissette J, Albert A, et al.. Psychological approaches during conscious sedation. Hypnosis versus stress reducing strategies: a prospective randomized study. Pain 1997;73:361-367. https://doi.org/10.1016/s0304-3959(97)00122-x</w:t>
      </w:r>
    </w:p>
    <w:p>
      <w:pPr>
        <w:spacing w:line="360" w:lineRule="auto" w:after="60"/>
        <w:ind w:left="504" w:hanging="504"/>
      </w:pPr>
      <w:r>
        <w:rPr>
          <w:sz w:val="19"/>
        </w:rPr>
        <w:t>[15] Woolf CJ. Central sensitization: Implications for the diagnosis and treatment of pain. Pain 2011;152:S2-S15. https://doi.org/10.1016/j.pain.2010.09.030</w:t>
      </w:r>
    </w:p>
    <w:p>
      <w:pPr>
        <w:spacing w:line="360" w:lineRule="auto" w:after="60"/>
        <w:ind w:left="504" w:hanging="504"/>
      </w:pPr>
      <w:r>
        <w:rPr>
          <w:sz w:val="19"/>
        </w:rPr>
        <w:t>[16] Bradt J, Dileo C. Music therapy for end-of-life care. Cochrane Database of Systematic Reviews 2014;2019. https://doi.org/10.1002/14651858.cd007169.pub3</w:t>
      </w:r>
    </w:p>
    <w:p>
      <w:pPr>
        <w:spacing w:line="360" w:lineRule="auto" w:after="60"/>
        <w:ind w:left="504" w:hanging="504"/>
      </w:pPr>
      <w:r>
        <w:rPr>
          <w:sz w:val="19"/>
        </w:rPr>
        <w:t>[17] Plaskota M, Lucas C, Evans R, Pizzoferro K, Saini T, Cook K. A hypnotherapy intervention for the treatment of anxiety in patients with cancer receiving palliative care. International Journal of Palliative Nursing 2012;18:69-75. https://doi.org/10.12968/ijpn.2012.18.2.69</w:t>
      </w:r>
    </w:p>
    <w:sectPr w:rsidR="00FC693F" w:rsidRPr="0006063C" w:rsidSect="00034616">
      <w:pgSz w:w="12240" w:h="15840"/>
      <w:pgMar w:top="1440" w:right="1440" w:bottom="1440" w:left="1440" w:header="720" w:footer="720" w:gutter="0"/>
      <w:lnNumType w:countBy="1" w:start="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