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sz w:val="21"/>
        </w:rPr>
        <w:t>Leon Sandler</w:t>
      </w:r>
    </w:p>
    <w:p>
      <w:pPr>
        <w:spacing w:after="0"/>
      </w:pPr>
      <w:r>
        <w:rPr>
          <w:b w:val="0"/>
          <w:sz w:val="21"/>
        </w:rPr>
        <w:t>Independent Researcher</w:t>
      </w:r>
    </w:p>
    <w:p>
      <w:pPr>
        <w:spacing w:after="0"/>
      </w:pPr>
      <w:r>
        <w:rPr>
          <w:b w:val="0"/>
          <w:sz w:val="21"/>
        </w:rPr>
        <w:t>Northbrook, Illinois 60062, United States</w:t>
      </w:r>
    </w:p>
    <w:p>
      <w:pPr>
        <w:spacing w:after="280"/>
      </w:pPr>
      <w:r>
        <w:rPr>
          <w:b w:val="0"/>
          <w:sz w:val="21"/>
        </w:rPr>
        <w:t>sandler.leon@gmail.com | ORCID 0009-0007-4584-808X</w:t>
      </w:r>
    </w:p>
    <w:p>
      <w:pPr>
        <w:spacing w:after="0"/>
      </w:pPr>
      <w:r>
        <w:rPr>
          <w:b w:val="0"/>
          <w:sz w:val="21"/>
        </w:rPr>
        <w:t>The Editors</w:t>
      </w:r>
    </w:p>
    <w:p>
      <w:pPr>
        <w:spacing w:after="280"/>
      </w:pPr>
      <w:r>
        <w:rPr>
          <w:b w:val="0"/>
          <w:sz w:val="21"/>
        </w:rPr>
        <w:t>Medical Hypotheses</w:t>
      </w:r>
    </w:p>
    <w:p>
      <w:pPr>
        <w:spacing w:after="200"/>
      </w:pPr>
      <w:r>
        <w:rPr>
          <w:b w:val="0"/>
          <w:sz w:val="22"/>
        </w:rPr>
        <w:t>Dear Editors,</w:t>
      </w:r>
    </w:p>
    <w:p>
      <w:pPr>
        <w:spacing w:after="200"/>
      </w:pPr>
      <w:r>
        <w:rPr>
          <w:b w:val="0"/>
          <w:sz w:val="22"/>
        </w:rPr>
        <w:t>I am submitting “The auditory–cardiac channel in the last days of life: a neurovisceral hypothesis for modulating opioid escalation” for consideration as a hypothesis paper.</w:t>
      </w:r>
    </w:p>
    <w:p>
      <w:pPr>
        <w:spacing w:after="200"/>
      </w:pPr>
      <w:r>
        <w:rPr>
          <w:b w:val="0"/>
          <w:sz w:val="22"/>
        </w:rPr>
        <w:t>The clinical observation behind it is ordinary and, I think, under-theorised. In the last days of life, opioid infusion is commonly titrated against observed signs of distress, but those signs may reflect nociception, autonomic arousal, delirium or opioid-related neurotoxicity, and bedside signs alone may not distinguish too little drug from too much. The paper asks whether part of the resulting escalation has an arousal component that could be reached without drugs.</w:t>
      </w:r>
    </w:p>
    <w:p>
      <w:pPr>
        <w:spacing w:after="80"/>
      </w:pPr>
      <w:r>
        <w:rPr>
          <w:b/>
          <w:sz w:val="22"/>
        </w:rPr>
        <w:t>The hypothesis</w:t>
      </w:r>
    </w:p>
    <w:p>
      <w:pPr>
        <w:spacing w:after="200"/>
      </w:pPr>
      <w:r>
        <w:rPr>
          <w:b w:val="0"/>
          <w:sz w:val="22"/>
        </w:rPr>
        <w:t>I propose that a component of that escalation is driven by a self-reinforcing loop between autonomic arousal and perceived distress rather than by nociception alone, and that the loop may be reachable through hearing, since auditory processing appears to persist when other channels have failed. The paper separates what is established from what is hypothesised and what is untested, states the evidentiary standing of every link in a table, and analyses a minimal, fully specified model of the loop.</w:t>
      </w:r>
    </w:p>
    <w:p>
      <w:pPr>
        <w:spacing w:after="80"/>
      </w:pPr>
      <w:r>
        <w:rPr>
          <w:b/>
          <w:sz w:val="22"/>
        </w:rPr>
        <w:t>Why I think it is worth publishing</w:t>
      </w:r>
    </w:p>
    <w:p>
      <w:pPr>
        <w:pStyle w:val="ListBullet"/>
        <w:spacing w:after="120"/>
      </w:pPr>
      <w:r>
        <w:rPr>
          <w:sz w:val="22"/>
        </w:rPr>
        <w:t>It makes the mechanism quantitative rather than gestural. The model says the intervention would postpone the neurotoxic threshold by roughly 6 hours at modest strength, with a hard ceiling near 35 hours, and would never prevent the crossing at any strength; a one-at-a-time sensitivity analysis over all eleven parameters leaves that conclusion intact. A bounded, unflattering prediction is more useful than an open-ended claim, and it is what makes the hypothesis refutable.</w:t>
      </w:r>
    </w:p>
    <w:p>
      <w:pPr>
        <w:pStyle w:val="ListBullet"/>
        <w:spacing w:after="120"/>
      </w:pPr>
      <w:r>
        <w:rPr>
          <w:sz w:val="22"/>
        </w:rPr>
        <w:t>It separates what is known from what is proposed. Auditory responses persist in dying patients and semantic processing survives unresponsiveness in other populations, but no study has shown semantic processing in actively dying patients. Popular accounts routinely conflate these. I have made the conflated claim the paper's primary prediction instead of its premise.</w:t>
      </w:r>
    </w:p>
    <w:p>
      <w:pPr>
        <w:pStyle w:val="ListBullet"/>
        <w:spacing w:after="120"/>
      </w:pPr>
      <w:r>
        <w:rPr>
          <w:sz w:val="22"/>
        </w:rPr>
        <w:t>It states how it could cause harm. The practical implication of this hypothesis is a smaller opioid dose in patients who cannot report pain, which is a dangerous thing to propose casually. Section 8 enumerates the failure modes, and the paper is explicit that the proposal is adjunctive and that dose reduction is an outcome to be observed, never a target.</w:t>
      </w:r>
    </w:p>
    <w:p>
      <w:pPr>
        <w:pStyle w:val="ListBullet"/>
        <w:spacing w:after="120"/>
      </w:pPr>
      <w:r>
        <w:rPr>
          <w:sz w:val="22"/>
        </w:rPr>
        <w:t>The decisive early test is cheap and non-invasive. Whether structured verbal input measurably raises high-frequency heart rate variability in unresponsive dying patients requires no protocol deviation and would be informative whichever way it resolved. The paper sets out the measurement limits in this population (arrhythmia, respiration, medication, signal quality) and a within-patient design that allows for them.</w:t>
      </w:r>
    </w:p>
    <w:p>
      <w:pPr>
        <w:spacing w:after="80"/>
      </w:pPr>
      <w:r>
        <w:rPr>
          <w:b/>
          <w:sz w:val="22"/>
        </w:rPr>
        <w:t>Openness</w:t>
      </w:r>
    </w:p>
    <w:p>
      <w:pPr>
        <w:spacing w:after="200"/>
      </w:pPr>
      <w:r>
        <w:rPr>
          <w:b w:val="0"/>
          <w:sz w:val="22"/>
        </w:rPr>
        <w:t>The model implementation, parameter set and figure generators are openly available at https://github.com/sandlerleon/auditory-cardiac-model and archived at https://doi.org/10.5281/zenodo.22860430; the manuscript is deposited at https://doi.org/10.5281/zenodo.22860432. Every number in the paper is read programmatically from the model output rather than transcribed, and every reference was verified against its source. The two figures are supplied as separate 300-dpi files as well as embedded in the manuscript.</w:t>
      </w:r>
    </w:p>
    <w:p>
      <w:pPr>
        <w:spacing w:after="80"/>
      </w:pPr>
      <w:r>
        <w:rPr>
          <w:b/>
          <w:sz w:val="22"/>
        </w:rPr>
        <w:t>Declarations</w:t>
      </w:r>
    </w:p>
    <w:p>
      <w:pPr>
        <w:spacing w:after="200"/>
      </w:pPr>
      <w:r>
        <w:rPr>
          <w:b w:val="0"/>
          <w:sz w:val="22"/>
        </w:rPr>
        <w:t>This manuscript is original, is not under consideration elsewhere, and has not been published previously other than as the archived preprint noted above. I am the sole author, I have no competing interests, and the work received no external funding. It is entirely theoretical: no patient was studied and no data were collected. Generative AI (Claude, Anthropic) was used to assist with literature synthesis, model implementation and drafting; I reviewed and edited all content, verified every reference, and take full responsibility for the manuscript, as stated in its declaration of generative AI and AI-assisted technologies.</w:t>
      </w:r>
    </w:p>
    <w:p>
      <w:pPr>
        <w:spacing w:after="280"/>
      </w:pPr>
      <w:r>
        <w:rPr>
          <w:b w:val="0"/>
          <w:sz w:val="22"/>
        </w:rPr>
        <w:t>Thank you for considering it.</w:t>
      </w:r>
    </w:p>
    <w:p>
      <w:pPr>
        <w:spacing w:after="0"/>
      </w:pPr>
      <w:r>
        <w:rPr>
          <w:b w:val="0"/>
          <w:sz w:val="22"/>
        </w:rPr>
        <w:t>Yours sincerely,</w:t>
      </w:r>
    </w:p>
    <w:p>
      <w:pPr>
        <w:spacing w:after="0"/>
      </w:pPr>
      <w:r>
        <w:rPr>
          <w:b w:val="0"/>
          <w:sz w:val="22"/>
        </w:rPr>
        <w:t>Leon Sandler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