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rPr>
        <w:t>Leon Sandler</w:t>
      </w:r>
    </w:p>
    <w:p>
      <w:pPr>
        <w:keepNext w:val="0"/>
        <w:spacing w:after="0"/>
      </w:pPr>
      <w:r>
        <w:t>Independent Researcher</w:t>
      </w:r>
    </w:p>
    <w:p>
      <w:pPr>
        <w:keepNext w:val="0"/>
        <w:spacing w:after="0"/>
      </w:pPr>
      <w:r>
        <w:t>Northbrook, Illinois, USA</w:t>
      </w:r>
    </w:p>
    <w:p>
      <w:pPr>
        <w:keepNext w:val="0"/>
        <w:spacing w:after="200"/>
      </w:pPr>
      <w:r>
        <w:t>sandler.leon@gmail.com | ORCID 0009-0007-4584-808X</w:t>
      </w:r>
    </w:p>
    <w:p>
      <w:pPr>
        <w:keepNext w:val="0"/>
        <w:spacing w:after="200"/>
      </w:pPr>
      <w:r>
        <w:t>2 October 2026</w:t>
      </w:r>
    </w:p>
    <w:p>
      <w:pPr>
        <w:keepNext w:val="0"/>
        <w:spacing w:after="0"/>
      </w:pPr>
      <w:r>
        <w:t>The Editor-in-Chief</w:t>
      </w:r>
    </w:p>
    <w:p>
      <w:pPr>
        <w:keepNext w:val="0"/>
        <w:spacing w:after="200"/>
      </w:pPr>
      <w:r>
        <w:rPr>
          <w:i/>
        </w:rPr>
        <w:t>Cellulose</w:t>
      </w:r>
    </w:p>
    <w:p>
      <w:pPr>
        <w:keepNext w:val="0"/>
        <w:spacing w:after="160"/>
      </w:pPr>
      <w:r>
        <w:rPr>
          <w:b/>
        </w:rPr>
        <w:t>Submission: Toward transparent rigid packaging from sugarcane bagasse: a consistency-testing framework for nanocellulose–chitosan sheets</w:t>
      </w:r>
    </w:p>
    <w:p>
      <w:pPr>
        <w:keepNext w:val="0"/>
        <w:spacing w:after="120"/>
      </w:pPr>
      <w:r>
        <w:t>Dear Editor,</w:t>
      </w:r>
    </w:p>
    <w:p>
      <w:pPr>
        <w:keepNext w:val="0"/>
        <w:jc w:val="both"/>
      </w:pPr>
      <w:r>
        <w:t xml:space="preserve">I submit the above manuscript as an original research article, theoretical and computational in kind, for consideration in </w:t>
      </w:r>
      <w:r>
        <w:rPr>
          <w:i/>
        </w:rPr>
        <w:t>Cellulose</w:t>
      </w:r>
      <w:r>
        <w:t>. It concerns a question the journal’s readers will recognise: dense cellulose nanofibril and nanocrystal sheets are transparent as flat films, but can transparency, wet stiffness and a three-dimensional shape coexist in a single agricultural-residue-derived package wall? The literature demonstrates each property separately, mostly on flat films, and records one failure at the package scale: wet-moulded CNF objects were not transparent or dimensionally stable because of drying shrinkage. I treat the question as a consistency test, checking each requirement against what the literature supports or against a physical bound and allowing the answer to be no.</w:t>
      </w:r>
    </w:p>
    <w:p>
      <w:pPr>
        <w:keepNext w:val="0"/>
        <w:jc w:val="both"/>
      </w:pPr>
      <w:r>
        <w:rPr>
          <w:b/>
        </w:rPr>
        <w:t>No experiments are reported, and I make no claim that the proposed material works.</w:t>
      </w:r>
      <w:r>
        <w:t xml:space="preserve"> The contribution is a set of quantitative constraints and a statement of which measurements would resolve the uncertainty that remains:</w:t>
      </w:r>
    </w:p>
    <w:p>
      <w:pPr>
        <w:pStyle w:val="ListBullet"/>
        <w:spacing w:after="60"/>
      </w:pPr>
      <w:r>
        <w:rPr>
          <w:b/>
        </w:rPr>
        <w:t>An optical screen with a derived scattering prefactor.</w:t>
      </w:r>
      <w:r>
        <w:t xml:space="preserve"> Debye–Bueche scattering theory gives the bulk haze of a dense nanofibril wall without a fitted constant. Under the stated assumptions, a 100 µm wall at 10% haze and 5% voids needs a correlation length of about 10 nm or less. The screen does not by itself reproduce the haze of published clear nanopaper, and the manuscript tests what could close the gap (rough surfaces, a coarse residual population) rather than hiding it.</w:t>
      </w:r>
    </w:p>
    <w:p>
      <w:pPr>
        <w:pStyle w:val="ListBullet"/>
        <w:spacing w:after="60"/>
      </w:pPr>
      <w:r>
        <w:rPr>
          <w:b/>
        </w:rPr>
        <w:t>A wet-stiffness screen.</w:t>
      </w:r>
      <w:r>
        <w:t xml:space="preserve"> Chitosan’s modelled benefit is carried mainly by physical cross-linking (median gain +1.1 GPa with it, -0.1 GPa without) and is small and of uncertain sign in an acidic liquid.</w:t>
      </w:r>
    </w:p>
    <w:p>
      <w:pPr>
        <w:pStyle w:val="ListBullet"/>
        <w:spacing w:after="60"/>
      </w:pPr>
      <w:r>
        <w:rPr>
          <w:b/>
        </w:rPr>
        <w:t>A forming screen showing that geometry sets the burden.</w:t>
      </w:r>
      <w:r>
        <w:t xml:space="preserve"> A tray, bowl and cup need total strain tolerances of 0.26, 0.67 and 1.10; no combination of the assumed ranges forms the cup (best case 0.96), which would need a flange wrinkling strain above 0.64. The result is stated for drawing a flat sheet and is not claimed as a universal impossibility.</w:t>
      </w:r>
    </w:p>
    <w:p>
      <w:pPr>
        <w:pStyle w:val="ListBullet"/>
        <w:spacing w:after="60"/>
      </w:pPr>
      <w:r>
        <w:rPr>
          <w:b/>
        </w:rPr>
        <w:t>What only the combination returns.</w:t>
      </w:r>
      <w:r>
        <w:t xml:space="preserve"> Stiffness fixes a minimum wall thickness and thickness fixes the haze, so the liquid the package must resist changes the optical budget (median minimum thickness 75 µm in a neutral liquid, 99 µm in an acidic one). A wax layer applied before forming narrows the forming window of the shallowest geometry. Neither follows from a single screen.</w:t>
      </w:r>
    </w:p>
    <w:p>
      <w:pPr>
        <w:pStyle w:val="ListBullet"/>
        <w:spacing w:after="60"/>
      </w:pPr>
      <w:r>
        <w:rPr>
          <w:b/>
        </w:rPr>
        <w:t>A ranking of the unknowns</w:t>
      </w:r>
      <w:r>
        <w:t xml:space="preserve"> by influence, and falsifiable predictions with numerical thresholds, so that the first measurements are the informative ones.</w:t>
      </w:r>
    </w:p>
    <w:p>
      <w:pPr>
        <w:keepNext w:val="0"/>
        <w:jc w:val="both"/>
      </w:pPr>
      <w:r>
        <w:t>The work is deliberately candid about its limits. Eleven of nineteen parameter ranges are assumptions and are labelled as such, and the analysis was repeated under seven prior schemes to separate what is robust (the thresholds, the cup bound and the ordering of the cases) from what is not (the pass shares, which move by tens of percentage points). Liquid containment is untested, so every feasibility result is presented as provisional. The code is checked against independent limits (58 automated verification checks passed; these check the implementation and are not experimental validation), and every reference was resolved against its Crossref record by script and audited again before submission. In doing so I found that all three transparency references in an earlier draft were misattributed; they are corrected. Statements of absence, for example that no transparent formed nanocellulose wall has been reported, rest on documented searches that are included in the Supplementary Information.</w:t>
      </w:r>
    </w:p>
    <w:p>
      <w:pPr>
        <w:keepNext w:val="0"/>
        <w:jc w:val="both"/>
      </w:pPr>
      <w:r>
        <w:t>I recognise that a study without experiments sits at the edge of what the journal usually publishes. I have therefore written it so that its value does not depend on the proposed material working: it defines thresholds that an experimenter can test, and it identifies where feasibility fails under stated assumptions. If the Editor considers another article type more suitable, I would welcome guidance.</w:t>
      </w:r>
    </w:p>
    <w:p>
      <w:pPr>
        <w:keepNext w:val="0"/>
        <w:jc w:val="both"/>
      </w:pPr>
      <w:r>
        <w:rPr>
          <w:b/>
        </w:rPr>
        <w:t>Data and code.</w:t>
      </w:r>
      <w:r>
        <w:t xml:space="preserve"> The model, verification suite, figure scripts, the numerical tables behind the figures, reference-checking tooling and search log are openly available at https://github.com/sandlerleon/bagasse-cnf-chitosan-framework (MIT licence) and archived on Zenodo, https://doi.org/10.5281/zenodo.23111544. The manuscript and Supplementary Information are archived as a preprint, https://doi.org/10.5281/zenodo.23111546.</w:t>
      </w:r>
    </w:p>
    <w:p>
      <w:pPr>
        <w:keepNext w:val="0"/>
        <w:jc w:val="both"/>
      </w:pPr>
      <w:r>
        <w:rPr>
          <w:b/>
        </w:rPr>
        <w:t>Declarations.</w:t>
      </w:r>
      <w:r>
        <w:t xml:space="preserve"> The manuscript is original, has not been published elsewhere other than as the preprint noted above, and is not under consideration at any other journal. I am the sole author and approve the submission. I have no competing interests, and the work received no external funding. Generative AI (Claude, Anthropic) was used as an assistive tool for code drafting, code review, figure-script drafting, literature-record retrieval scripts and language editing, as documented in the Methods (Section 5.5). I defined the research question, requirements and assumptions, directed the workflow and the verification criteria, reviewed the interpretation of the literature and approved all conclusions. No AI-generated data, references or conclusions were accepted without my verification, and I take full responsibility for the accuracy, integrity and interpretation of the work.</w:t>
      </w:r>
    </w:p>
    <w:p>
      <w:pPr>
        <w:keepNext w:val="0"/>
        <w:spacing w:after="160"/>
      </w:pPr>
      <w:r>
        <w:t>Thank you for considering the manuscript.</w:t>
      </w:r>
    </w:p>
    <w:p>
      <w:pPr>
        <w:keepNext w:val="0"/>
        <w:spacing w:after="40"/>
      </w:pPr>
      <w:r>
        <w:t>Yours sincerely,</w:t>
      </w:r>
    </w:p>
    <w:p>
      <w:pPr>
        <w:keepNext w:val="0"/>
      </w:pPr>
      <w: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