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jc w:val="start"/>
        <w:rPr/>
      </w:pPr>
      <w:r>
        <w:rPr>
          <w:rFonts w:eastAsia="Times New Roman" w:cs="Times New Roman"/>
          <w:b/>
          <w:bCs/>
          <w:lang w:val="en-US"/>
        </w:rPr>
        <w:t>Article type:</w:t>
      </w:r>
      <w:r>
        <w:rPr>
          <w:rFonts w:eastAsia="Times New Roman" w:cs="Times New Roman"/>
          <w:lang w:val="en-US"/>
        </w:rPr>
        <w:t xml:space="preserve"> Controversy, Concepts, and Hypotheses in Epilepsy (hypothesis article; no new experimental data).</w:t>
      </w:r>
    </w:p>
    <w:p>
      <w:pPr>
        <w:pStyle w:val="Normal"/>
        <w:spacing w:lineRule="auto" w:line="276" w:before="0" w:after="200"/>
        <w:jc w:val="start"/>
        <w:rPr/>
      </w:pPr>
      <w:r>
        <w:rPr>
          <w:rFonts w:eastAsia="Times New Roman" w:cs="Times New Roman"/>
          <w:b/>
          <w:bCs/>
          <w:sz w:val="28"/>
          <w:szCs w:val="28"/>
          <w:lang w:val="en-US"/>
        </w:rPr>
        <w:t>Title:</w:t>
      </w:r>
      <w:r>
        <w:rPr>
          <w:rFonts w:eastAsia="Times New Roman" w:cs="Times New Roman"/>
          <w:sz w:val="28"/>
          <w:szCs w:val="28"/>
          <w:lang w:val="en-US"/>
        </w:rPr>
        <w:t xml:space="preserve"> Can Chronic Caffeine Exposure Increase Adenosine A₁ Receptor Reserve and Seizure Threshold? A Testable Hypothesis</w:t>
      </w:r>
    </w:p>
    <w:p>
      <w:pPr>
        <w:pStyle w:val="Normal"/>
        <w:spacing w:lineRule="auto" w:line="276" w:before="0" w:after="200"/>
        <w:jc w:val="start"/>
        <w:rPr/>
      </w:pPr>
      <w:r>
        <w:rPr>
          <w:rFonts w:eastAsia="Times New Roman" w:cs="Times New Roman"/>
          <w:b/>
          <w:bCs/>
          <w:lang w:val="en-US"/>
        </w:rPr>
        <w:t>Running title:</w:t>
      </w:r>
      <w:r>
        <w:rPr>
          <w:rFonts w:eastAsia="Times New Roman" w:cs="Times New Roman"/>
          <w:lang w:val="en-US"/>
        </w:rPr>
        <w:t xml:space="preserve"> Caffeine adaptation and seizure threshold</w:t>
      </w:r>
    </w:p>
    <w:p>
      <w:pPr>
        <w:pStyle w:val="Normal"/>
        <w:spacing w:lineRule="auto" w:line="276" w:before="0" w:after="200"/>
        <w:jc w:val="start"/>
        <w:rPr/>
      </w:pPr>
      <w:r>
        <w:rPr>
          <w:rFonts w:eastAsia="Times New Roman" w:cs="Times New Roman"/>
          <w:b/>
          <w:bCs/>
          <w:lang w:val="en-US"/>
        </w:rPr>
        <w:t>Author: Leon Sandler, Independent Researcher, Northbrook, Illinois 60062, USA. ORCID 0009-0007-4584-808X. Corresponding author: sandler.leon@gmail.com</w:t>
      </w:r>
    </w:p>
    <w:p>
      <w:pPr>
        <w:pStyle w:val="Normal"/>
        <w:spacing w:lineRule="auto" w:line="276" w:before="0" w:after="200"/>
        <w:jc w:val="start"/>
        <w:rPr/>
      </w:pPr>
      <w:r>
        <w:rPr>
          <w:rFonts w:eastAsia="Times New Roman" w:cs="Times New Roman"/>
          <w:b/>
          <w:bCs/>
          <w:lang w:val="en-US"/>
        </w:rPr>
        <w:t>Keywords:</w:t>
      </w:r>
      <w:r>
        <w:rPr>
          <w:rFonts w:eastAsia="Times New Roman" w:cs="Times New Roman"/>
          <w:lang w:val="en-US"/>
        </w:rPr>
        <w:t xml:space="preserve"> pentylenetetrazol; methylxanthine; receptor plasticity; withdrawal; Monte Carlo simulation; EEG</w:t>
      </w:r>
    </w:p>
    <w:p>
      <w:pPr>
        <w:pStyle w:val="Normal"/>
        <w:spacing w:lineRule="auto" w:line="276" w:before="0" w:after="200"/>
        <w:jc w:val="start"/>
        <w:rPr/>
      </w:pPr>
      <w:r>
        <w:rPr>
          <w:rFonts w:eastAsia="Times New Roman" w:cs="Times New Roman"/>
          <w:b/>
          <w:bCs/>
          <w:lang w:val="en-US"/>
        </w:rPr>
        <w:t>Word count: approximately 2650</w:t>
      </w:r>
      <w:r>
        <w:rPr>
          <w:rFonts w:eastAsia="Times New Roman" w:cs="Times New Roman"/>
          <w:lang w:val="en-US"/>
        </w:rPr>
        <w:t xml:space="preserve"> (sections 1–8, excluding summary, tables, legends, declarations and references). </w:t>
      </w:r>
      <w:r>
        <w:rPr>
          <w:rFonts w:eastAsia="Times New Roman" w:cs="Times New Roman"/>
          <w:b/>
          <w:bCs/>
          <w:lang w:val="en-US"/>
        </w:rPr>
        <w:t>Tables: 4. Figures: 4. References: 20.</w:t>
      </w:r>
      <w:r>
        <w:rPr>
          <w:rFonts w:eastAsia="Times New Roman" w:cs="Times New Roman"/>
          <w:lang w:val="en-US"/>
        </w:rPr>
        <w:t xml:space="preserve"> </w:t>
      </w:r>
      <w:r>
        <w:rPr>
          <w:rFonts w:eastAsia="Times New Roman" w:cs="Times New Roman"/>
          <w:b/>
          <w:bCs/>
          <w:lang w:val="en-US"/>
        </w:rPr>
        <w:t>Supporting Information:</w:t>
      </w:r>
      <w:r>
        <w:rPr>
          <w:rFonts w:eastAsia="Times New Roman" w:cs="Times New Roman"/>
          <w:lang w:val="en-US"/>
        </w:rPr>
        <w:t xml:space="preserve"> protocol, model specification and full sensitivity results; simulation code (CaffeineMC.py).</w:t>
      </w:r>
    </w:p>
    <w:p>
      <w:pPr>
        <w:pStyle w:val="Normal"/>
        <w:spacing w:lineRule="auto" w:line="276" w:before="0" w:after="60"/>
        <w:jc w:val="start"/>
        <w:rPr/>
      </w:pPr>
      <w:r>
        <w:rPr>
          <w:rFonts w:eastAsia="Times New Roman" w:cs="Times New Roman"/>
          <w:b/>
          <w:bCs/>
          <w:lang w:val="en-US"/>
        </w:rPr>
        <w:t>Key Points</w:t>
      </w:r>
    </w:p>
    <w:p>
      <w:pPr>
        <w:pStyle w:val="ListParagraph"/>
        <w:numPr>
          <w:ilvl w:val="0"/>
          <w:numId w:val="3"/>
        </w:numPr>
        <w:spacing w:lineRule="auto" w:line="276" w:before="0" w:after="40"/>
        <w:rPr/>
      </w:pPr>
      <w:r>
        <w:rPr>
          <w:rFonts w:eastAsia="Times New Roman" w:cs="Times New Roman"/>
          <w:lang w:val="en-US"/>
        </w:rPr>
        <w:t xml:space="preserve">Adenosine A₁ receptors </w:t>
      </w:r>
      <w:r>
        <w:rPr>
          <w:lang w:val="en-US"/>
        </w:rPr>
        <w:t>act as</w:t>
      </w:r>
      <w:r>
        <w:rPr>
          <w:rFonts w:eastAsia="Times New Roman" w:cs="Times New Roman"/>
          <w:lang w:val="en-US"/>
        </w:rPr>
        <w:t xml:space="preserve"> built-in </w:t>
      </w:r>
      <w:r>
        <w:rPr>
          <w:lang w:val="en-US"/>
        </w:rPr>
        <w:t>brakes</w:t>
      </w:r>
      <w:r>
        <w:rPr>
          <w:rFonts w:eastAsia="Times New Roman" w:cs="Times New Roman"/>
          <w:lang w:val="en-US"/>
        </w:rPr>
        <w:t xml:space="preserve"> on seizures</w:t>
      </w:r>
      <w:r>
        <w:rPr>
          <w:lang w:val="en-US"/>
        </w:rPr>
        <w:t xml:space="preserve"> in the brain</w:t>
      </w:r>
    </w:p>
    <w:p>
      <w:pPr>
        <w:pStyle w:val="ListParagraph"/>
        <w:numPr>
          <w:ilvl w:val="0"/>
          <w:numId w:val="1"/>
        </w:numPr>
        <w:spacing w:lineRule="auto" w:line="276" w:before="0" w:after="40"/>
        <w:rPr/>
      </w:pPr>
      <w:r>
        <w:rPr>
          <w:rFonts w:eastAsia="Times New Roman" w:cs="Times New Roman"/>
          <w:lang w:val="en-US"/>
        </w:rPr>
        <w:t>Chronic caffeine may adapt this brake</w:t>
      </w:r>
      <w:r>
        <w:rPr>
          <w:lang w:val="en-US"/>
        </w:rPr>
      </w:r>
      <w:r>
        <w:rPr>
          <w:rFonts w:eastAsia="Times New Roman" w:cs="Times New Roman"/>
          <w:lang w:val="en-US"/>
        </w:rPr>
        <w:t>, but the evidence is conflicting</w:t>
      </w:r>
    </w:p>
    <w:p>
      <w:pPr>
        <w:pStyle w:val="ListParagraph"/>
        <w:numPr>
          <w:ilvl w:val="0"/>
          <w:numId w:val="1"/>
        </w:numPr>
        <w:spacing w:lineRule="auto" w:line="276" w:before="0" w:after="40"/>
        <w:rPr/>
      </w:pPr>
      <w:r>
        <w:rPr>
          <w:rFonts w:eastAsia="Times New Roman" w:cs="Times New Roman"/>
          <w:lang w:val="en-US"/>
        </w:rPr>
        <w:t>We propose a test that separates adaptation from withdrawal and residual drug</w:t>
      </w:r>
      <w:r>
        <w:rPr>
          <w:lang w:val="en-US"/>
        </w:rPr>
      </w:r>
      <w:r>
        <w:rPr>
          <w:rFonts w:eastAsia="Times New Roman" w:cs="Times New Roman"/>
          <w:lang w:val="en-US"/>
        </w:rPr>
      </w:r>
    </w:p>
    <w:p>
      <w:pPr>
        <w:pStyle w:val="ListParagraph"/>
        <w:numPr>
          <w:ilvl w:val="0"/>
          <w:numId w:val="1"/>
        </w:numPr>
        <w:spacing w:lineRule="auto" w:line="276" w:before="0" w:after="40"/>
        <w:rPr/>
      </w:pPr>
      <w:r>
        <w:rPr>
          <w:rFonts w:eastAsia="Times New Roman" w:cs="Times New Roman"/>
          <w:lang w:val="en-US"/>
        </w:rPr>
        <w:t>Simulation is used for planning only and contains no experimental data</w:t>
      </w:r>
    </w:p>
    <w:p>
      <w:pPr>
        <w:pStyle w:val="Normal"/>
        <w:rPr/>
      </w:pPr>
      <w:r>
        <w:rPr/>
      </w:r>
      <w:r>
        <w:br w:type="page"/>
      </w:r>
    </w:p>
    <w:p>
      <w:pPr>
        <w:pStyle w:val="Heading1"/>
        <w:keepNext w:val="true"/>
        <w:spacing w:lineRule="auto" w:line="480" w:before="0" w:after="120"/>
        <w:rPr/>
      </w:pPr>
      <w:r>
        <w:rPr>
          <w:rFonts w:eastAsia="Times New Roman" w:cs="Times New Roman"/>
          <w:b/>
          <w:bCs/>
          <w:sz w:val="26"/>
          <w:szCs w:val="26"/>
          <w:lang w:val="en-US"/>
        </w:rPr>
        <w:t>Summary</w:t>
      </w:r>
    </w:p>
    <w:p>
      <w:pPr>
        <w:pStyle w:val="Normal"/>
        <w:spacing w:lineRule="auto" w:line="480" w:before="0" w:after="0"/>
        <w:jc w:val="start"/>
        <w:rPr/>
      </w:pPr>
      <w:r>
        <w:rPr>
          <w:rFonts w:eastAsia="Times New Roman" w:cs="Times New Roman"/>
          <w:lang w:val="en-US"/>
        </w:rPr>
        <w:t xml:space="preserve">Adenosine, </w:t>
      </w:r>
      <w:r>
        <w:rPr>
          <w:lang w:val="en-US"/>
        </w:rPr>
        <w:t>which acts</w:t>
      </w:r>
      <w:r>
        <w:rPr>
          <w:rFonts w:eastAsia="Times New Roman" w:cs="Times New Roman"/>
          <w:lang w:val="en-US"/>
        </w:rPr>
        <w:t xml:space="preserve"> largely through A₁ receptors (</w:t>
      </w:r>
      <w:r>
        <w:rPr>
          <w:lang w:val="en-US"/>
        </w:rPr>
        <w:t>A₁Rs</w:t>
      </w:r>
      <w:r>
        <w:rPr>
          <w:rFonts w:eastAsia="Times New Roman" w:cs="Times New Roman"/>
          <w:lang w:val="en-US"/>
        </w:rPr>
        <w:t xml:space="preserve">), is an important endogenous seizure-termination system. Caffeine blocks A₁R and acutely </w:t>
      </w:r>
      <w:r>
        <w:rPr>
          <w:lang w:val="en-US"/>
        </w:rPr>
        <w:t>decreases the</w:t>
      </w:r>
      <w:r>
        <w:rPr>
          <w:rFonts w:eastAsia="Times New Roman" w:cs="Times New Roman"/>
          <w:lang w:val="en-US"/>
        </w:rPr>
        <w:t xml:space="preserve"> seizure threshold, yet long-term caffeine in rodents has been reported to increase A₁R binding and reduce chemoconvulsant susceptibility. Whether this adaptation persists after caffeine is cleared and whether it can be separated from residual drug and withdrawal effects </w:t>
      </w:r>
      <w:r>
        <w:rPr>
          <w:lang w:val="en-US"/>
        </w:rPr>
        <w:t>are</w:t>
      </w:r>
      <w:r>
        <w:rPr>
          <w:rFonts w:eastAsia="Times New Roman" w:cs="Times New Roman"/>
          <w:lang w:val="en-US"/>
        </w:rPr>
        <w:t xml:space="preserve"> unresolved. The closest in vivo test, a rat PET study, </w:t>
      </w:r>
      <w:r>
        <w:rPr>
          <w:lang w:val="en-US"/>
        </w:rPr>
        <w:t>revealed</w:t>
      </w:r>
      <w:r>
        <w:rPr>
          <w:rFonts w:eastAsia="Times New Roman" w:cs="Times New Roman"/>
          <w:lang w:val="en-US"/>
        </w:rPr>
        <w:t xml:space="preserve"> no persistent change in A₁R availability. We hypothesize that gradually </w:t>
      </w:r>
      <w:r>
        <w:rPr>
          <w:lang w:val="en-US"/>
        </w:rPr>
        <w:t>escalating</w:t>
      </w:r>
      <w:r>
        <w:rPr>
          <w:rFonts w:eastAsia="Times New Roman" w:cs="Times New Roman"/>
          <w:lang w:val="en-US"/>
        </w:rPr>
        <w:t xml:space="preserve">, EEG-gated, </w:t>
      </w:r>
      <w:r>
        <w:rPr>
          <w:lang w:val="en-US"/>
        </w:rPr>
        <w:t>subconvulsive</w:t>
      </w:r>
      <w:r>
        <w:rPr>
          <w:rFonts w:eastAsia="Times New Roman" w:cs="Times New Roman"/>
          <w:lang w:val="en-US"/>
        </w:rPr>
        <w:t xml:space="preserve"> caffeine exposure </w:t>
      </w:r>
      <w:r>
        <w:rPr>
          <w:lang w:val="en-US"/>
        </w:rPr>
        <w:t>increases the</w:t>
      </w:r>
      <w:r>
        <w:rPr>
          <w:rFonts w:eastAsia="Times New Roman" w:cs="Times New Roman"/>
          <w:lang w:val="en-US"/>
        </w:rPr>
        <w:t xml:space="preserve"> seizure threshold after washout by increasing functional, not necessarily numerical, A₁R reserve. We set this against two competing hypotheses, rebound excitability and no lasting change, and describe the group comparison that discriminates them. A Monte Carlo model with explicitly assumed adaptation parameters was used for design planning only. </w:t>
      </w:r>
      <w:r>
        <w:rPr>
          <w:lang w:val="en-US"/>
        </w:rPr>
        <w:t>This</w:t>
      </w:r>
      <w:r>
        <w:rPr>
          <w:rFonts w:eastAsia="Times New Roman" w:cs="Times New Roman"/>
          <w:lang w:val="en-US"/>
        </w:rPr>
        <w:t xml:space="preserve"> suggests that </w:t>
      </w:r>
      <w:r>
        <w:rPr>
          <w:lang w:val="en-US"/>
        </w:rPr>
        <w:t xml:space="preserve">the </w:t>
      </w:r>
      <w:r>
        <w:rPr>
          <w:rFonts w:eastAsia="Times New Roman" w:cs="Times New Roman"/>
          <w:lang w:val="en-US"/>
        </w:rPr>
        <w:t xml:space="preserve">continuity of exposure, rather than </w:t>
      </w:r>
      <w:r>
        <w:rPr>
          <w:lang w:val="en-US"/>
        </w:rPr>
        <w:t xml:space="preserve">the </w:t>
      </w:r>
      <w:r>
        <w:rPr>
          <w:rFonts w:eastAsia="Times New Roman" w:cs="Times New Roman"/>
          <w:lang w:val="en-US"/>
        </w:rPr>
        <w:t>cumulative dose, becomes the critical variable under the model’s exposure-driven adaptation assumption and that detectability depends chiefly on how fast adaptation reverses after withdrawal. The manuscript contains no experimental data, and nothing in it supports clinical use of caffeine.</w:t>
      </w:r>
    </w:p>
    <w:p>
      <w:pPr>
        <w:pStyle w:val="Heading2"/>
        <w:keepNext w:val="true"/>
        <w:spacing w:lineRule="auto" w:line="480" w:before="120" w:after="60"/>
        <w:rPr/>
      </w:pPr>
      <w:r>
        <w:rPr>
          <w:rFonts w:eastAsia="Times New Roman" w:cs="Times New Roman"/>
          <w:b/>
          <w:bCs/>
          <w:i/>
          <w:iCs/>
          <w:sz w:val="24"/>
          <w:szCs w:val="24"/>
          <w:lang w:val="en-US"/>
        </w:rPr>
        <w:t>Plain language summary</w:t>
      </w:r>
    </w:p>
    <w:p>
      <w:pPr>
        <w:pStyle w:val="Normal"/>
        <w:spacing w:lineRule="auto" w:line="276" w:before="0" w:after="200"/>
        <w:jc w:val="start"/>
        <w:rPr/>
      </w:pPr>
      <w:r>
        <w:rPr>
          <w:rFonts w:eastAsia="Times New Roman" w:cs="Times New Roman"/>
          <w:lang w:val="en-US"/>
        </w:rPr>
        <w:t xml:space="preserve">Adenosine is a natural chemical that helps stop seizures. Caffeine blocks it, so caffeine can </w:t>
      </w:r>
      <w:r>
        <w:rPr>
          <w:lang w:val="en-US"/>
        </w:rPr>
        <w:t>increase the likelihood of seizures</w:t>
      </w:r>
      <w:r>
        <w:rPr>
          <w:rFonts w:eastAsia="Times New Roman" w:cs="Times New Roman"/>
          <w:lang w:val="en-US"/>
        </w:rPr>
        <w:t xml:space="preserve"> in the short term. Animals that drink caffeine for weeks sometimes become less prone to seizures, possibly because the brain compensates by building more or better adenosine receptors. We do not know whether this lasts once caffeine is gone or whether withdrawal itself makes seizures more likely. We propose a carefully monitored mouse experiment, and we use computer simulation only to plan it. This is not a suggestion that people with epilepsy should use caffeine.</w:t>
      </w:r>
    </w:p>
    <w:p>
      <w:pPr>
        <w:pStyle w:val="Heading1"/>
        <w:keepNext w:val="true"/>
        <w:spacing w:lineRule="auto" w:line="480" w:before="240" w:after="120"/>
        <w:rPr/>
      </w:pPr>
      <w:r>
        <w:rPr>
          <w:rFonts w:eastAsia="Times New Roman" w:cs="Times New Roman"/>
          <w:b/>
          <w:bCs/>
          <w:sz w:val="26"/>
          <w:szCs w:val="26"/>
          <w:lang w:val="en-US"/>
        </w:rPr>
        <w:t>1  The unresolved question</w:t>
      </w:r>
    </w:p>
    <w:p>
      <w:pPr>
        <w:pStyle w:val="Normal"/>
        <w:spacing w:lineRule="auto" w:line="480" w:before="0" w:after="0"/>
        <w:jc w:val="start"/>
        <w:rPr/>
      </w:pPr>
      <w:r>
        <w:rPr>
          <w:rFonts w:eastAsia="Times New Roman" w:cs="Times New Roman"/>
          <w:lang w:val="en-US"/>
        </w:rPr>
        <w:t xml:space="preserve">Extracellular adenosine </w:t>
      </w:r>
      <w:r>
        <w:rPr>
          <w:lang w:val="en-US"/>
        </w:rPr>
        <w:t>increases</w:t>
      </w:r>
      <w:r>
        <w:rPr>
          <w:rFonts w:eastAsia="Times New Roman" w:cs="Times New Roman"/>
          <w:lang w:val="en-US"/>
        </w:rPr>
        <w:t xml:space="preserve"> during seizures and helps terminate them, chiefly through A₁ receptors that suppress glutamate release and hyperpolarize neurons (1,2,3). This suggests a question broader than whether one drug </w:t>
      </w:r>
      <w:r>
        <w:rPr>
          <w:lang w:val="en-US"/>
        </w:rPr>
        <w:t>increases the</w:t>
      </w:r>
      <w:r>
        <w:rPr>
          <w:rFonts w:eastAsia="Times New Roman" w:cs="Times New Roman"/>
          <w:lang w:val="en-US"/>
        </w:rPr>
        <w:t xml:space="preserve"> seizure threshold: can the adenosine-mediated seizure-termination system be primed before a seizure occurs? Caffeine, an adenosine receptor antagonist, is an unlikely but informative tool.</w:t>
      </w:r>
      <w:r>
        <w:rPr>
          <w:lang w:val="en-US"/>
        </w:rPr>
      </w:r>
      <w:r>
        <w:rPr>
          <w:rFonts w:eastAsia="Times New Roman" w:cs="Times New Roman"/>
          <w:lang w:val="en-US"/>
        </w:rPr>
        <w:t xml:space="preserve"> Acutely</w:t>
      </w:r>
      <w:r>
        <w:rPr>
          <w:lang w:val="en-US"/>
        </w:rPr>
        <w:t>,</w:t>
      </w:r>
      <w:r>
        <w:rPr>
          <w:rFonts w:eastAsia="Times New Roman" w:cs="Times New Roman"/>
          <w:lang w:val="en-US"/>
        </w:rPr>
        <w:t xml:space="preserve"> it removes adenosinergic braking and is proconvulsant at high doses (4,5). Chronic exposure, however, </w:t>
      </w:r>
      <w:r>
        <w:rPr>
          <w:lang w:val="en-US"/>
        </w:rPr>
        <w:t>results in</w:t>
      </w:r>
      <w:r>
        <w:rPr>
          <w:rFonts w:eastAsia="Times New Roman" w:cs="Times New Roman"/>
          <w:lang w:val="en-US"/>
        </w:rPr>
        <w:t xml:space="preserve"> homeostatic responses.</w:t>
      </w:r>
    </w:p>
    <w:p>
      <w:pPr>
        <w:pStyle w:val="Normal"/>
        <w:spacing w:lineRule="auto" w:line="480" w:before="0" w:after="0"/>
        <w:jc w:val="start"/>
        <w:rPr/>
      </w:pPr>
      <w:r>
        <w:rPr>
          <w:rFonts w:eastAsia="Times New Roman" w:cs="Times New Roman"/>
          <w:lang w:val="en-US"/>
        </w:rPr>
        <w:t xml:space="preserve">In mice, chronic caffeine ingestion increased cortical A₁R density by </w:t>
      </w:r>
      <w:r>
        <w:rPr>
          <w:lang w:val="en-US"/>
        </w:rPr>
        <w:t>approximately</w:t>
      </w:r>
      <w:r>
        <w:rPr>
          <w:rFonts w:eastAsia="Times New Roman" w:cs="Times New Roman"/>
          <w:lang w:val="en-US"/>
        </w:rPr>
        <w:t xml:space="preserve"> 20% (6). Long-term methylxanthine treatment decreased susceptibility to bicuculline- and pentylenetetrazol (PTZ)-induced seizures (7), in one study without any change in A₁R number (8), and with evidence for A₂A involvement (9).</w:t>
      </w:r>
      <w:r>
        <w:rPr>
          <w:lang w:val="en-US"/>
        </w:rPr>
      </w:r>
      <w:r>
        <w:rPr>
          <w:rFonts w:eastAsia="Times New Roman" w:cs="Times New Roman"/>
          <w:lang w:val="en-US"/>
        </w:rPr>
      </w:r>
      <w:r>
        <w:rPr>
          <w:lang w:val="en-US"/>
        </w:rPr>
      </w:r>
      <w:r>
        <w:rPr>
          <w:rFonts w:eastAsia="Times New Roman" w:cs="Times New Roman"/>
          <w:lang w:val="en-US"/>
        </w:rPr>
      </w:r>
      <w:r>
        <w:rPr>
          <w:lang w:val="en-US"/>
        </w:rPr>
      </w:r>
      <w:r>
        <w:rPr>
          <w:rFonts w:eastAsia="Times New Roman" w:cs="Times New Roman"/>
          <w:lang w:val="en-US"/>
        </w:rPr>
      </w:r>
      <w:r>
        <w:rPr>
          <w:lang w:val="en-US"/>
        </w:rPr>
      </w:r>
      <w:r>
        <w:rPr>
          <w:rFonts w:eastAsia="Times New Roman" w:cs="Times New Roman"/>
          <w:lang w:val="en-US"/>
        </w:rPr>
        <w:t xml:space="preserve"> Chronic caffeine also sensitizes the A₁R–adenylate cyclase system (10), and behavioral and pharmacological changes in mice persist for days after withdrawal (11).</w:t>
      </w:r>
    </w:p>
    <w:p>
      <w:pPr>
        <w:pStyle w:val="Normal"/>
        <w:spacing w:lineRule="auto" w:line="480" w:before="0" w:after="0"/>
        <w:jc w:val="start"/>
        <w:rPr/>
      </w:pPr>
      <w:r>
        <w:rPr>
          <w:lang w:val="en-US"/>
        </w:rPr>
        <w:t>In contrast</w:t>
      </w:r>
      <w:r>
        <w:rPr>
          <w:rFonts w:eastAsia="Times New Roman" w:cs="Times New Roman"/>
          <w:lang w:val="en-US"/>
        </w:rPr>
        <w:t xml:space="preserve">, the closest in vivo test of persistence used [¹⁸F]CPFPX PET in rats given 30 mg/kg/day for 12 weeks. </w:t>
      </w:r>
      <w:r>
        <w:rPr>
          <w:lang w:val="en-US"/>
        </w:rPr>
        <w:t>The availability</w:t>
      </w:r>
      <w:r>
        <w:rPr>
          <w:rFonts w:eastAsia="Times New Roman" w:cs="Times New Roman"/>
          <w:lang w:val="en-US"/>
        </w:rPr>
        <w:t xml:space="preserve"> of A₁R </w:t>
      </w:r>
      <w:r>
        <w:rPr>
          <w:lang w:val="en-US"/>
        </w:rPr>
        <w:t>decreased</w:t>
      </w:r>
      <w:r>
        <w:rPr>
          <w:rFonts w:eastAsia="Times New Roman" w:cs="Times New Roman"/>
          <w:lang w:val="en-US"/>
        </w:rPr>
        <w:t xml:space="preserve"> shortly after withdrawal, </w:t>
      </w:r>
      <w:r>
        <w:rPr>
          <w:lang w:val="en-US"/>
        </w:rPr>
        <w:t xml:space="preserve">which was </w:t>
      </w:r>
      <w:r>
        <w:rPr>
          <w:rFonts w:eastAsia="Times New Roman" w:cs="Times New Roman"/>
          <w:lang w:val="en-US"/>
        </w:rPr>
        <w:t xml:space="preserve">attributed to residual caffeine and metabolites, and returned to baseline by </w:t>
      </w:r>
      <w:r>
        <w:rPr>
          <w:lang w:val="en-US"/>
        </w:rPr>
        <w:t>approximately</w:t>
      </w:r>
      <w:r>
        <w:rPr>
          <w:rFonts w:eastAsia="Times New Roman" w:cs="Times New Roman"/>
          <w:lang w:val="en-US"/>
        </w:rPr>
        <w:t xml:space="preserve"> 27 h</w:t>
      </w:r>
      <w:r>
        <w:rPr>
          <w:lang w:val="en-US"/>
        </w:rPr>
        <w:t>,</w:t>
      </w:r>
      <w:r>
        <w:rPr>
          <w:rFonts w:eastAsia="Times New Roman" w:cs="Times New Roman"/>
          <w:lang w:val="en-US"/>
        </w:rPr>
        <w:t xml:space="preserve"> with no persistent change (12). Protection after chronic caffeine has therefore been reported, but whether it survives clearance of caffeine and its active metabolites and whether it reflects adaptation or continuing pharmacological action </w:t>
      </w:r>
      <w:r>
        <w:rPr>
          <w:lang w:val="en-US"/>
        </w:rPr>
        <w:t>are unknown</w:t>
      </w:r>
      <w:r>
        <w:rPr>
          <w:rFonts w:eastAsia="Times New Roman" w:cs="Times New Roman"/>
          <w:lang w:val="en-US"/>
        </w:rPr>
        <w:t xml:space="preserve">. The question is therefore sharper than whether caffeine helps: if controlled imaging </w:t>
      </w:r>
      <w:r>
        <w:rPr>
          <w:lang w:val="en-US"/>
        </w:rPr>
        <w:t>revealed</w:t>
      </w:r>
      <w:r>
        <w:rPr>
          <w:rFonts w:eastAsia="Times New Roman" w:cs="Times New Roman"/>
          <w:lang w:val="en-US"/>
        </w:rPr>
        <w:t xml:space="preserve"> no persistent change in A₁R availability, what, if anything, explains the seizure protection reported after chronic caffeine? To our knowledge, the specific combination of gradual EEG-gated escalation, controlled withdrawal alongside a caffeine-continued comparison group, quantification of caffeine and metabolites, and seizure</w:t>
      </w:r>
      <w:r>
        <w:rPr>
          <w:lang w:val="en-US"/>
        </w:rPr>
        <w:t xml:space="preserve"> </w:t>
      </w:r>
      <w:r>
        <w:rPr>
          <w:rFonts w:eastAsia="Times New Roman" w:cs="Times New Roman"/>
          <w:lang w:val="en-US"/>
        </w:rPr>
        <w:t>threshold testing has not been systematically evaluated.</w:t>
      </w:r>
    </w:p>
    <w:p>
      <w:pPr>
        <w:pStyle w:val="Heading1"/>
        <w:keepNext w:val="true"/>
        <w:spacing w:lineRule="auto" w:line="480" w:before="240" w:after="120"/>
        <w:rPr/>
      </w:pPr>
      <w:r>
        <w:rPr>
          <w:rFonts w:eastAsia="Times New Roman" w:cs="Times New Roman"/>
          <w:b/>
          <w:bCs/>
          <w:sz w:val="26"/>
          <w:szCs w:val="26"/>
          <w:lang w:val="en-US"/>
        </w:rPr>
        <w:t>2  Central hypothesis and competing explanations</w:t>
      </w:r>
    </w:p>
    <w:p>
      <w:pPr>
        <w:pStyle w:val="Normal"/>
        <w:spacing w:lineRule="auto" w:line="480" w:before="0" w:after="0"/>
        <w:jc w:val="start"/>
        <w:rPr/>
      </w:pPr>
      <w:r>
        <w:rPr>
          <w:rFonts w:eastAsia="Times New Roman" w:cs="Times New Roman"/>
          <w:b/>
          <w:bCs/>
          <w:lang w:val="en-US"/>
        </w:rPr>
        <w:t>Hypothesis A (adaptation).</w:t>
      </w:r>
      <w:r>
        <w:rPr>
          <w:rFonts w:eastAsia="Times New Roman" w:cs="Times New Roman"/>
          <w:lang w:val="en-US"/>
        </w:rPr>
        <w:t xml:space="preserve"> Chronic, gradually </w:t>
      </w:r>
      <w:r>
        <w:rPr>
          <w:lang w:val="en-US"/>
        </w:rPr>
        <w:t>escalating, subconvulsive</w:t>
      </w:r>
      <w:r>
        <w:rPr>
          <w:rFonts w:eastAsia="Times New Roman" w:cs="Times New Roman"/>
          <w:lang w:val="en-US"/>
        </w:rPr>
        <w:t xml:space="preserve"> caffeine exposure induces compensatory enhancement of A₁R-mediated adenosinergic reserve, potentially through changes in receptor density, receptor coupling or endogenous adenosine tone. After caffeine and its metabolites are cleared, this reserve </w:t>
      </w:r>
      <w:r>
        <w:rPr>
          <w:lang w:val="en-US"/>
        </w:rPr>
        <w:t>increases the</w:t>
      </w:r>
      <w:r>
        <w:rPr>
          <w:rFonts w:eastAsia="Times New Roman" w:cs="Times New Roman"/>
          <w:lang w:val="en-US"/>
        </w:rPr>
        <w:t xml:space="preserve"> seizure threshold.</w:t>
      </w:r>
    </w:p>
    <w:p>
      <w:pPr>
        <w:pStyle w:val="Normal"/>
        <w:spacing w:lineRule="auto" w:line="480" w:before="0" w:after="0"/>
        <w:jc w:val="start"/>
        <w:rPr/>
      </w:pPr>
      <w:r>
        <w:rPr>
          <w:rFonts w:eastAsia="Times New Roman" w:cs="Times New Roman"/>
          <w:b/>
          <w:bCs/>
          <w:lang w:val="en-US"/>
        </w:rPr>
        <w:t>Hypothesis B (rebound).</w:t>
      </w:r>
      <w:r>
        <w:rPr>
          <w:rFonts w:eastAsia="Times New Roman" w:cs="Times New Roman"/>
          <w:lang w:val="en-US"/>
        </w:rPr>
        <w:t xml:space="preserve"> Withdrawal after adaptation produces transient hyperexcitability</w:t>
      </w:r>
      <w:r>
        <w:rPr>
          <w:lang w:val="en-US"/>
        </w:rPr>
        <w:t>; thus</w:t>
      </w:r>
      <w:r>
        <w:rPr>
          <w:rFonts w:eastAsia="Times New Roman" w:cs="Times New Roman"/>
          <w:lang w:val="en-US"/>
        </w:rPr>
        <w:t xml:space="preserve">, </w:t>
      </w:r>
      <w:r>
        <w:rPr>
          <w:lang w:val="en-US"/>
        </w:rPr>
        <w:t>the</w:t>
      </w:r>
      <w:r>
        <w:rPr>
          <w:rFonts w:eastAsia="Times New Roman" w:cs="Times New Roman"/>
          <w:lang w:val="en-US"/>
        </w:rPr>
        <w:t xml:space="preserve"> seizure threshold </w:t>
      </w:r>
      <w:r>
        <w:rPr>
          <w:lang w:val="en-US"/>
        </w:rPr>
        <w:t>decreases</w:t>
      </w:r>
      <w:r>
        <w:rPr>
          <w:rFonts w:eastAsia="Times New Roman" w:cs="Times New Roman"/>
          <w:lang w:val="en-US"/>
        </w:rPr>
        <w:t>.</w:t>
      </w:r>
    </w:p>
    <w:p>
      <w:pPr>
        <w:pStyle w:val="Normal"/>
        <w:spacing w:lineRule="auto" w:line="480" w:before="0" w:after="0"/>
        <w:jc w:val="start"/>
        <w:rPr/>
      </w:pPr>
      <w:r>
        <w:rPr>
          <w:rFonts w:eastAsia="Times New Roman" w:cs="Times New Roman"/>
          <w:b/>
          <w:bCs/>
          <w:lang w:val="en-US"/>
        </w:rPr>
        <w:t>Hypothesis C (no lasting change).</w:t>
      </w:r>
      <w:r>
        <w:rPr>
          <w:rFonts w:eastAsia="Times New Roman" w:cs="Times New Roman"/>
          <w:lang w:val="en-US"/>
        </w:rPr>
        <w:t xml:space="preserve"> Adaptation is real but reverses within hours to a day or does not alter </w:t>
      </w:r>
      <w:r>
        <w:rPr>
          <w:lang w:val="en-US"/>
        </w:rPr>
        <w:t xml:space="preserve">the </w:t>
      </w:r>
      <w:r>
        <w:rPr>
          <w:rFonts w:eastAsia="Times New Roman" w:cs="Times New Roman"/>
          <w:lang w:val="en-US"/>
        </w:rPr>
        <w:t>threshold</w:t>
      </w:r>
      <w:r>
        <w:rPr>
          <w:lang w:val="en-US"/>
        </w:rPr>
        <w:t>; thus</w:t>
      </w:r>
      <w:r>
        <w:rPr>
          <w:rFonts w:eastAsia="Times New Roman" w:cs="Times New Roman"/>
          <w:lang w:val="en-US"/>
        </w:rPr>
        <w:t xml:space="preserve">, </w:t>
      </w:r>
      <w:r>
        <w:rPr>
          <w:lang w:val="en-US"/>
        </w:rPr>
        <w:t>the</w:t>
      </w:r>
      <w:r>
        <w:rPr>
          <w:rFonts w:eastAsia="Times New Roman" w:cs="Times New Roman"/>
          <w:lang w:val="en-US"/>
        </w:rPr>
        <w:t xml:space="preserve"> threshold is unchanged once caffeine is cleared.</w:t>
      </w:r>
    </w:p>
    <w:p>
      <w:pPr>
        <w:pStyle w:val="Normal"/>
        <w:spacing w:lineRule="auto" w:line="480" w:before="0" w:after="0"/>
        <w:jc w:val="start"/>
        <w:rPr/>
      </w:pPr>
      <w:r>
        <w:rPr>
          <w:rFonts w:eastAsia="Times New Roman" w:cs="Times New Roman"/>
          <w:lang w:val="en-US"/>
        </w:rPr>
        <w:t xml:space="preserve">The claim is deliberately modest. The rat PET result (12) </w:t>
      </w:r>
      <w:r>
        <w:rPr>
          <w:lang w:val="en-US"/>
        </w:rPr>
        <w:t>decreases</w:t>
      </w:r>
      <w:r>
        <w:rPr>
          <w:rFonts w:eastAsia="Times New Roman" w:cs="Times New Roman"/>
          <w:lang w:val="en-US"/>
        </w:rPr>
        <w:t xml:space="preserve"> the prior for a persistent increase in receptor density, and protection without a density change (8) shows that density is not necessary. Hypothesis A is therefore framed in terms of functional reserve, and the design is intended to distinguish A, B and C rather than to confirm A. Figure 1 shows the logic and Table 1 the predictions that would discriminate the hypotheses.</w:t>
      </w:r>
    </w:p>
    <w:p>
      <w:pPr>
        <w:pStyle w:val="Normal"/>
        <w:keepNext w:val="true"/>
        <w:spacing w:before="200" w:after="60"/>
        <w:rPr/>
      </w:pPr>
      <w:r>
        <w:rPr/>
        <w:drawing>
          <wp:inline distT="0" distB="0" distL="0" distR="0">
            <wp:extent cx="5715000" cy="3352800"/>
            <wp:effectExtent l="0" t="0" r="0" b="0"/>
            <wp:docPr id="1" name="/home/claude/mc/mc_out/Fig1_concept.png" descr="**Figure 1.** Conceptual framework. Chronic sub-convulsive caffeine may induce adaptation; after withdrawal, seizure threshold could rise (A), fall (B) or be unchanged (C). Several mechanisms could produce a threshold change, and specific groups and assays discriminate them." title="/home/claude/mc/mc_out/Fig1_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claude/mc/mc_out/Fig1_concept.png" descr="**Figure 1.** Conceptual framework. Chronic sub-convulsive caffeine may induce adaptation; after withdrawal, seizure threshold could rise (A), fall (B) or be unchanged (C). Several mechanisms could produce a threshold change, and specific groups and assays discriminate them." title="/home/claude/mc/mc_out/Fig1_concept.png"/>
                    <pic:cNvPicPr>
                      <a:picLocks noChangeAspect="1" noChangeArrowheads="1"/>
                    </pic:cNvPicPr>
                  </pic:nvPicPr>
                  <pic:blipFill>
                    <a:blip r:embed="rId2"/>
                    <a:stretch>
                      <a:fillRect/>
                    </a:stretch>
                  </pic:blipFill>
                  <pic:spPr bwMode="auto">
                    <a:xfrm>
                      <a:off x="0" y="0"/>
                      <a:ext cx="5715000" cy="3352800"/>
                    </a:xfrm>
                    <a:prstGeom prst="rect">
                      <a:avLst/>
                    </a:prstGeom>
                    <a:noFill/>
                  </pic:spPr>
                </pic:pic>
              </a:graphicData>
            </a:graphic>
          </wp:inline>
        </w:drawing>
      </w:r>
    </w:p>
    <w:p>
      <w:pPr>
        <w:pStyle w:val="Normal"/>
        <w:spacing w:lineRule="auto" w:line="252" w:before="0" w:after="240"/>
        <w:rPr/>
      </w:pPr>
      <w:r>
        <w:rPr>
          <w:rFonts w:eastAsia="Times New Roman" w:cs="Times New Roman"/>
          <w:b/>
          <w:bCs/>
          <w:sz w:val="20"/>
          <w:szCs w:val="20"/>
          <w:lang w:val="en-US"/>
        </w:rPr>
        <w:t>Figure 1.</w:t>
      </w:r>
      <w:r>
        <w:rPr>
          <w:rFonts w:eastAsia="Times New Roman" w:cs="Times New Roman"/>
          <w:sz w:val="20"/>
          <w:szCs w:val="20"/>
          <w:lang w:val="en-US"/>
        </w:rPr>
        <w:t xml:space="preserve"> Conceptual framework. Chronic </w:t>
      </w:r>
      <w:r>
        <w:rPr>
          <w:sz w:val="20"/>
          <w:szCs w:val="20"/>
          <w:lang w:val="en-US"/>
        </w:rPr>
        <w:t>subconvulsive</w:t>
      </w:r>
      <w:r>
        <w:rPr>
          <w:rFonts w:eastAsia="Times New Roman" w:cs="Times New Roman"/>
          <w:sz w:val="20"/>
          <w:szCs w:val="20"/>
          <w:lang w:val="en-US"/>
        </w:rPr>
        <w:t xml:space="preserve"> caffeine may induce adaptation; after withdrawal, </w:t>
      </w:r>
      <w:r>
        <w:rPr>
          <w:sz w:val="20"/>
          <w:szCs w:val="20"/>
          <w:lang w:val="en-US"/>
        </w:rPr>
        <w:t xml:space="preserve">the </w:t>
      </w:r>
      <w:r>
        <w:rPr>
          <w:rFonts w:eastAsia="Times New Roman" w:cs="Times New Roman"/>
          <w:sz w:val="20"/>
          <w:szCs w:val="20"/>
          <w:lang w:val="en-US"/>
        </w:rPr>
        <w:t xml:space="preserve">seizure threshold </w:t>
      </w:r>
      <w:r>
        <w:rPr>
          <w:sz w:val="20"/>
          <w:szCs w:val="20"/>
          <w:lang w:val="en-US"/>
        </w:rPr>
        <w:t>can increase</w:t>
      </w:r>
      <w:r>
        <w:rPr>
          <w:rFonts w:eastAsia="Times New Roman" w:cs="Times New Roman"/>
          <w:sz w:val="20"/>
          <w:szCs w:val="20"/>
          <w:lang w:val="en-US"/>
        </w:rPr>
        <w:t xml:space="preserve"> (A), </w:t>
      </w:r>
      <w:r>
        <w:rPr>
          <w:sz w:val="20"/>
          <w:szCs w:val="20"/>
          <w:lang w:val="en-US"/>
        </w:rPr>
        <w:t>decrease</w:t>
      </w:r>
      <w:r>
        <w:rPr>
          <w:rFonts w:eastAsia="Times New Roman" w:cs="Times New Roman"/>
          <w:sz w:val="20"/>
          <w:szCs w:val="20"/>
          <w:lang w:val="en-US"/>
        </w:rPr>
        <w:t xml:space="preserve"> (B) or </w:t>
      </w:r>
      <w:r>
        <w:rPr>
          <w:sz w:val="20"/>
          <w:szCs w:val="20"/>
          <w:lang w:val="en-US"/>
        </w:rPr>
        <w:t>remain</w:t>
      </w:r>
      <w:r>
        <w:rPr>
          <w:rFonts w:eastAsia="Times New Roman" w:cs="Times New Roman"/>
          <w:sz w:val="20"/>
          <w:szCs w:val="20"/>
          <w:lang w:val="en-US"/>
        </w:rPr>
        <w:t xml:space="preserve"> unchanged (C). Several mechanisms could produce a threshold change, and specific groups and assays discriminate them.</w:t>
      </w:r>
    </w:p>
    <w:p>
      <w:pPr>
        <w:pStyle w:val="Normal"/>
        <w:keepNext w:val="true"/>
        <w:spacing w:lineRule="auto" w:line="276" w:before="200" w:after="80"/>
        <w:rPr/>
      </w:pPr>
      <w:r>
        <w:rPr>
          <w:rFonts w:eastAsia="Times New Roman" w:cs="Times New Roman"/>
          <w:b/>
          <w:bCs/>
          <w:sz w:val="22"/>
          <w:szCs w:val="22"/>
          <w:lang w:val="en-US"/>
        </w:rPr>
        <w:t>Table 1.</w:t>
      </w:r>
      <w:r>
        <w:rPr>
          <w:rFonts w:eastAsia="Times New Roman" w:cs="Times New Roman"/>
          <w:sz w:val="22"/>
          <w:szCs w:val="22"/>
          <w:lang w:val="en-US"/>
        </w:rPr>
        <w:t xml:space="preserve"> Predicted observations under the three hypotheses (G1 vehicle; G2 escalated caffeine then withdrawn; G3 escalated caffeine continued)</w:t>
      </w:r>
      <w:r>
        <w:rPr>
          <w:sz w:val="22"/>
          <w:szCs w:val="22"/>
          <w:lang w:val="en-US"/>
        </w:rPr>
      </w:r>
      <w:r>
        <w:rPr>
          <w:rFonts w:eastAsia="Times New Roman" w:cs="Times New Roman"/>
          <w:sz w:val="22"/>
          <w:szCs w:val="22"/>
          <w:lang w:val="en-US"/>
        </w:rPr>
      </w:r>
      <w:r>
        <w:rPr>
          <w:sz w:val="22"/>
          <w:szCs w:val="22"/>
          <w:lang w:val="en-US"/>
        </w:rPr>
      </w:r>
      <w:r>
        <w:rPr>
          <w:rFonts w:eastAsia="Times New Roman" w:cs="Times New Roman"/>
          <w:sz w:val="22"/>
          <w:szCs w:val="22"/>
          <w:lang w:val="en-US"/>
        </w:rPr>
      </w:r>
      <w:r>
        <w:rPr>
          <w:sz w:val="22"/>
          <w:szCs w:val="22"/>
          <w:lang w:val="en-US"/>
        </w:rPr>
      </w:r>
      <w:r>
        <w:rPr>
          <w:rFonts w:eastAsia="Times New Roman" w:cs="Times New Roman"/>
          <w:sz w:val="22"/>
          <w:szCs w:val="22"/>
          <w:lang w:val="en-US"/>
        </w:rPr>
      </w:r>
      <w:r>
        <w:rPr>
          <w:sz w:val="22"/>
          <w:szCs w:val="22"/>
          <w:lang w:val="en-US"/>
        </w:rPr>
      </w:r>
      <w:r>
        <w:rPr>
          <w:rFonts w:eastAsia="Times New Roman" w:cs="Times New Roman"/>
          <w:sz w:val="22"/>
          <w:szCs w:val="22"/>
          <w:lang w:val="en-US"/>
        </w:rPr>
        <w:t>.</w:t>
      </w:r>
    </w:p>
    <w:tbl>
      <w:tblPr>
        <w:tblW w:w="9026" w:type="dxa"/>
        <w:jc w:val="start"/>
        <w:tblInd w:w="0" w:type="dxa"/>
        <w:tblLayout w:type="fixed"/>
        <w:tblCellMar>
          <w:top w:w="60" w:type="dxa"/>
          <w:start w:w="100" w:type="dxa"/>
          <w:bottom w:w="60" w:type="dxa"/>
          <w:end w:w="100" w:type="dxa"/>
        </w:tblCellMar>
      </w:tblPr>
      <w:tblGrid>
        <w:gridCol w:w="2699"/>
        <w:gridCol w:w="2101"/>
        <w:gridCol w:w="2100"/>
        <w:gridCol w:w="2126"/>
      </w:tblGrid>
      <w:tr>
        <w:trPr>
          <w:tblHeader w:val="true"/>
        </w:trPr>
        <w:tc>
          <w:tcPr>
            <w:tcW w:w="2699"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Observation</w:t>
            </w:r>
          </w:p>
        </w:tc>
        <w:tc>
          <w:tcPr>
            <w:tcW w:w="2101"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A: adaptation</w:t>
            </w:r>
          </w:p>
        </w:tc>
        <w:tc>
          <w:tcPr>
            <w:tcW w:w="2100"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B: rebound</w:t>
            </w:r>
          </w:p>
        </w:tc>
        <w:tc>
          <w:tcPr>
            <w:tcW w:w="2126"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C: no lasting change</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PTZ threshold, G2 versus G1</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Unchanged</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PTZ threshold, G3 versus G1</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Unchanged or ↓ (blockade masks adaptation)</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 xml:space="preserve">↓ </w:t>
            </w:r>
            <w:r>
              <w:rPr>
                <w:rFonts w:eastAsia="Times New Roman" w:cs="Times New Roman"/>
                <w:b w:val="false"/>
                <w:bCs w:val="false"/>
                <w:sz w:val="20"/>
                <w:szCs w:val="20"/>
                <w:lang w:val="en-US"/>
              </w:rPr>
              <w:t>(acute blockade only)</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A₁R density or coupling in G2</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 xml:space="preserve">↑ </w:t>
            </w:r>
            <w:r>
              <w:rPr>
                <w:rFonts w:eastAsia="Times New Roman" w:cs="Times New Roman"/>
                <w:b w:val="false"/>
                <w:bCs w:val="false"/>
                <w:sz w:val="20"/>
                <w:szCs w:val="20"/>
                <w:lang w:val="en-US"/>
              </w:rPr>
              <w:t>(either)</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Variable</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Unchanged</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Adenosine-mediated synaptic depression in G2</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Unchanged or ↓</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Unchanged</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Time course after withdrawal</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Gain decays over days</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Early fall, then normalizes</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 change at any time</w:t>
            </w:r>
          </w:p>
        </w:tc>
      </w:tr>
      <w:tr>
        <w:trPr>
          <w:cantSplit/>
        </w:trPr>
        <w:tc>
          <w:tcPr>
            <w:tcW w:w="26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Residual caffeine and metabolites at test</w:t>
            </w:r>
          </w:p>
        </w:tc>
        <w:tc>
          <w:tcPr>
            <w:tcW w:w="2101"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Not detectable</w:t>
            </w:r>
          </w:p>
        </w:tc>
        <w:tc>
          <w:tcPr>
            <w:tcW w:w="21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Not detectable</w:t>
            </w:r>
          </w:p>
        </w:tc>
        <w:tc>
          <w:tcPr>
            <w:tcW w:w="21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Not detectable</w:t>
            </w:r>
          </w:p>
        </w:tc>
      </w:tr>
    </w:tbl>
    <w:p>
      <w:pPr>
        <w:pStyle w:val="Normal"/>
        <w:spacing w:lineRule="auto" w:line="252" w:before="60" w:after="240"/>
        <w:rPr/>
      </w:pPr>
      <w:r>
        <w:rPr>
          <w:rFonts w:eastAsia="Times New Roman" w:cs="Times New Roman"/>
          <w:sz w:val="20"/>
          <w:szCs w:val="20"/>
          <w:lang w:val="en-US"/>
        </w:rPr>
        <w:t>A positive result is interpretable only if residual caffeine and metabolites are shown to be negligible at the time of testing.</w:t>
      </w:r>
    </w:p>
    <w:p>
      <w:pPr>
        <w:pStyle w:val="Normal"/>
        <w:spacing w:lineRule="auto" w:line="252" w:before="60" w:after="240"/>
        <w:rPr/>
      </w:pPr>
      <w:r>
        <w:rPr>
          <w:b/>
          <w:sz w:val="21"/>
          <w:lang w:val="en-US"/>
        </w:rPr>
        <w:t>Falsification criteria. The hypothesis and this design are refuted</w:t>
      </w:r>
      <w:r>
        <w:rPr>
          <w:b w:val="false"/>
          <w:sz w:val="21"/>
          <w:lang w:val="en-US"/>
        </w:rPr>
        <w:t xml:space="preserve"> by any of the following.</w:t>
      </w:r>
    </w:p>
    <w:p>
      <w:pPr>
        <w:pStyle w:val="Normal"/>
        <w:spacing w:lineRule="auto" w:line="252" w:before="60" w:after="240"/>
        <w:rPr/>
      </w:pPr>
      <w:r>
        <w:rPr>
          <w:b/>
          <w:sz w:val="21"/>
          <w:lang w:val="en-US"/>
        </w:rPr>
        <w:t>C1. The PTZ threshold in G2 does not differ from that in G1 at 48 h while residual caffeine and metabolites are confirmed negligible.</w:t>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t xml:space="preserve"> Hypothesis A fails as stated.</w:t>
      </w:r>
    </w:p>
    <w:p>
      <w:pPr>
        <w:pStyle w:val="Normal"/>
        <w:spacing w:lineRule="auto" w:line="252" w:before="60" w:after="240"/>
        <w:rPr/>
      </w:pPr>
      <w:r>
        <w:rPr>
          <w:b/>
          <w:sz w:val="21"/>
          <w:lang w:val="en-US"/>
        </w:rPr>
        <w:t xml:space="preserve">C2. The </w:t>
      </w:r>
      <w:r>
        <w:rPr>
          <w:b w:val="false"/>
          <w:sz w:val="21"/>
          <w:lang w:val="en-US"/>
        </w:rPr>
        <w:t xml:space="preserve">PTZ threshold in G2 is lower than </w:t>
      </w:r>
      <w:r>
        <w:rPr>
          <w:sz w:val="21"/>
          <w:lang w:val="en-US"/>
        </w:rPr>
        <w:t xml:space="preserve">that in </w:t>
      </w:r>
      <w:r>
        <w:rPr>
          <w:b w:val="false"/>
          <w:sz w:val="21"/>
          <w:lang w:val="en-US"/>
        </w:rPr>
        <w:t>G1 at any interval. Hypothesis B is supported</w:t>
      </w:r>
      <w:r>
        <w:rPr>
          <w:sz w:val="21"/>
          <w:lang w:val="en-US"/>
        </w:rPr>
        <w:t>,</w:t>
      </w:r>
      <w:r>
        <w:rPr>
          <w:b w:val="false"/>
          <w:sz w:val="21"/>
          <w:lang w:val="en-US"/>
        </w:rPr>
        <w:t xml:space="preserve"> and the safety </w:t>
      </w:r>
      <w:r>
        <w:rPr>
          <w:sz w:val="21"/>
          <w:lang w:val="en-US"/>
        </w:rPr>
        <w:t>implications take</w:t>
      </w:r>
      <w:r>
        <w:rPr>
          <w:b w:val="false"/>
          <w:sz w:val="21"/>
          <w:lang w:val="en-US"/>
        </w:rPr>
        <w:t xml:space="preserve"> precedence over the mechanistic </w:t>
      </w:r>
      <w:r>
        <w:rPr>
          <w:sz w:val="21"/>
          <w:lang w:val="en-US"/>
        </w:rPr>
        <w:t>implications</w:t>
      </w:r>
      <w:r>
        <w:rPr>
          <w:b w:val="false"/>
          <w:sz w:val="21"/>
          <w:lang w:val="en-US"/>
        </w:rPr>
        <w:t>.</w:t>
      </w:r>
    </w:p>
    <w:p>
      <w:pPr>
        <w:pStyle w:val="Normal"/>
        <w:spacing w:lineRule="auto" w:line="252" w:before="60" w:after="240"/>
        <w:rPr/>
      </w:pPr>
      <w:r>
        <w:rPr>
          <w:b/>
          <w:sz w:val="21"/>
          <w:lang w:val="en-US"/>
        </w:rPr>
        <w:t xml:space="preserve">C3. </w:t>
      </w:r>
      <w:r>
        <w:rPr>
          <w:b w:val="false"/>
          <w:sz w:val="21"/>
          <w:lang w:val="en-US"/>
        </w:rPr>
        <w:t xml:space="preserve">A₁R binding and function are unchanged in G2 and G3 relative to G1. The proposed mechanism is absent, </w:t>
      </w:r>
      <w:r>
        <w:rPr>
          <w:sz w:val="21"/>
          <w:lang w:val="en-US"/>
        </w:rPr>
        <w:t>regardless of</w:t>
      </w:r>
      <w:r>
        <w:rPr>
          <w:b w:val="false"/>
          <w:sz w:val="21"/>
          <w:lang w:val="en-US"/>
        </w:rPr>
        <w:t xml:space="preserve"> the threshold.</w:t>
      </w:r>
    </w:p>
    <w:p>
      <w:pPr>
        <w:pStyle w:val="Normal"/>
        <w:spacing w:lineRule="auto" w:line="252" w:before="60" w:after="240"/>
        <w:rPr/>
      </w:pPr>
      <w:r>
        <w:rPr>
          <w:b/>
          <w:sz w:val="21"/>
          <w:lang w:val="en-US"/>
        </w:rPr>
        <w:t xml:space="preserve">C4. </w:t>
      </w:r>
      <w:r>
        <w:rPr>
          <w:b w:val="false"/>
          <w:sz w:val="21"/>
          <w:lang w:val="en-US"/>
        </w:rPr>
        <w:t>A threshold difference is present</w:t>
      </w:r>
      <w:r>
        <w:rPr>
          <w:sz w:val="21"/>
          <w:lang w:val="en-US"/>
        </w:rPr>
        <w:t>,</w:t>
      </w:r>
      <w:r>
        <w:rPr>
          <w:b w:val="false"/>
          <w:sz w:val="21"/>
          <w:lang w:val="en-US"/>
        </w:rPr>
        <w:t xml:space="preserve"> but residual caffeine or active metabolites are detectable at testing. </w:t>
      </w:r>
      <w:r>
        <w:rPr>
          <w:sz w:val="21"/>
          <w:lang w:val="en-US"/>
        </w:rPr>
        <w:t>This</w:t>
      </w:r>
      <w:r>
        <w:rPr>
          <w:b w:val="false"/>
          <w:sz w:val="21"/>
          <w:lang w:val="en-US"/>
        </w:rPr>
        <w:t xml:space="preserve"> result is attributed to continuing pharmacology, not adaptation, and is uninterpretable for this hypothesis.</w:t>
      </w:r>
    </w:p>
    <w:p>
      <w:pPr>
        <w:pStyle w:val="Normal"/>
        <w:spacing w:lineRule="auto" w:line="252" w:before="60" w:after="240"/>
        <w:rPr/>
      </w:pPr>
      <w:r>
        <w:rPr>
          <w:b/>
          <w:sz w:val="21"/>
          <w:lang w:val="en-US"/>
        </w:rPr>
        <w:t xml:space="preserve">C5. </w:t>
      </w:r>
      <w:r>
        <w:rPr>
          <w:b w:val="false"/>
          <w:sz w:val="21"/>
          <w:lang w:val="en-US"/>
        </w:rPr>
        <w:t>G3 and G2 do not differ. Adaptation cannot be separated from ongoing receptor blockade in this design.</w:t>
      </w:r>
    </w:p>
    <w:p>
      <w:pPr>
        <w:pStyle w:val="Normal"/>
        <w:spacing w:lineRule="auto" w:line="252" w:before="60" w:after="240"/>
        <w:rPr/>
      </w:pPr>
      <w:r>
        <w:rPr>
          <w:b/>
          <w:sz w:val="21"/>
          <w:lang w:val="en-US"/>
        </w:rPr>
        <w:t xml:space="preserve">C6. </w:t>
      </w:r>
      <w:r>
        <w:rPr>
          <w:b w:val="false"/>
          <w:sz w:val="21"/>
          <w:lang w:val="en-US"/>
        </w:rPr>
        <w:t xml:space="preserve">The effect is present only in one sex and does not survive the </w:t>
      </w:r>
      <w:r>
        <w:rPr>
          <w:sz w:val="21"/>
          <w:lang w:val="en-US"/>
        </w:rPr>
        <w:t>prespecified</w:t>
      </w:r>
      <w:r>
        <w:rPr>
          <w:b w:val="false"/>
          <w:sz w:val="21"/>
          <w:lang w:val="en-US"/>
        </w:rPr>
        <w:t xml:space="preserve"> interaction test. The hypothesis as stated is not supported without qualification.</w:t>
      </w:r>
    </w:p>
    <w:p>
      <w:pPr>
        <w:pStyle w:val="Normal"/>
        <w:spacing w:lineRule="auto" w:line="252" w:before="60" w:after="240"/>
        <w:rPr/>
      </w:pPr>
      <w:r>
        <w:rPr>
          <w:b/>
          <w:sz w:val="21"/>
          <w:lang w:val="en-US"/>
        </w:rPr>
        <w:t xml:space="preserve">C7. </w:t>
      </w:r>
      <w:r>
        <w:rPr>
          <w:b w:val="false"/>
          <w:sz w:val="21"/>
          <w:lang w:val="en-US"/>
        </w:rPr>
        <w:t>EEG gating removes a materially larger share of animals in the caffeine arms than assumed</w:t>
      </w:r>
      <w:r>
        <w:rPr>
          <w:sz w:val="21"/>
          <w:lang w:val="en-US"/>
        </w:rPr>
        <w:t>; thus</w:t>
      </w:r>
      <w:r>
        <w:rPr>
          <w:b w:val="false"/>
          <w:sz w:val="21"/>
          <w:lang w:val="en-US"/>
        </w:rPr>
        <w:t xml:space="preserve">, the exposure actually achieved is not the exposure </w:t>
      </w:r>
      <w:r>
        <w:rPr>
          <w:sz w:val="21"/>
          <w:lang w:val="en-US"/>
        </w:rPr>
        <w:t xml:space="preserve">of </w:t>
      </w:r>
      <w:r>
        <w:rPr>
          <w:b w:val="false"/>
          <w:sz w:val="21"/>
          <w:lang w:val="en-US"/>
        </w:rPr>
        <w:t>the design tested. The trial answers a different question from the one asked.</w:t>
      </w:r>
    </w:p>
    <w:p>
      <w:pPr>
        <w:pStyle w:val="Normal"/>
        <w:spacing w:lineRule="auto" w:line="252" w:before="60" w:after="240"/>
        <w:rPr/>
      </w:pPr>
      <w:r>
        <w:rPr>
          <w:b/>
          <w:sz w:val="21"/>
          <w:lang w:val="en-US"/>
        </w:rPr>
        <w:t>C8. Adaptation is measurable but reverses faster than approximately two days, placing the design outside the powered region shown in Figure 4A.</w:t>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r>
      <w:r>
        <w:rPr>
          <w:sz w:val="21"/>
          <w:lang w:val="en-US"/>
        </w:rPr>
      </w:r>
      <w:r>
        <w:rPr>
          <w:b w:val="false"/>
          <w:sz w:val="21"/>
          <w:lang w:val="en-US"/>
        </w:rPr>
        <w:t xml:space="preserve"> The mechanism may be real and the experiment still uninformative, which is a failure of the design</w:t>
      </w:r>
      <w:r>
        <w:rPr>
          <w:sz w:val="21"/>
          <w:lang w:val="en-US"/>
        </w:rPr>
      </w:r>
      <w:r>
        <w:rPr>
          <w:b w:val="false"/>
          <w:sz w:val="21"/>
          <w:lang w:val="en-US"/>
        </w:rPr>
      </w:r>
      <w:r>
        <w:rPr>
          <w:sz w:val="21"/>
          <w:lang w:val="en-US"/>
        </w:rPr>
      </w:r>
      <w:r>
        <w:rPr>
          <w:b w:val="false"/>
          <w:sz w:val="21"/>
          <w:lang w:val="en-US"/>
        </w:rPr>
        <w:t xml:space="preserve"> rather than of the hypothesis.</w:t>
      </w:r>
    </w:p>
    <w:p>
      <w:pPr>
        <w:pStyle w:val="Heading1"/>
        <w:keepNext w:val="true"/>
        <w:spacing w:lineRule="auto" w:line="480" w:before="240" w:after="120"/>
        <w:rPr/>
      </w:pPr>
      <w:r>
        <w:rPr>
          <w:rFonts w:eastAsia="Times New Roman" w:cs="Times New Roman"/>
          <w:b/>
          <w:bCs/>
          <w:sz w:val="26"/>
          <w:szCs w:val="26"/>
          <w:lang w:val="en-US"/>
        </w:rPr>
        <w:t>3</w:t>
      </w:r>
      <w:r>
        <w:rPr>
          <w:lang w:val="en-US"/>
        </w:rPr>
        <w:t xml:space="preserve"> </w:t>
      </w:r>
      <w:r>
        <w:rPr>
          <w:rFonts w:eastAsia="Times New Roman" w:cs="Times New Roman"/>
          <w:b/>
          <w:bCs/>
          <w:sz w:val="26"/>
          <w:szCs w:val="26"/>
          <w:lang w:val="en-US"/>
        </w:rPr>
        <w:t>Biological rationale and pharmacological plausibility</w:t>
      </w:r>
    </w:p>
    <w:p>
      <w:pPr>
        <w:pStyle w:val="Normal"/>
        <w:spacing w:lineRule="auto" w:line="480" w:before="0" w:after="0"/>
        <w:jc w:val="start"/>
        <w:rPr/>
      </w:pPr>
      <w:r>
        <w:rPr>
          <w:rFonts w:eastAsia="Times New Roman" w:cs="Times New Roman"/>
          <w:b/>
          <w:bCs/>
          <w:lang w:val="en-US"/>
        </w:rPr>
        <w:t>Occupancy and exposure.</w:t>
      </w:r>
      <w:r>
        <w:rPr>
          <w:rFonts w:eastAsia="Times New Roman" w:cs="Times New Roman"/>
          <w:lang w:val="en-US"/>
        </w:rPr>
        <w:t xml:space="preserve"> Caffeine crosses the blood–brain barrier freely by passive diffusion, and </w:t>
      </w:r>
      <w:r>
        <w:rPr>
          <w:lang w:val="en-US"/>
        </w:rPr>
        <w:t>rodent affinity for A₁R lies in the low tens of micromolar range</w:t>
      </w:r>
      <w:r>
        <w:rPr>
          <w:rFonts w:eastAsia="Times New Roman" w:cs="Times New Roman"/>
          <w:lang w:val="en-US"/>
        </w:rPr>
      </w:r>
      <w:r>
        <w:rPr>
          <w:lang w:val="en-US"/>
        </w:rPr>
      </w:r>
      <w:r>
        <w:rPr>
          <w:rFonts w:eastAsia="Times New Roman" w:cs="Times New Roman"/>
          <w:lang w:val="en-US"/>
        </w:rPr>
        <w:t xml:space="preserve"> (4). In CD-1 mice, </w:t>
      </w:r>
      <w:r>
        <w:rPr>
          <w:lang w:val="en-US"/>
        </w:rPr>
        <w:t xml:space="preserve">the </w:t>
      </w:r>
      <w:r>
        <w:rPr>
          <w:rFonts w:eastAsia="Times New Roman" w:cs="Times New Roman"/>
          <w:lang w:val="en-US"/>
        </w:rPr>
        <w:t xml:space="preserve">reported plasma caffeine half-life is approximately 1.3–1.6 h, with </w:t>
      </w:r>
      <w:r>
        <w:rPr>
          <w:lang w:val="en-US"/>
        </w:rPr>
        <w:t xml:space="preserve">a </w:t>
      </w:r>
      <w:r>
        <w:rPr>
          <w:rFonts w:eastAsia="Times New Roman" w:cs="Times New Roman"/>
          <w:lang w:val="en-US"/>
        </w:rPr>
        <w:t>clearance of approximately 0.38–0.64 L/h/kg (13). These parameters, from acute single-dose experiments, imply low-micromolar mean concentrations across the proposed dose range, although actual exposure under drinking-water administration depends on the intake pattern</w:t>
      </w:r>
      <w:r>
        <w:rPr>
          <w:lang w:val="en-US"/>
        </w:rPr>
      </w:r>
      <w:r>
        <w:rPr>
          <w:rFonts w:eastAsia="Times New Roman" w:cs="Times New Roman"/>
          <w:lang w:val="en-US"/>
        </w:rPr>
      </w:r>
      <w:r>
        <w:rPr>
          <w:lang w:val="en-US"/>
        </w:rPr>
      </w:r>
      <w:r>
        <w:rPr>
          <w:rFonts w:eastAsia="Times New Roman" w:cs="Times New Roman"/>
          <w:lang w:val="en-US"/>
        </w:rPr>
        <w:t xml:space="preserve"> and must be measured directly by </w:t>
      </w:r>
      <w:r>
        <w:rPr>
          <w:lang w:val="en-US"/>
        </w:rPr>
        <w:t>LC‒MS</w:t>
      </w:r>
      <w:r>
        <w:rPr>
          <w:rFonts w:eastAsia="Times New Roman" w:cs="Times New Roman"/>
          <w:lang w:val="en-US"/>
        </w:rPr>
        <w:t>/MS. That is</w:t>
      </w:r>
      <w:r>
        <w:rPr>
          <w:lang w:val="en-US"/>
        </w:rPr>
        <w:t>,</w:t>
      </w:r>
      <w:r>
        <w:rPr>
          <w:rFonts w:eastAsia="Times New Roman" w:cs="Times New Roman"/>
          <w:lang w:val="en-US"/>
        </w:rPr>
        <w:t xml:space="preserve"> partial receptor occupancy. Whether partial occupancy suffices to drive adaptation in this paradigm has not been established, and the </w:t>
      </w:r>
      <w:r>
        <w:rPr>
          <w:lang w:val="en-US"/>
        </w:rPr>
        <w:t>relationships among</w:t>
      </w:r>
      <w:r>
        <w:rPr>
          <w:rFonts w:eastAsia="Times New Roman" w:cs="Times New Roman"/>
          <w:lang w:val="en-US"/>
        </w:rPr>
        <w:t xml:space="preserve"> plasma concentration, brain concentration and adaptation used later in the simulation </w:t>
      </w:r>
      <w:r>
        <w:rPr>
          <w:lang w:val="en-US"/>
        </w:rPr>
        <w:t>are assumed</w:t>
      </w:r>
      <w:r>
        <w:rPr>
          <w:rFonts w:eastAsia="Times New Roman" w:cs="Times New Roman"/>
          <w:lang w:val="en-US"/>
        </w:rPr>
        <w:t>. The highest dose scales to about 2.4 mg/kg/day in humans by body-surface area (14)</w:t>
      </w:r>
      <w:r>
        <w:rPr>
          <w:lang w:val="en-US"/>
        </w:rPr>
      </w:r>
      <w:r>
        <w:rPr>
          <w:rFonts w:eastAsia="Times New Roman" w:cs="Times New Roman"/>
          <w:lang w:val="en-US"/>
        </w:rPr>
        <w:t>, given only for context.</w:t>
      </w:r>
    </w:p>
    <w:p>
      <w:pPr>
        <w:pStyle w:val="Normal"/>
        <w:spacing w:lineRule="auto" w:line="480" w:before="0" w:after="0"/>
        <w:jc w:val="start"/>
        <w:rPr/>
      </w:pPr>
      <w:r>
        <w:rPr>
          <w:rFonts w:eastAsia="Times New Roman" w:cs="Times New Roman"/>
          <w:b/>
          <w:bCs/>
          <w:lang w:val="en-US"/>
        </w:rPr>
        <w:t>Continuity of exposure.</w:t>
      </w:r>
      <w:r>
        <w:rPr>
          <w:rFonts w:eastAsia="Times New Roman" w:cs="Times New Roman"/>
          <w:lang w:val="en-US"/>
        </w:rPr>
        <w:t xml:space="preserve"> If adaptation is driven by sustained receptor occupancy, then how caffeine is delivered may matter more than how much is delivered. Caffeine is cleared within hours, so intermittent injections leave receptors unblocked for most of the week and produce high peaks, whereas continuous intake </w:t>
      </w:r>
      <w:r>
        <w:rPr>
          <w:lang w:val="en-US"/>
        </w:rPr>
        <w:t>results in</w:t>
      </w:r>
      <w:r>
        <w:rPr>
          <w:rFonts w:eastAsia="Times New Roman" w:cs="Times New Roman"/>
          <w:lang w:val="en-US"/>
        </w:rPr>
        <w:t xml:space="preserve"> steady partial occupancy without peaks near the convulsive range.</w:t>
      </w:r>
    </w:p>
    <w:p>
      <w:pPr>
        <w:pStyle w:val="Normal"/>
        <w:spacing w:lineRule="auto" w:line="480" w:before="0" w:after="0"/>
        <w:jc w:val="start"/>
        <w:rPr/>
      </w:pPr>
      <w:r>
        <w:rPr>
          <w:rFonts w:eastAsia="Times New Roman" w:cs="Times New Roman"/>
          <w:b/>
          <w:bCs/>
          <w:lang w:val="en-US"/>
        </w:rPr>
        <w:t xml:space="preserve">The </w:t>
      </w:r>
      <w:r>
        <w:rPr>
          <w:b/>
          <w:bCs/>
          <w:lang w:val="en-US"/>
        </w:rPr>
        <w:t>allergen–immunotherapy</w:t>
      </w:r>
      <w:r>
        <w:rPr>
          <w:rFonts w:eastAsia="Times New Roman" w:cs="Times New Roman"/>
          <w:b/>
          <w:bCs/>
          <w:lang w:val="en-US"/>
        </w:rPr>
        <w:t xml:space="preserve"> analogy.</w:t>
      </w:r>
      <w:r>
        <w:rPr>
          <w:rFonts w:eastAsia="Times New Roman" w:cs="Times New Roman"/>
          <w:lang w:val="en-US"/>
        </w:rPr>
        <w:t xml:space="preserve"> Gradual dose escalation with </w:t>
      </w:r>
      <w:r>
        <w:rPr>
          <w:lang w:val="en-US"/>
        </w:rPr>
        <w:t>postdose</w:t>
      </w:r>
      <w:r>
        <w:rPr>
          <w:rFonts w:eastAsia="Times New Roman" w:cs="Times New Roman"/>
          <w:lang w:val="en-US"/>
        </w:rPr>
        <w:t xml:space="preserve"> observation is borrowed from allergen immunotherapy build-up protocols (15). The analogy ends there: an allergen leaves durable immunological memory, whereas caffeine produces pharmacokinetic exposure and homeostatic, probably reversible, receptor adaptation. We therefore treat injected “caffeine shots” as a testable delivery mode (Supporting Information), not as an established </w:t>
      </w:r>
      <w:r>
        <w:rPr>
          <w:lang w:val="en-US"/>
        </w:rPr>
        <w:t>analog</w:t>
      </w:r>
      <w:r>
        <w:rPr>
          <w:rFonts w:eastAsia="Times New Roman" w:cs="Times New Roman"/>
          <w:lang w:val="en-US"/>
        </w:rPr>
        <w:t>.</w:t>
      </w:r>
    </w:p>
    <w:p>
      <w:pPr>
        <w:pStyle w:val="Heading1"/>
        <w:keepNext w:val="true"/>
        <w:spacing w:lineRule="auto" w:line="480" w:before="240" w:after="120"/>
        <w:rPr/>
      </w:pPr>
      <w:r>
        <w:rPr>
          <w:rFonts w:eastAsia="Times New Roman" w:cs="Times New Roman"/>
          <w:b/>
          <w:bCs/>
          <w:sz w:val="26"/>
          <w:szCs w:val="26"/>
          <w:lang w:val="en-US"/>
        </w:rPr>
        <w:t>4</w:t>
      </w:r>
      <w:r>
        <w:rPr>
          <w:lang w:val="en-US"/>
        </w:rPr>
        <w:t xml:space="preserve"> </w:t>
      </w:r>
      <w:r>
        <w:rPr>
          <w:rFonts w:eastAsia="Times New Roman" w:cs="Times New Roman"/>
          <w:b/>
          <w:bCs/>
          <w:sz w:val="26"/>
          <w:szCs w:val="26"/>
          <w:lang w:val="en-US"/>
        </w:rPr>
        <w:t>A minimal experimental test</w:t>
      </w:r>
    </w:p>
    <w:p>
      <w:pPr>
        <w:pStyle w:val="Normal"/>
        <w:spacing w:lineRule="auto" w:line="480" w:before="0" w:after="0"/>
        <w:jc w:val="start"/>
        <w:rPr/>
      </w:pPr>
      <w:r>
        <w:rPr>
          <w:rFonts w:eastAsia="Times New Roman" w:cs="Times New Roman"/>
          <w:lang w:val="en-US"/>
        </w:rPr>
        <w:t xml:space="preserve">The core experiment has three groups (Table 2). </w:t>
      </w:r>
      <w:r>
        <w:rPr>
          <w:lang w:val="en-US"/>
        </w:rPr>
        <w:t>Mice receive plain water (G1) or caffeine in drinking water escalated from 5 to 30 mg/kg/day over 8 weeks and held to week 12, under continuous video-EEG with prespecified rules that step a mouse back if interictal spikes, electrographic seizures or behavioral overstimulation appear.</w:t>
      </w:r>
      <w:r>
        <w:rPr>
          <w:rFonts w:eastAsia="Times New Roman" w:cs="Times New Roman"/>
          <w:lang w:val="en-US"/>
        </w:rPr>
      </w:r>
      <w:r>
        <w:rPr>
          <w:lang w:val="en-US"/>
        </w:rPr>
      </w:r>
      <w:r>
        <w:rPr>
          <w:rFonts w:eastAsia="Times New Roman" w:cs="Times New Roman"/>
          <w:lang w:val="en-US"/>
        </w:rPr>
      </w:r>
      <w:r>
        <w:rPr>
          <w:lang w:val="en-US"/>
        </w:rPr>
      </w:r>
      <w:r>
        <w:rPr>
          <w:rFonts w:eastAsia="Times New Roman" w:cs="Times New Roman"/>
          <w:lang w:val="en-US"/>
        </w:rPr>
      </w:r>
      <w:r>
        <w:rPr>
          <w:lang w:val="en-US"/>
        </w:rPr>
      </w:r>
      <w:r>
        <w:rPr>
          <w:rFonts w:eastAsia="Times New Roman" w:cs="Times New Roman"/>
          <w:lang w:val="en-US"/>
        </w:rPr>
      </w:r>
      <w:r>
        <w:rPr>
          <w:lang w:val="en-US"/>
        </w:rPr>
      </w:r>
      <w:r>
        <w:rPr>
          <w:rFonts w:eastAsia="Times New Roman" w:cs="Times New Roman"/>
          <w:lang w:val="en-US"/>
        </w:rPr>
        <w:t xml:space="preserve"> Caffeine is then stopped (G2) or continued (G3). The G3 comparison separates adaptation from ongoing A₁ blockade, and G2 tests what remains after clearance.</w:t>
      </w:r>
    </w:p>
    <w:p>
      <w:pPr>
        <w:pStyle w:val="Normal"/>
        <w:keepNext w:val="true"/>
        <w:spacing w:lineRule="auto" w:line="276" w:before="200" w:after="80"/>
        <w:rPr/>
      </w:pPr>
      <w:r>
        <w:rPr>
          <w:rFonts w:eastAsia="Times New Roman" w:cs="Times New Roman"/>
          <w:b/>
          <w:bCs/>
          <w:sz w:val="22"/>
          <w:szCs w:val="22"/>
          <w:lang w:val="en-US"/>
        </w:rPr>
        <w:t>Table 2. Core groups and the mechanistic contrast each provides.</w:t>
      </w:r>
      <w:r>
        <w:rPr>
          <w:rFonts w:eastAsia="Times New Roman" w:cs="Times New Roman"/>
          <w:sz w:val="22"/>
          <w:szCs w:val="22"/>
          <w:lang w:val="en-US"/>
        </w:rPr>
      </w:r>
      <w:r>
        <w:rPr>
          <w:sz w:val="22"/>
          <w:szCs w:val="22"/>
          <w:lang w:val="en-US"/>
        </w:rPr>
      </w:r>
      <w:r>
        <w:rPr>
          <w:rFonts w:eastAsia="Times New Roman" w:cs="Times New Roman"/>
          <w:sz w:val="22"/>
          <w:szCs w:val="22"/>
          <w:lang w:val="en-US"/>
        </w:rPr>
      </w:r>
      <w:r>
        <w:rPr>
          <w:sz w:val="22"/>
          <w:szCs w:val="22"/>
          <w:lang w:val="en-US"/>
        </w:rPr>
      </w:r>
      <w:r>
        <w:rPr>
          <w:rFonts w:eastAsia="Times New Roman" w:cs="Times New Roman"/>
          <w:sz w:val="22"/>
          <w:szCs w:val="22"/>
          <w:lang w:val="en-US"/>
        </w:rPr>
      </w:r>
    </w:p>
    <w:tbl>
      <w:tblPr>
        <w:tblW w:w="9026" w:type="dxa"/>
        <w:jc w:val="start"/>
        <w:tblInd w:w="0" w:type="dxa"/>
        <w:tblLayout w:type="fixed"/>
        <w:tblCellMar>
          <w:top w:w="60" w:type="dxa"/>
          <w:start w:w="100" w:type="dxa"/>
          <w:bottom w:w="60" w:type="dxa"/>
          <w:end w:w="100" w:type="dxa"/>
        </w:tblCellMar>
      </w:tblPr>
      <w:tblGrid>
        <w:gridCol w:w="3299"/>
        <w:gridCol w:w="1900"/>
        <w:gridCol w:w="1900"/>
        <w:gridCol w:w="1927"/>
      </w:tblGrid>
      <w:tr>
        <w:trPr>
          <w:tblHeader w:val="true"/>
        </w:trPr>
        <w:tc>
          <w:tcPr>
            <w:tcW w:w="3299"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Group</w:t>
            </w:r>
          </w:p>
        </w:tc>
        <w:tc>
          <w:tcPr>
            <w:tcW w:w="1900"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Caffeine at testing</w:t>
            </w:r>
          </w:p>
        </w:tc>
        <w:tc>
          <w:tcPr>
            <w:tcW w:w="1900"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Adaptation possible</w:t>
            </w:r>
          </w:p>
        </w:tc>
        <w:tc>
          <w:tcPr>
            <w:tcW w:w="1927"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Acute A₁ blockade</w:t>
            </w:r>
          </w:p>
        </w:tc>
      </w:tr>
      <w:tr>
        <w:trPr>
          <w:cantSplit/>
        </w:trPr>
        <w:tc>
          <w:tcPr>
            <w:tcW w:w="32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G1 Vehicle</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w:t>
            </w:r>
          </w:p>
        </w:tc>
        <w:tc>
          <w:tcPr>
            <w:tcW w:w="192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w:t>
            </w:r>
          </w:p>
        </w:tc>
      </w:tr>
      <w:tr>
        <w:trPr>
          <w:cantSplit/>
        </w:trPr>
        <w:tc>
          <w:tcPr>
            <w:tcW w:w="32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G2 Escalated, then withdrawn</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 provided caffeine and metabolites are below predefined assay thresholds</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Yes</w:t>
            </w:r>
          </w:p>
        </w:tc>
        <w:tc>
          <w:tcPr>
            <w:tcW w:w="192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w:t>
            </w:r>
          </w:p>
        </w:tc>
      </w:tr>
      <w:tr>
        <w:trPr>
          <w:cantSplit/>
        </w:trPr>
        <w:tc>
          <w:tcPr>
            <w:tcW w:w="32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G3 Escalated, continued</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Yes</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Yes</w:t>
            </w:r>
          </w:p>
        </w:tc>
        <w:tc>
          <w:tcPr>
            <w:tcW w:w="192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Yes</w:t>
            </w:r>
          </w:p>
        </w:tc>
      </w:tr>
      <w:tr>
        <w:trPr>
          <w:cantSplit/>
        </w:trPr>
        <w:tc>
          <w:tcPr>
            <w:tcW w:w="3299"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Exploratory (Supporting Information): taper; injected; sustained-release depot</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As G2</w:t>
            </w:r>
          </w:p>
        </w:tc>
        <w:tc>
          <w:tcPr>
            <w:tcW w:w="190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Yes</w:t>
            </w:r>
          </w:p>
        </w:tc>
        <w:tc>
          <w:tcPr>
            <w:tcW w:w="192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No</w:t>
            </w:r>
          </w:p>
        </w:tc>
      </w:tr>
    </w:tbl>
    <w:p>
      <w:pPr>
        <w:pStyle w:val="Normal"/>
        <w:spacing w:lineRule="auto" w:line="252" w:before="60" w:after="240"/>
        <w:rPr/>
      </w:pPr>
      <w:r>
        <w:rPr/>
      </w:r>
    </w:p>
    <w:p>
      <w:pPr>
        <w:pStyle w:val="Normal"/>
        <w:spacing w:lineRule="auto" w:line="480" w:before="0" w:after="0"/>
        <w:jc w:val="start"/>
        <w:rPr/>
      </w:pPr>
      <w:r>
        <w:rPr>
          <w:rFonts w:eastAsia="Times New Roman" w:cs="Times New Roman"/>
          <w:lang w:val="en-US"/>
        </w:rPr>
        <w:t xml:space="preserve">The primary outcome is </w:t>
      </w:r>
      <w:r>
        <w:rPr>
          <w:lang w:val="en-US"/>
        </w:rPr>
        <w:t xml:space="preserve">the </w:t>
      </w:r>
      <w:r>
        <w:rPr>
          <w:rFonts w:eastAsia="Times New Roman" w:cs="Times New Roman"/>
          <w:lang w:val="en-US"/>
        </w:rPr>
        <w:t xml:space="preserve">i.v. PTZ seizure threshold. PTZ is a mechanistic first-pass screen of seizure susceptibility in healthy brains, not a model of epilepsy or a demonstration of antiseizure efficacy (16). Mechanistic outcomes </w:t>
      </w:r>
      <w:r>
        <w:rPr>
          <w:lang w:val="en-US"/>
        </w:rPr>
        <w:t>include</w:t>
      </w:r>
      <w:r>
        <w:rPr>
          <w:rFonts w:eastAsia="Times New Roman" w:cs="Times New Roman"/>
          <w:lang w:val="en-US"/>
        </w:rPr>
        <w:t xml:space="preserve"> A₁R density (micro-PET with [¹⁸F]CPFPX (17) validated by ex vivo binding), A₁R function (DPCPX-sensitive adenosine-mediated depression of hippocampal synaptic transmission), and plasma and brain caffeine and its active metabolites (paraxanthine, theophylline, </w:t>
      </w:r>
      <w:r>
        <w:rPr>
          <w:lang w:val="en-US"/>
        </w:rPr>
        <w:t xml:space="preserve">and </w:t>
      </w:r>
      <w:r>
        <w:rPr>
          <w:rFonts w:eastAsia="Times New Roman" w:cs="Times New Roman"/>
          <w:lang w:val="en-US"/>
        </w:rPr>
        <w:t xml:space="preserve">theobromine) by </w:t>
      </w:r>
      <w:r>
        <w:rPr>
          <w:lang w:val="en-US"/>
        </w:rPr>
        <w:t>LC‒MS</w:t>
      </w:r>
      <w:r>
        <w:rPr>
          <w:rFonts w:eastAsia="Times New Roman" w:cs="Times New Roman"/>
          <w:lang w:val="en-US"/>
        </w:rPr>
        <w:t>/MS. Testing at several intervals after withdrawal (for example</w:t>
      </w:r>
      <w:r>
        <w:rPr>
          <w:lang w:val="en-US"/>
        </w:rPr>
        <w:t>,</w:t>
      </w:r>
      <w:r>
        <w:rPr>
          <w:rFonts w:eastAsia="Times New Roman" w:cs="Times New Roman"/>
          <w:lang w:val="en-US"/>
        </w:rPr>
        <w:t xml:space="preserve"> 24, 48 and 96 h, in separate cohorts) addresses the residual</w:t>
      </w:r>
      <w:r>
        <w:rPr>
          <w:lang w:val="en-US"/>
        </w:rPr>
        <w:t xml:space="preserve"> </w:t>
      </w:r>
      <w:r>
        <w:rPr>
          <w:rFonts w:eastAsia="Times New Roman" w:cs="Times New Roman"/>
          <w:lang w:val="en-US"/>
        </w:rPr>
        <w:t xml:space="preserve">drug window in which the rat PET study </w:t>
      </w:r>
      <w:r>
        <w:rPr>
          <w:lang w:val="en-US"/>
        </w:rPr>
        <w:t>revealed</w:t>
      </w:r>
      <w:r>
        <w:rPr>
          <w:rFonts w:eastAsia="Times New Roman" w:cs="Times New Roman"/>
          <w:lang w:val="en-US"/>
        </w:rPr>
        <w:t xml:space="preserve"> a transient </w:t>
      </w:r>
      <w:r>
        <w:rPr>
          <w:lang w:val="en-US"/>
        </w:rPr>
        <w:t>decrease</w:t>
      </w:r>
      <w:r>
        <w:rPr>
          <w:rFonts w:eastAsia="Times New Roman" w:cs="Times New Roman"/>
          <w:lang w:val="en-US"/>
        </w:rPr>
        <w:t xml:space="preserve"> in availability associated with residual caffeine and metabolites (12). The intervals have distinct roles: 4–6 h is dominated by residual drug, 24 h is a transition zone, 48 h is the primary test and 96 h tests persistence or reversal. Sex is a factor throughout, allocation is randomized and outcome assessment</w:t>
      </w:r>
      <w:r>
        <w:rPr>
          <w:lang w:val="en-US"/>
        </w:rPr>
        <w:t>-</w:t>
      </w:r>
      <w:r>
        <w:rPr>
          <w:rFonts w:eastAsia="Times New Roman" w:cs="Times New Roman"/>
          <w:lang w:val="en-US"/>
        </w:rPr>
        <w:t xml:space="preserve">blinded, and reporting follows ARRIVE 2.0 (18). If sustained-release delivery proves infeasible, osmotic minipumps with staged replacement serve as the positive control for continuous delivery. The full protocol is </w:t>
      </w:r>
      <w:r>
        <w:rPr>
          <w:lang w:val="en-US"/>
        </w:rPr>
        <w:t xml:space="preserve">provided </w:t>
      </w:r>
      <w:r>
        <w:rPr>
          <w:rFonts w:eastAsia="Times New Roman" w:cs="Times New Roman"/>
          <w:lang w:val="en-US"/>
        </w:rPr>
        <w:t>in the Supporting Information. No animal work is proposed here without prior institutional approval and registration.</w:t>
      </w:r>
      <w:r>
        <w:rPr>
          <w:lang w:val="en-US"/>
        </w:rPr>
      </w:r>
      <w:r>
        <w:rPr>
          <w:rFonts w:eastAsia="Times New Roman" w:cs="Times New Roman"/>
          <w:lang w:val="en-US"/>
        </w:rPr>
      </w:r>
    </w:p>
    <w:p>
      <w:pPr>
        <w:pStyle w:val="Heading1"/>
        <w:keepNext w:val="true"/>
        <w:spacing w:lineRule="auto" w:line="480" w:before="240" w:after="120"/>
        <w:rPr/>
      </w:pPr>
      <w:r>
        <w:rPr>
          <w:rFonts w:eastAsia="Times New Roman" w:cs="Times New Roman"/>
          <w:b/>
          <w:bCs/>
          <w:sz w:val="26"/>
          <w:szCs w:val="26"/>
          <w:lang w:val="en-US"/>
        </w:rPr>
        <w:t>5  Monte Carlo design analysis</w:t>
      </w:r>
    </w:p>
    <w:p>
      <w:pPr>
        <w:pStyle w:val="Normal"/>
        <w:spacing w:lineRule="auto" w:line="480" w:before="0" w:after="0"/>
        <w:jc w:val="start"/>
        <w:rPr/>
      </w:pPr>
      <w:r>
        <w:rPr>
          <w:rFonts w:eastAsia="Times New Roman" w:cs="Times New Roman"/>
          <w:lang w:val="en-US"/>
        </w:rPr>
        <w:t>A single-file Monte Carlo model (Supporting Information; open code) was used to explore the delivery mode, washout schedule and sample size before any animals are used (19)</w:t>
      </w:r>
      <w:r>
        <w:rPr>
          <w:lang w:val="en-US"/>
        </w:rPr>
      </w:r>
      <w:r>
        <w:rPr>
          <w:rFonts w:eastAsia="Times New Roman" w:cs="Times New Roman"/>
          <w:lang w:val="en-US"/>
        </w:rPr>
      </w:r>
      <w:r>
        <w:rPr>
          <w:lang w:val="en-US"/>
        </w:rPr>
      </w:r>
      <w:r>
        <w:rPr>
          <w:rFonts w:eastAsia="Times New Roman" w:cs="Times New Roman"/>
          <w:lang w:val="en-US"/>
        </w:rPr>
        <w:t xml:space="preserve">. It combines a one-compartment pharmacokinetic model anchored to published mouse data (13) with an assumed, slowly developing and reversible adaptation of A₁R availability driven by receptor occupancy, weekly EEG-style gating, and an assumed convulsive plasma threshold. </w:t>
      </w:r>
      <w:r>
        <w:rPr>
          <w:rFonts w:eastAsia="Times New Roman" w:cs="Times New Roman"/>
          <w:b/>
          <w:bCs/>
          <w:lang w:val="en-US"/>
        </w:rPr>
        <w:t>Only the pharmacokinetic parameters are empirically anchored; the adaptation parameters are assumptions, and the model assumes the mechanism it explores.</w:t>
      </w:r>
      <w:r>
        <w:rPr>
          <w:rFonts w:eastAsia="Times New Roman" w:cs="Times New Roman"/>
          <w:lang w:val="en-US"/>
        </w:rPr>
        <w:t xml:space="preserve"> Its outputs are therefore planning scenarios, not predictions, and a </w:t>
      </w:r>
      <w:r>
        <w:rPr>
          <w:lang w:val="en-US"/>
        </w:rPr>
        <w:t>modeled</w:t>
      </w:r>
      <w:r>
        <w:rPr>
          <w:rFonts w:eastAsia="Times New Roman" w:cs="Times New Roman"/>
          <w:lang w:val="en-US"/>
        </w:rPr>
        <w:t xml:space="preserve"> gain is not evidence that the gain occurs.</w:t>
      </w:r>
    </w:p>
    <w:p>
      <w:pPr>
        <w:pStyle w:val="Normal"/>
        <w:spacing w:lineRule="auto" w:line="480" w:before="0" w:after="0"/>
        <w:jc w:val="start"/>
        <w:rPr/>
      </w:pPr>
      <w:r>
        <w:rPr>
          <w:rFonts w:eastAsia="Times New Roman" w:cs="Times New Roman"/>
          <w:b/>
          <w:bCs/>
          <w:lang w:val="en-US"/>
        </w:rPr>
        <w:t>Continuity.</w:t>
      </w:r>
      <w:r>
        <w:rPr>
          <w:rFonts w:eastAsia="Times New Roman" w:cs="Times New Roman"/>
          <w:lang w:val="en-US"/>
        </w:rPr>
        <w:t xml:space="preserve"> For equal weekly exposure, continuous delivery yielded a </w:t>
      </w:r>
      <w:r>
        <w:rPr>
          <w:lang w:val="en-US"/>
        </w:rPr>
        <w:t>modeled</w:t>
      </w:r>
      <w:r>
        <w:rPr>
          <w:rFonts w:eastAsia="Times New Roman" w:cs="Times New Roman"/>
          <w:lang w:val="en-US"/>
        </w:rPr>
        <w:t xml:space="preserve"> A₁R gain of 22.0%, injections three times weekly </w:t>
      </w:r>
      <w:r>
        <w:rPr>
          <w:lang w:val="en-US"/>
        </w:rPr>
        <w:t xml:space="preserve">of </w:t>
      </w:r>
      <w:r>
        <w:rPr>
          <w:rFonts w:eastAsia="Times New Roman" w:cs="Times New Roman"/>
          <w:lang w:val="en-US"/>
        </w:rPr>
        <w:t xml:space="preserve">5.5% and a 14-day sustained-release depot </w:t>
      </w:r>
      <w:r>
        <w:rPr>
          <w:lang w:val="en-US"/>
        </w:rPr>
        <w:t xml:space="preserve">of </w:t>
      </w:r>
      <w:r>
        <w:rPr>
          <w:rFonts w:eastAsia="Times New Roman" w:cs="Times New Roman"/>
          <w:lang w:val="en-US"/>
        </w:rPr>
        <w:t xml:space="preserve">13.2% (Figure 2). Injections also produced peaks near the assumed EEG-flag level (median 197 µM versus 31 µM continuous), with at least one flagged week in 59% of </w:t>
      </w:r>
      <w:r>
        <w:rPr>
          <w:lang w:val="en-US"/>
        </w:rPr>
        <w:t xml:space="preserve">the </w:t>
      </w:r>
      <w:r>
        <w:rPr>
          <w:rFonts w:eastAsia="Times New Roman" w:cs="Times New Roman"/>
          <w:lang w:val="en-US"/>
        </w:rPr>
        <w:t xml:space="preserve">virtual animals and none for continuous delivery. This ordering persisted across the sensitivity scenarios examined in Table 3 because the model’s premise is that adaptation follows time-averaged occupancy. If real adaptation </w:t>
      </w:r>
      <w:r>
        <w:rPr>
          <w:lang w:val="en-US"/>
        </w:rPr>
        <w:t>was</w:t>
      </w:r>
      <w:r>
        <w:rPr>
          <w:rFonts w:eastAsia="Times New Roman" w:cs="Times New Roman"/>
          <w:lang w:val="en-US"/>
        </w:rPr>
        <w:t xml:space="preserve"> driven by peak exposure</w:t>
      </w:r>
      <w:r>
        <w:rPr>
          <w:lang w:val="en-US"/>
        </w:rPr>
        <w:t>,</w:t>
      </w:r>
      <w:r>
        <w:rPr>
          <w:rFonts w:eastAsia="Times New Roman" w:cs="Times New Roman"/>
          <w:lang w:val="en-US"/>
        </w:rPr>
        <w:t xml:space="preserve"> the ordering could reverse, which the exploratory injected arm would reveal. Halving the assumed convulsive threshold raised flag rates to 99% for injections and 78% for the depot and left continuous delivery at 0.7%.</w:t>
      </w:r>
    </w:p>
    <w:p>
      <w:pPr>
        <w:pStyle w:val="Normal"/>
        <w:keepNext w:val="true"/>
        <w:spacing w:before="200" w:after="60"/>
        <w:rPr/>
      </w:pPr>
      <w:r>
        <w:rPr/>
        <w:drawing>
          <wp:inline distT="0" distB="0" distL="0" distR="0">
            <wp:extent cx="5715000" cy="2238375"/>
            <wp:effectExtent l="0" t="0" r="0" b="0"/>
            <wp:docPr id="2" name="/home/claude/mc/mc_out/Fig2_exposure_adaptation.png" descr="**Figure 2.** Modelled exposure and adaptation under assumed parameters. (A) Plasma caffeine in a typical virtual mouse during maintenance. (B) Modelled A₁R density over time (mean and 5th–95th percentile band); the vertical line marks testing at day 86. Continuous delivery, injections at equal weekly exposure and a depot are compared, with an abrupt stop as the dashed line. Model outputs are conditional on assumed adaptation parameters and should not be interpreted as experimental observations." title="/home/claude/mc/mc_out/Fig2_exposure_adap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claude/mc/mc_out/Fig2_exposure_adaptation.png" descr="**Figure 2.** Modelled exposure and adaptation under assumed parameters. (A) Plasma caffeine in a typical virtual mouse during maintenance. (B) Modelled A₁R density over time (mean and 5th–95th percentile band); the vertical line marks testing at day 86. Continuous delivery, injections at equal weekly exposure and a depot are compared, with an abrupt stop as the dashed line. Model outputs are conditional on assumed adaptation parameters and should not be interpreted as experimental observations." title="/home/claude/mc/mc_out/Fig2_exposure_adaptation.png"/>
                    <pic:cNvPicPr>
                      <a:picLocks noChangeAspect="1" noChangeArrowheads="1"/>
                    </pic:cNvPicPr>
                  </pic:nvPicPr>
                  <pic:blipFill>
                    <a:blip r:embed="rId3"/>
                    <a:stretch>
                      <a:fillRect/>
                    </a:stretch>
                  </pic:blipFill>
                  <pic:spPr bwMode="auto">
                    <a:xfrm>
                      <a:off x="0" y="0"/>
                      <a:ext cx="5715000" cy="2238375"/>
                    </a:xfrm>
                    <a:prstGeom prst="rect">
                      <a:avLst/>
                    </a:prstGeom>
                    <a:noFill/>
                  </pic:spPr>
                </pic:pic>
              </a:graphicData>
            </a:graphic>
          </wp:inline>
        </w:drawing>
      </w:r>
    </w:p>
    <w:p>
      <w:pPr>
        <w:pStyle w:val="Normal"/>
        <w:spacing w:lineRule="auto" w:line="252" w:before="0" w:after="240"/>
        <w:rPr/>
      </w:pPr>
      <w:r>
        <w:rPr>
          <w:rFonts w:eastAsia="Times New Roman" w:cs="Times New Roman"/>
          <w:b/>
          <w:bCs/>
          <w:sz w:val="20"/>
          <w:szCs w:val="20"/>
          <w:lang w:val="en-US"/>
        </w:rPr>
        <w:t>Figure 2.</w:t>
      </w:r>
      <w:r>
        <w:rPr>
          <w:rFonts w:eastAsia="Times New Roman" w:cs="Times New Roman"/>
          <w:sz w:val="20"/>
          <w:szCs w:val="20"/>
          <w:lang w:val="en-US"/>
        </w:rPr>
        <w:t xml:space="preserve"> </w:t>
      </w:r>
      <w:r>
        <w:rPr>
          <w:sz w:val="20"/>
          <w:szCs w:val="20"/>
          <w:lang w:val="en-US"/>
        </w:rPr>
        <w:t>Modeled</w:t>
      </w:r>
      <w:r>
        <w:rPr>
          <w:rFonts w:eastAsia="Times New Roman" w:cs="Times New Roman"/>
          <w:sz w:val="20"/>
          <w:szCs w:val="20"/>
          <w:lang w:val="en-US"/>
        </w:rPr>
        <w:t xml:space="preserve"> exposure and adaptation under assumed parameters. (A) Plasma caffeine </w:t>
      </w:r>
      <w:r>
        <w:rPr>
          <w:sz w:val="20"/>
          <w:szCs w:val="20"/>
          <w:lang w:val="en-US"/>
        </w:rPr>
        <w:t xml:space="preserve">concentration </w:t>
      </w:r>
      <w:r>
        <w:rPr>
          <w:rFonts w:eastAsia="Times New Roman" w:cs="Times New Roman"/>
          <w:sz w:val="20"/>
          <w:szCs w:val="20"/>
          <w:lang w:val="en-US"/>
        </w:rPr>
        <w:t xml:space="preserve">in a typical virtual mouse during maintenance. (B) Modeled A₁R density over time (mean and 5th–95th percentile band); the vertical line </w:t>
      </w:r>
      <w:r>
        <w:rPr>
          <w:sz w:val="20"/>
          <w:szCs w:val="20"/>
          <w:lang w:val="en-US"/>
        </w:rPr>
        <w:t>indicates</w:t>
      </w:r>
      <w:r>
        <w:rPr>
          <w:rFonts w:eastAsia="Times New Roman" w:cs="Times New Roman"/>
          <w:sz w:val="20"/>
          <w:szCs w:val="20"/>
          <w:lang w:val="en-US"/>
        </w:rPr>
        <w:t xml:space="preserve"> testing on day 86. Continuous delivery, injections at equal weekly exposure and a depot are compared, with an abrupt stop as the dashed line. Model outputs are conditional on assumed adaptation parameters and should not be interpreted as experimental observations.</w:t>
      </w:r>
    </w:p>
    <w:p>
      <w:pPr>
        <w:pStyle w:val="Normal"/>
        <w:spacing w:lineRule="auto" w:line="480" w:before="0" w:after="0"/>
        <w:jc w:val="start"/>
        <w:rPr/>
      </w:pPr>
      <w:r>
        <w:rPr>
          <w:rFonts w:eastAsia="Times New Roman" w:cs="Times New Roman"/>
          <w:b/>
          <w:bCs/>
          <w:lang w:val="en-US"/>
        </w:rPr>
        <w:t>Persistence.</w:t>
      </w:r>
      <w:r>
        <w:rPr>
          <w:rFonts w:eastAsia="Times New Roman" w:cs="Times New Roman"/>
          <w:lang w:val="en-US"/>
        </w:rPr>
        <w:t xml:space="preserve"> The </w:t>
      </w:r>
      <w:r>
        <w:rPr>
          <w:lang w:val="en-US"/>
        </w:rPr>
        <w:t>modeled</w:t>
      </w:r>
      <w:r>
        <w:rPr>
          <w:rFonts w:eastAsia="Times New Roman" w:cs="Times New Roman"/>
          <w:lang w:val="en-US"/>
        </w:rPr>
        <w:t xml:space="preserve"> gain at testing depends chiefly on how fast adaptation is assumed to reverse. With a receptor decay time constant of 7 days</w:t>
      </w:r>
      <w:r>
        <w:rPr>
          <w:lang w:val="en-US"/>
        </w:rPr>
        <w:t>,</w:t>
      </w:r>
      <w:r>
        <w:rPr>
          <w:rFonts w:eastAsia="Times New Roman" w:cs="Times New Roman"/>
          <w:lang w:val="en-US"/>
        </w:rPr>
        <w:t xml:space="preserve"> the gain was 22.0%, </w:t>
      </w:r>
      <w:r>
        <w:rPr>
          <w:lang w:val="en-US"/>
        </w:rPr>
        <w:t>which decreased</w:t>
      </w:r>
      <w:r>
        <w:rPr>
          <w:rFonts w:eastAsia="Times New Roman" w:cs="Times New Roman"/>
          <w:lang w:val="en-US"/>
        </w:rPr>
        <w:t xml:space="preserve"> to 13.2% at 1 day and 9.2% at 0.5 </w:t>
      </w:r>
      <w:r>
        <w:rPr>
          <w:lang w:val="en-US"/>
        </w:rPr>
        <w:t>days</w:t>
      </w:r>
      <w:r>
        <w:rPr>
          <w:rFonts w:eastAsia="Times New Roman" w:cs="Times New Roman"/>
          <w:lang w:val="en-US"/>
        </w:rPr>
        <w:t>. A “fast reversal” scenario resembling the rat PET result (6-h occupancy averaging window, 0.5 day</w:t>
      </w:r>
      <w:r>
        <w:rPr>
          <w:lang w:val="en-US"/>
        </w:rPr>
        <w:t xml:space="preserve"> of decay) resulted in</w:t>
      </w:r>
      <w:r>
        <w:rPr>
          <w:rFonts w:eastAsia="Times New Roman" w:cs="Times New Roman"/>
          <w:lang w:val="en-US"/>
        </w:rPr>
        <w:t xml:space="preserve"> 1.4%, with </w:t>
      </w:r>
      <w:r>
        <w:rPr>
          <w:lang w:val="en-US"/>
        </w:rPr>
        <w:t xml:space="preserve">a </w:t>
      </w:r>
      <w:r>
        <w:rPr>
          <w:rFonts w:eastAsia="Times New Roman" w:cs="Times New Roman"/>
          <w:lang w:val="en-US"/>
        </w:rPr>
        <w:t xml:space="preserve">power (0.06) close to the type I error (Table 3, Figure 3). A 2-week taper approximately halved the gain (11.0% versus 22.0%), so the core design stops caffeine abruptly and tests early, with a taper </w:t>
      </w:r>
      <w:r>
        <w:rPr>
          <w:lang w:val="en-US"/>
        </w:rPr>
        <w:t>subarm</w:t>
      </w:r>
      <w:r>
        <w:rPr>
          <w:rFonts w:eastAsia="Times New Roman" w:cs="Times New Roman"/>
          <w:lang w:val="en-US"/>
        </w:rPr>
        <w:t xml:space="preserve"> to check this.</w:t>
      </w:r>
    </w:p>
    <w:p>
      <w:pPr>
        <w:pStyle w:val="Normal"/>
        <w:spacing w:lineRule="auto" w:line="480" w:before="0" w:after="0"/>
        <w:jc w:val="start"/>
        <w:rPr/>
      </w:pPr>
      <w:r>
        <w:rPr>
          <w:rFonts w:eastAsia="Times New Roman" w:cs="Times New Roman"/>
          <w:b/>
          <w:bCs/>
          <w:lang w:val="en-US"/>
        </w:rPr>
        <w:t>Power.</w:t>
      </w:r>
      <w:r>
        <w:rPr>
          <w:rFonts w:eastAsia="Times New Roman" w:cs="Times New Roman"/>
          <w:lang w:val="en-US"/>
        </w:rPr>
        <w:t xml:space="preserve"> In the central scenario (abrupt stop), 12 mice per sex per group gave a power of 0.96 for the PTZ threshold if the receptor gain </w:t>
      </w:r>
      <w:r>
        <w:rPr>
          <w:lang w:val="en-US"/>
        </w:rPr>
        <w:t>was</w:t>
      </w:r>
      <w:r>
        <w:rPr>
          <w:rFonts w:eastAsia="Times New Roman" w:cs="Times New Roman"/>
          <w:lang w:val="en-US"/>
        </w:rPr>
        <w:t xml:space="preserve"> fully transmitted to </w:t>
      </w:r>
      <w:r>
        <w:rPr>
          <w:lang w:val="en-US"/>
        </w:rPr>
        <w:t xml:space="preserve">the </w:t>
      </w:r>
      <w:r>
        <w:rPr>
          <w:rFonts w:eastAsia="Times New Roman" w:cs="Times New Roman"/>
          <w:lang w:val="en-US"/>
        </w:rPr>
        <w:t xml:space="preserve">threshold (γ = 1), 0.50 at γ = 0.5, and the nominal 0.05 at γ = 0, which is the falsification limit. </w:t>
      </w:r>
      <w:r>
        <w:rPr>
          <w:lang w:val="en-US"/>
        </w:rPr>
        <w:t>Approximately</w:t>
      </w:r>
      <w:r>
        <w:rPr>
          <w:rFonts w:eastAsia="Times New Roman" w:cs="Times New Roman"/>
          <w:lang w:val="en-US"/>
        </w:rPr>
        <w:t xml:space="preserve"> 10 per sex sufficed for 80% power in the central scenario, and 25 per sex were needed with a taper. A weak adaptation scenario (Rmax 0.1) </w:t>
      </w:r>
      <w:r>
        <w:rPr>
          <w:lang w:val="en-US"/>
        </w:rPr>
        <w:t>had</w:t>
      </w:r>
      <w:r>
        <w:rPr>
          <w:rFonts w:eastAsia="Times New Roman" w:cs="Times New Roman"/>
          <w:lang w:val="en-US"/>
        </w:rPr>
        <w:t xml:space="preserve"> a power of 0.27. A₁R binding was more sensitive than the PTZ threshold, so a positive binding result with a null threshold would not refute adaptation.</w:t>
      </w:r>
    </w:p>
    <w:p>
      <w:pPr>
        <w:pStyle w:val="Normal"/>
        <w:spacing w:lineRule="auto" w:line="480" w:before="0" w:after="0"/>
        <w:jc w:val="start"/>
        <w:rPr/>
      </w:pPr>
      <w:r>
        <w:rPr>
          <w:b/>
          <w:sz w:val="21"/>
          <w:lang w:val="en-US"/>
        </w:rPr>
        <w:t xml:space="preserve">Regime. </w:t>
      </w:r>
      <w:r>
        <w:rPr>
          <w:b w:val="false"/>
          <w:sz w:val="21"/>
          <w:lang w:val="en-US"/>
        </w:rPr>
        <w:t xml:space="preserve">The scenarios in Table 3 are points; the design question is which joint beliefs about the mechanism make the experiment worth running at all. Sweeping the two assumptions that matter — how fast adaptation reverses and how much of a receptor gain reaches </w:t>
      </w:r>
      <w:r>
        <w:rPr>
          <w:sz w:val="21"/>
          <w:lang w:val="en-US"/>
        </w:rPr>
        <w:t xml:space="preserve">the </w:t>
      </w:r>
      <w:r>
        <w:rPr>
          <w:b w:val="false"/>
          <w:sz w:val="21"/>
          <w:lang w:val="en-US"/>
        </w:rPr>
        <w:t>threshold — gives a region rather than a list (Figure 4A). At 12 per sex per group</w:t>
      </w:r>
      <w:r>
        <w:rPr>
          <w:sz w:val="21"/>
          <w:lang w:val="en-US"/>
        </w:rPr>
        <w:t>,</w:t>
      </w:r>
      <w:r>
        <w:rPr>
          <w:b w:val="false"/>
          <w:sz w:val="21"/>
          <w:lang w:val="en-US"/>
        </w:rPr>
        <w:t xml:space="preserve"> the design is adequately powered over 13% of that plane. At the base-case decay constant of 7 days, γ must exceed 0.75 for 80% power; at full transmission (γ = 1)</w:t>
      </w:r>
      <w:r>
        <w:rPr>
          <w:sz w:val="21"/>
          <w:lang w:val="en-US"/>
        </w:rPr>
        <w:t>,</w:t>
      </w:r>
      <w:r>
        <w:rPr>
          <w:b w:val="false"/>
          <w:sz w:val="21"/>
          <w:lang w:val="en-US"/>
        </w:rPr>
        <w:t xml:space="preserve"> the decay constant must exceed 2.0 days. In the corner resembling the rat PET result, where adaptation reverses within </w:t>
      </w:r>
      <w:r>
        <w:rPr>
          <w:sz w:val="21"/>
          <w:lang w:val="en-US"/>
        </w:rPr>
        <w:t>approximately</w:t>
      </w:r>
      <w:r>
        <w:rPr>
          <w:b w:val="false"/>
          <w:sz w:val="21"/>
          <w:lang w:val="en-US"/>
        </w:rPr>
        <w:t xml:space="preserve"> half a day, </w:t>
      </w:r>
      <w:r>
        <w:rPr>
          <w:sz w:val="21"/>
          <w:lang w:val="en-US"/>
        </w:rPr>
        <w:t xml:space="preserve">the </w:t>
      </w:r>
      <w:r>
        <w:rPr>
          <w:b w:val="false"/>
          <w:sz w:val="21"/>
          <w:lang w:val="en-US"/>
        </w:rPr>
        <w:t xml:space="preserve">power is 0.40 even </w:t>
      </w:r>
      <w:r>
        <w:rPr>
          <w:sz w:val="21"/>
          <w:lang w:val="en-US"/>
        </w:rPr>
        <w:t>when</w:t>
      </w:r>
      <w:r>
        <w:rPr>
          <w:b w:val="false"/>
          <w:sz w:val="21"/>
          <w:lang w:val="en-US"/>
        </w:rPr>
        <w:t xml:space="preserve"> γ = 1. The experiment is therefore informative about a specific and not especially large region of mechanism</w:t>
      </w:r>
      <w:r>
        <w:rPr>
          <w:sz w:val="21"/>
          <w:lang w:val="en-US"/>
        </w:rPr>
        <w:t xml:space="preserve"> </w:t>
      </w:r>
      <w:r>
        <w:rPr>
          <w:b w:val="false"/>
          <w:sz w:val="21"/>
          <w:lang w:val="en-US"/>
        </w:rPr>
        <w:t>space, and it is honest to say so before animals are used.</w:t>
      </w:r>
    </w:p>
    <w:p>
      <w:pPr>
        <w:pStyle w:val="Normal"/>
        <w:spacing w:lineRule="auto" w:line="480" w:before="0" w:after="0"/>
        <w:jc w:val="start"/>
        <w:rPr/>
      </w:pPr>
      <w:r>
        <w:rPr>
          <w:b w:val="false"/>
          <w:sz w:val="21"/>
          <w:lang w:val="en-US"/>
        </w:rPr>
        <w:t xml:space="preserve">One caution </w:t>
      </w:r>
      <w:r>
        <w:rPr>
          <w:sz w:val="21"/>
          <w:lang w:val="en-US"/>
        </w:rPr>
        <w:t>in</w:t>
      </w:r>
      <w:r>
        <w:rPr>
          <w:b w:val="false"/>
          <w:sz w:val="21"/>
          <w:lang w:val="en-US"/>
        </w:rPr>
        <w:t xml:space="preserve"> the sensitivity analysis follows from the same sweep. </w:t>
      </w:r>
      <w:r>
        <w:rPr>
          <w:sz w:val="21"/>
          <w:lang w:val="en-US"/>
        </w:rPr>
        <w:t>With respect to</w:t>
      </w:r>
      <w:r>
        <w:rPr>
          <w:b w:val="false"/>
          <w:sz w:val="21"/>
          <w:lang w:val="en-US"/>
        </w:rPr>
        <w:t xml:space="preserve"> the base case, the </w:t>
      </w:r>
      <w:r>
        <w:rPr>
          <w:sz w:val="21"/>
          <w:lang w:val="en-US"/>
        </w:rPr>
        <w:t>modeled</w:t>
      </w:r>
      <w:r>
        <w:rPr>
          <w:b w:val="false"/>
          <w:sz w:val="21"/>
          <w:lang w:val="en-US"/>
        </w:rPr>
        <w:t xml:space="preserve"> gain is most elastic to the assumed maximum adaptation (elasticity +1.00, exactly proportional by construction) and only weakly elastic to the decay constant (+0.11). Read alone, that would suggest the decay constant hardly matters. It matters more than anything else because its plausible range is the one that crosses the power boundary: the </w:t>
      </w:r>
      <w:r>
        <w:rPr>
          <w:sz w:val="21"/>
          <w:lang w:val="en-US"/>
        </w:rPr>
        <w:t>modeled</w:t>
      </w:r>
      <w:r>
        <w:rPr>
          <w:b w:val="false"/>
          <w:sz w:val="21"/>
          <w:lang w:val="en-US"/>
        </w:rPr>
        <w:t xml:space="preserve"> gain falls from 23.7% to 6.4% as decay shortens from 21 to 0.25 days (Figure 4B). A local sensitivity coefficient evaluated in the flat part of that curve understates the assumption </w:t>
      </w:r>
      <w:r>
        <w:rPr>
          <w:sz w:val="21"/>
          <w:lang w:val="en-US"/>
        </w:rPr>
        <w:t xml:space="preserve">that </w:t>
      </w:r>
      <w:r>
        <w:rPr>
          <w:b w:val="false"/>
          <w:sz w:val="21"/>
          <w:lang w:val="en-US"/>
        </w:rPr>
        <w:t>the design actually rests on.</w:t>
      </w:r>
    </w:p>
    <w:p>
      <w:pPr>
        <w:pStyle w:val="Normal"/>
        <w:jc w:val="center"/>
        <w:rPr/>
      </w:pPr>
      <w:r>
        <w:rPr/>
        <w:drawing>
          <wp:inline distT="0" distB="0" distL="0" distR="0">
            <wp:extent cx="5760720" cy="223329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760720" cy="2233295"/>
                    </a:xfrm>
                    <a:prstGeom prst="rect">
                      <a:avLst/>
                    </a:prstGeom>
                    <a:noFill/>
                  </pic:spPr>
                </pic:pic>
              </a:graphicData>
            </a:graphic>
          </wp:inline>
        </w:drawing>
      </w:r>
    </w:p>
    <w:p>
      <w:pPr>
        <w:pStyle w:val="Normal"/>
        <w:spacing w:lineRule="auto" w:line="480" w:before="0" w:after="0"/>
        <w:jc w:val="start"/>
        <w:rPr/>
      </w:pPr>
      <w:r>
        <w:rPr>
          <w:b w:val="false"/>
          <w:sz w:val="19"/>
          <w:lang w:val="en-US"/>
        </w:rPr>
        <w:t xml:space="preserve">Figure 4. </w:t>
      </w:r>
      <w:r>
        <w:rPr>
          <w:sz w:val="19"/>
          <w:lang w:val="en-US"/>
        </w:rPr>
        <w:t>Region</w:t>
      </w:r>
      <w:r>
        <w:rPr>
          <w:b w:val="false"/>
          <w:sz w:val="19"/>
          <w:lang w:val="en-US"/>
        </w:rPr>
        <w:t xml:space="preserve"> of assumption</w:t>
      </w:r>
      <w:r>
        <w:rPr>
          <w:sz w:val="19"/>
          <w:lang w:val="en-US"/>
        </w:rPr>
        <w:t xml:space="preserve"> </w:t>
      </w:r>
      <w:r>
        <w:rPr>
          <w:b w:val="false"/>
          <w:sz w:val="19"/>
          <w:lang w:val="en-US"/>
        </w:rPr>
        <w:t xml:space="preserve">space in which the experiment is informative. (A) Power for the primary endpoint over the assumed decay time constant and γ at 12 per sex per group; the solid contour is </w:t>
      </w:r>
      <w:r>
        <w:rPr>
          <w:sz w:val="19"/>
          <w:lang w:val="en-US"/>
        </w:rPr>
        <w:t xml:space="preserve">a </w:t>
      </w:r>
      <w:r>
        <w:rPr>
          <w:b w:val="false"/>
          <w:sz w:val="19"/>
          <w:lang w:val="en-US"/>
        </w:rPr>
        <w:t xml:space="preserve">power </w:t>
      </w:r>
      <w:r>
        <w:rPr>
          <w:sz w:val="19"/>
          <w:lang w:val="en-US"/>
        </w:rPr>
        <w:t xml:space="preserve">of </w:t>
      </w:r>
      <w:r>
        <w:rPr>
          <w:b w:val="false"/>
          <w:sz w:val="19"/>
          <w:lang w:val="en-US"/>
        </w:rPr>
        <w:t>0.80</w:t>
      </w:r>
      <w:r>
        <w:rPr>
          <w:sz w:val="19"/>
          <w:lang w:val="en-US"/>
        </w:rPr>
        <w:t>,</w:t>
      </w:r>
      <w:r>
        <w:rPr>
          <w:b w:val="false"/>
          <w:sz w:val="19"/>
          <w:lang w:val="en-US"/>
        </w:rPr>
        <w:t xml:space="preserve"> and the dashed contour </w:t>
      </w:r>
      <w:r>
        <w:rPr>
          <w:sz w:val="19"/>
          <w:lang w:val="en-US"/>
        </w:rPr>
        <w:t xml:space="preserve">is </w:t>
      </w:r>
      <w:r>
        <w:rPr>
          <w:b w:val="false"/>
          <w:sz w:val="19"/>
          <w:lang w:val="en-US"/>
        </w:rPr>
        <w:t xml:space="preserve">0.50. The circle </w:t>
      </w:r>
      <w:r>
        <w:rPr>
          <w:sz w:val="19"/>
          <w:lang w:val="en-US"/>
        </w:rPr>
        <w:t>indicates</w:t>
      </w:r>
      <w:r>
        <w:rPr>
          <w:b w:val="false"/>
          <w:sz w:val="19"/>
          <w:lang w:val="en-US"/>
        </w:rPr>
        <w:t xml:space="preserve"> the planned central scenario</w:t>
      </w:r>
      <w:r>
        <w:rPr>
          <w:sz w:val="19"/>
          <w:lang w:val="en-US"/>
        </w:rPr>
        <w:t>,</w:t>
      </w:r>
      <w:r>
        <w:rPr>
          <w:b w:val="false"/>
          <w:sz w:val="19"/>
          <w:lang w:val="en-US"/>
        </w:rPr>
        <w:t xml:space="preserve"> and the square </w:t>
      </w:r>
      <w:r>
        <w:rPr>
          <w:sz w:val="19"/>
          <w:lang w:val="en-US"/>
        </w:rPr>
        <w:t xml:space="preserve">indicates </w:t>
      </w:r>
      <w:r>
        <w:rPr>
          <w:b w:val="false"/>
          <w:sz w:val="19"/>
          <w:lang w:val="en-US"/>
        </w:rPr>
        <w:t xml:space="preserve">the rat PET-like reversal. (B) Modeled A₁R gain at testing against the assumed decay constant, showing that sensitivity to this assumption is concentrated below </w:t>
      </w:r>
      <w:r>
        <w:rPr>
          <w:sz w:val="19"/>
          <w:lang w:val="en-US"/>
        </w:rPr>
        <w:t>approximately</w:t>
      </w:r>
      <w:r>
        <w:rPr>
          <w:b w:val="false"/>
          <w:sz w:val="19"/>
          <w:lang w:val="en-US"/>
        </w:rPr>
        <w:t xml:space="preserve"> two days. Both panels are conditional on the model's assumed adaptation parameters.</w:t>
      </w:r>
    </w:p>
    <w:p>
      <w:pPr>
        <w:pStyle w:val="Normal"/>
        <w:keepNext w:val="true"/>
        <w:spacing w:lineRule="auto" w:line="276" w:before="200" w:after="80"/>
        <w:rPr/>
      </w:pPr>
      <w:r>
        <w:rPr>
          <w:rFonts w:eastAsia="Times New Roman" w:cs="Times New Roman"/>
          <w:b/>
          <w:bCs/>
          <w:sz w:val="22"/>
          <w:szCs w:val="22"/>
          <w:lang w:val="en-US"/>
        </w:rPr>
        <w:t>Table 3.</w:t>
      </w:r>
      <w:r>
        <w:rPr>
          <w:rFonts w:eastAsia="Times New Roman" w:cs="Times New Roman"/>
          <w:sz w:val="22"/>
          <w:szCs w:val="22"/>
          <w:lang w:val="en-US"/>
        </w:rPr>
        <w:t xml:space="preserve"> Modeled A₁R gain on day 86 (mean, % versus vehicle) and power (12 per sex per group, α = 0.05) under alternative assumptions.</w:t>
      </w:r>
    </w:p>
    <w:tbl>
      <w:tblPr>
        <w:tblW w:w="9026" w:type="dxa"/>
        <w:jc w:val="start"/>
        <w:tblInd w:w="0" w:type="dxa"/>
        <w:tblLayout w:type="fixed"/>
        <w:tblCellMar>
          <w:top w:w="60" w:type="dxa"/>
          <w:start w:w="100" w:type="dxa"/>
          <w:bottom w:w="60" w:type="dxa"/>
          <w:end w:w="100" w:type="dxa"/>
        </w:tblCellMar>
      </w:tblPr>
      <w:tblGrid>
        <w:gridCol w:w="2026"/>
        <w:gridCol w:w="1165"/>
        <w:gridCol w:w="1166"/>
        <w:gridCol w:w="1166"/>
        <w:gridCol w:w="1167"/>
        <w:gridCol w:w="1166"/>
        <w:gridCol w:w="1170"/>
      </w:tblGrid>
      <w:tr>
        <w:trPr>
          <w:tblHeader w:val="true"/>
        </w:trPr>
        <w:tc>
          <w:tcPr>
            <w:tcW w:w="2026"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Scenario</w:t>
            </w:r>
          </w:p>
        </w:tc>
        <w:tc>
          <w:tcPr>
            <w:tcW w:w="1165"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Cont. abrupt (%)</w:t>
            </w:r>
          </w:p>
        </w:tc>
        <w:tc>
          <w:tcPr>
            <w:tcW w:w="1166"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Cont. taper (%)</w:t>
            </w:r>
          </w:p>
        </w:tc>
        <w:tc>
          <w:tcPr>
            <w:tcW w:w="1166"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Injected abrupt (%)</w:t>
            </w:r>
          </w:p>
        </w:tc>
        <w:tc>
          <w:tcPr>
            <w:tcW w:w="1167"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Depot abrupt (%)</w:t>
            </w:r>
          </w:p>
        </w:tc>
        <w:tc>
          <w:tcPr>
            <w:tcW w:w="1166"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PTZ power γ = 1</w:t>
            </w:r>
          </w:p>
        </w:tc>
        <w:tc>
          <w:tcPr>
            <w:tcW w:w="1170" w:type="dxa"/>
            <w:tcBorders>
              <w:top w:val="single" w:sz="4" w:space="0" w:color="808080"/>
              <w:start w:val="single" w:sz="4" w:space="0" w:color="808080"/>
              <w:bottom w:val="single" w:sz="4" w:space="0" w:color="808080"/>
              <w:end w:val="single" w:sz="4" w:space="0" w:color="808080"/>
            </w:tcBorders>
            <w:shd w:color="auto" w:fill="E7E6E6" w:val="clear"/>
          </w:tcPr>
          <w:p>
            <w:pPr>
              <w:pStyle w:val="Normal"/>
              <w:spacing w:lineRule="auto" w:line="252"/>
              <w:rPr/>
            </w:pPr>
            <w:r>
              <w:rPr>
                <w:rFonts w:eastAsia="Times New Roman" w:cs="Times New Roman"/>
                <w:b/>
                <w:bCs/>
                <w:sz w:val="20"/>
                <w:szCs w:val="20"/>
                <w:lang w:val="en-US"/>
              </w:rPr>
              <w:t>PTZ power γ = 0.5</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Base case</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22.0</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11.0</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5.5</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13.2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0.96</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0.50</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Ki = 10 µM</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26.3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18.6</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7.7</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21.4</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0.99</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0.64</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Ki = 50 µM</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16.2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6.0</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3.8</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7.7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0.78</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0.31</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Rmax = 0.1</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7.3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3.7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1.8</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4.4</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0.27</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0.10</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Rmax = 0.2</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14.7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7.3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3.7</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8.8</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0.71</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0.27</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Rmax = 0.5</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36.7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18.3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9.2</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21.9</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1.00</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0.88</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Upregulation τ = 7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22.6</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11.1</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6.8</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14.2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0.96</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0.52</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Upregulation τ = 28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19.9</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10.4</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4.4</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11.7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0.92</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0.43</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Receptor decay τ = 0.5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9.2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0.1</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3.9</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0.37</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0.13</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Receptor decay τ = 1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13.2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2.6</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0.6</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4.9</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0.64</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0.22</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Receptor decay τ = 3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19.3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6.2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2.8</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8.6</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0.90</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0.41</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Receptor decay τ = 14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23.3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15.3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7.9</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16.7</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0.97</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0.54</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Hill n = 1</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19.3</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12.5</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8.1</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14.2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0.90</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0.41</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Hill n = 4</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24.8</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9.9</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4.0</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12.0</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0.98</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0.59</w:t>
            </w:r>
          </w:p>
        </w:tc>
      </w:tr>
      <w:tr>
        <w:trPr>
          <w:cantSplit/>
        </w:trPr>
        <w:tc>
          <w:tcPr>
            <w:tcW w:w="202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Fast reversal (6-h window, decay 0.5 d)</w:t>
            </w:r>
          </w:p>
        </w:tc>
        <w:tc>
          <w:tcPr>
            <w:tcW w:w="1165"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1.4</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0.2</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0.0</w:t>
            </w:r>
          </w:p>
        </w:tc>
        <w:tc>
          <w:tcPr>
            <w:tcW w:w="1167"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2.8</w:t>
            </w:r>
          </w:p>
        </w:tc>
        <w:tc>
          <w:tcPr>
            <w:tcW w:w="1166"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0.06</w:t>
            </w:r>
          </w:p>
        </w:tc>
        <w:tc>
          <w:tcPr>
            <w:tcW w:w="1170" w:type="dxa"/>
            <w:tcBorders>
              <w:top w:val="single" w:sz="4" w:space="0" w:color="808080"/>
              <w:start w:val="single" w:sz="4" w:space="0" w:color="808080"/>
              <w:bottom w:val="single" w:sz="4" w:space="0" w:color="808080"/>
              <w:end w:val="single" w:sz="4" w:space="0" w:color="808080"/>
            </w:tcBorders>
          </w:tcPr>
          <w:p>
            <w:pPr>
              <w:pStyle w:val="Normal"/>
              <w:spacing w:lineRule="auto" w:line="252"/>
              <w:rPr/>
            </w:pPr>
            <w:r>
              <w:rPr>
                <w:rFonts w:eastAsia="Times New Roman" w:cs="Times New Roman"/>
                <w:b w:val="false"/>
                <w:bCs w:val="false"/>
                <w:sz w:val="20"/>
                <w:szCs w:val="20"/>
                <w:lang w:val="en-US"/>
              </w:rPr>
              <w:t>0.05</w:t>
            </w:r>
          </w:p>
        </w:tc>
      </w:tr>
    </w:tbl>
    <w:p>
      <w:pPr>
        <w:pStyle w:val="Normal"/>
        <w:spacing w:lineRule="auto" w:line="252" w:before="60" w:after="240"/>
        <w:rPr/>
      </w:pPr>
      <w:r>
        <w:rPr>
          <w:rFonts w:eastAsia="Times New Roman" w:cs="Times New Roman"/>
          <w:sz w:val="20"/>
          <w:szCs w:val="20"/>
          <w:lang w:val="en-US"/>
        </w:rPr>
        <w:t xml:space="preserve">Base case (2000 virtual mice per regimen; 4000 simulated experiments per cell): Ki 25 µM, maximum adaptation (Rmax) 0.30, </w:t>
      </w:r>
      <w:r>
        <w:rPr>
          <w:sz w:val="20"/>
          <w:szCs w:val="20"/>
          <w:lang w:val="en-US"/>
        </w:rPr>
        <w:t>upregulation</w:t>
      </w:r>
      <w:r>
        <w:rPr>
          <w:rFonts w:eastAsia="Times New Roman" w:cs="Times New Roman"/>
          <w:sz w:val="20"/>
          <w:szCs w:val="20"/>
          <w:lang w:val="en-US"/>
        </w:rPr>
        <w:t xml:space="preserve"> τ 14 d, decay τ 7 d, Hill n = 2. All </w:t>
      </w:r>
      <w:r>
        <w:rPr>
          <w:sz w:val="20"/>
          <w:szCs w:val="20"/>
          <w:lang w:val="en-US"/>
        </w:rPr>
        <w:t xml:space="preserve">the </w:t>
      </w:r>
      <w:r>
        <w:rPr>
          <w:rFonts w:eastAsia="Times New Roman" w:cs="Times New Roman"/>
          <w:sz w:val="20"/>
          <w:szCs w:val="20"/>
          <w:lang w:val="en-US"/>
        </w:rPr>
        <w:t xml:space="preserve">adaptation parameters are assumptions. </w:t>
      </w:r>
      <w:r>
        <w:rPr>
          <w:sz w:val="20"/>
          <w:szCs w:val="20"/>
          <w:lang w:val="en-US"/>
        </w:rPr>
        <w:t>The power</w:t>
      </w:r>
      <w:r>
        <w:rPr>
          <w:rFonts w:eastAsia="Times New Roman" w:cs="Times New Roman"/>
          <w:sz w:val="20"/>
          <w:szCs w:val="20"/>
          <w:lang w:val="en-US"/>
        </w:rPr>
        <w:t xml:space="preserve"> at γ = 0 equals the type I error (</w:t>
      </w:r>
      <w:r>
        <w:rPr>
          <w:sz w:val="20"/>
          <w:szCs w:val="20"/>
          <w:lang w:val="en-US"/>
        </w:rPr>
        <w:t>approximately</w:t>
      </w:r>
      <w:r>
        <w:rPr>
          <w:rFonts w:eastAsia="Times New Roman" w:cs="Times New Roman"/>
          <w:sz w:val="20"/>
          <w:szCs w:val="20"/>
          <w:lang w:val="en-US"/>
        </w:rPr>
        <w:t xml:space="preserve"> 0.05). All </w:t>
      </w:r>
      <w:r>
        <w:rPr>
          <w:sz w:val="20"/>
          <w:szCs w:val="20"/>
          <w:lang w:val="en-US"/>
        </w:rPr>
        <w:t xml:space="preserve">the </w:t>
      </w:r>
      <w:r>
        <w:rPr>
          <w:rFonts w:eastAsia="Times New Roman" w:cs="Times New Roman"/>
          <w:sz w:val="20"/>
          <w:szCs w:val="20"/>
          <w:lang w:val="en-US"/>
        </w:rPr>
        <w:t>values in the text are generated by the same code run.</w:t>
      </w:r>
    </w:p>
    <w:p>
      <w:pPr>
        <w:pStyle w:val="Normal"/>
        <w:keepNext w:val="true"/>
        <w:spacing w:before="200" w:after="60"/>
        <w:rPr/>
      </w:pPr>
      <w:r>
        <w:rPr/>
        <w:drawing>
          <wp:inline distT="0" distB="0" distL="0" distR="0">
            <wp:extent cx="5715000" cy="2238375"/>
            <wp:effectExtent l="0" t="0" r="0" b="0"/>
            <wp:docPr id="4" name="/home/claude/mc/mc_out/Fig3_sensitivity.png" descr="**Figure 3.** Sensitivity of the modelled outcome. (A) Modelled A₁R gain at testing versus the assumed decay time constant after the last dose. (B) Power for the primary endpoint versus γ, the assumed fraction of receptor gain transmitted to threshold, for three assumed maximum adaptations (Rmax)." title="/home/claude/mc/mc_out/Fig3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claude/mc/mc_out/Fig3_sensitivity.png" descr="**Figure 3.** Sensitivity of the modelled outcome. (A) Modelled A₁R gain at testing versus the assumed decay time constant after the last dose. (B) Power for the primary endpoint versus γ, the assumed fraction of receptor gain transmitted to threshold, for three assumed maximum adaptations (Rmax)." title="/home/claude/mc/mc_out/Fig3_sensitivity.png"/>
                    <pic:cNvPicPr>
                      <a:picLocks noChangeAspect="1" noChangeArrowheads="1"/>
                    </pic:cNvPicPr>
                  </pic:nvPicPr>
                  <pic:blipFill>
                    <a:blip r:embed="rId5"/>
                    <a:stretch>
                      <a:fillRect/>
                    </a:stretch>
                  </pic:blipFill>
                  <pic:spPr bwMode="auto">
                    <a:xfrm>
                      <a:off x="0" y="0"/>
                      <a:ext cx="5715000" cy="2238375"/>
                    </a:xfrm>
                    <a:prstGeom prst="rect">
                      <a:avLst/>
                    </a:prstGeom>
                    <a:noFill/>
                  </pic:spPr>
                </pic:pic>
              </a:graphicData>
            </a:graphic>
          </wp:inline>
        </w:drawing>
      </w:r>
    </w:p>
    <w:p>
      <w:pPr>
        <w:pStyle w:val="Normal"/>
        <w:spacing w:lineRule="auto" w:line="252" w:before="0" w:after="240"/>
        <w:rPr/>
      </w:pPr>
      <w:r>
        <w:rPr>
          <w:rFonts w:eastAsia="Times New Roman" w:cs="Times New Roman"/>
          <w:b/>
          <w:bCs/>
          <w:sz w:val="20"/>
          <w:szCs w:val="20"/>
          <w:lang w:val="en-US"/>
        </w:rPr>
        <w:t>Figure 3.</w:t>
      </w:r>
      <w:r>
        <w:rPr>
          <w:rFonts w:eastAsia="Times New Roman" w:cs="Times New Roman"/>
          <w:sz w:val="20"/>
          <w:szCs w:val="20"/>
          <w:lang w:val="en-US"/>
        </w:rPr>
        <w:t xml:space="preserve"> Sensitivity of the </w:t>
      </w:r>
      <w:r>
        <w:rPr>
          <w:sz w:val="20"/>
          <w:szCs w:val="20"/>
          <w:lang w:val="en-US"/>
        </w:rPr>
        <w:t>modeled</w:t>
      </w:r>
      <w:r>
        <w:rPr>
          <w:rFonts w:eastAsia="Times New Roman" w:cs="Times New Roman"/>
          <w:sz w:val="20"/>
          <w:szCs w:val="20"/>
          <w:lang w:val="en-US"/>
        </w:rPr>
        <w:t xml:space="preserve"> outcome. (A) </w:t>
      </w:r>
      <w:r>
        <w:rPr>
          <w:sz w:val="20"/>
          <w:szCs w:val="20"/>
          <w:lang w:val="en-US"/>
        </w:rPr>
        <w:t>Modeled</w:t>
      </w:r>
      <w:r>
        <w:rPr>
          <w:rFonts w:eastAsia="Times New Roman" w:cs="Times New Roman"/>
          <w:sz w:val="20"/>
          <w:szCs w:val="20"/>
          <w:lang w:val="en-US"/>
        </w:rPr>
        <w:t xml:space="preserve"> A₁R gain at testing versus the assumed decay time constant after the last dose. (B) Power for the primary endpoint versus γ, the assumed fraction of receptor gain transmitted to </w:t>
      </w:r>
      <w:r>
        <w:rPr>
          <w:sz w:val="20"/>
          <w:szCs w:val="20"/>
          <w:lang w:val="en-US"/>
        </w:rPr>
        <w:t xml:space="preserve">the </w:t>
      </w:r>
      <w:r>
        <w:rPr>
          <w:rFonts w:eastAsia="Times New Roman" w:cs="Times New Roman"/>
          <w:sz w:val="20"/>
          <w:szCs w:val="20"/>
          <w:lang w:val="en-US"/>
        </w:rPr>
        <w:t>threshold, for three assumed maximum adaptations (Rmax).</w:t>
      </w:r>
    </w:p>
    <w:p>
      <w:pPr>
        <w:pStyle w:val="Heading1"/>
        <w:keepNext w:val="true"/>
        <w:spacing w:lineRule="auto" w:line="480" w:before="240" w:after="120"/>
        <w:rPr/>
      </w:pPr>
      <w:r>
        <w:rPr>
          <w:rFonts w:eastAsia="Times New Roman" w:cs="Times New Roman"/>
          <w:b/>
          <w:bCs/>
          <w:sz w:val="26"/>
          <w:szCs w:val="26"/>
          <w:lang w:val="en-US"/>
        </w:rPr>
        <w:t>6  Alternative mechanisms and limitations</w:t>
      </w:r>
    </w:p>
    <w:p>
      <w:pPr>
        <w:pStyle w:val="Normal"/>
        <w:spacing w:lineRule="auto" w:line="480" w:before="0" w:after="0"/>
        <w:jc w:val="start"/>
        <w:rPr/>
      </w:pPr>
      <w:r>
        <w:rPr>
          <w:rFonts w:eastAsia="Times New Roman" w:cs="Times New Roman"/>
          <w:lang w:val="en-US"/>
        </w:rPr>
        <w:t xml:space="preserve">Threshold changes need not involve A₁R density. A₁R coupling (10), endogenous adenosine tone and A₂A adaptation (9) could each contribute, and caffeine’s active metabolites act at the same receptors, which is why they are quantified. Withdrawal is not benign. In rats, chronic caffeine alone </w:t>
      </w:r>
      <w:r>
        <w:rPr>
          <w:lang w:val="en-US"/>
        </w:rPr>
        <w:t>increased</w:t>
      </w:r>
      <w:r>
        <w:rPr>
          <w:rFonts w:eastAsia="Times New Roman" w:cs="Times New Roman"/>
          <w:lang w:val="en-US"/>
        </w:rPr>
        <w:t xml:space="preserve"> PTZ</w:t>
      </w:r>
      <w:r>
        <w:rPr>
          <w:lang w:val="en-US"/>
        </w:rPr>
        <w:t>-induced</w:t>
      </w:r>
      <w:r>
        <w:rPr>
          <w:rFonts w:eastAsia="Times New Roman" w:cs="Times New Roman"/>
          <w:lang w:val="en-US"/>
        </w:rPr>
        <w:t xml:space="preserve"> seizure latency, whereas caffeine combined with ethanol followed by withdrawal increased seizure-related mortality (20). </w:t>
      </w:r>
      <w:r>
        <w:rPr>
          <w:lang w:val="en-US"/>
        </w:rPr>
        <w:t>This</w:t>
      </w:r>
      <w:r>
        <w:rPr>
          <w:rFonts w:eastAsia="Times New Roman" w:cs="Times New Roman"/>
          <w:lang w:val="en-US"/>
        </w:rPr>
        <w:t xml:space="preserve"> is not direct evidence of rebound after caffeine alone, but it shows that withdrawal-related vulnerability must be considered, and Hypothesis B remains a real possibility with safety implications. The G3 group, the time course and the residual</w:t>
      </w:r>
      <w:r>
        <w:rPr>
          <w:lang w:val="en-US"/>
        </w:rPr>
        <w:t xml:space="preserve"> </w:t>
      </w:r>
      <w:r>
        <w:rPr>
          <w:rFonts w:eastAsia="Times New Roman" w:cs="Times New Roman"/>
          <w:lang w:val="en-US"/>
        </w:rPr>
        <w:t>drug assay are the main defenses against misattributing withdrawal or residual drug to adaptation.</w:t>
      </w:r>
    </w:p>
    <w:p>
      <w:pPr>
        <w:pStyle w:val="Normal"/>
        <w:spacing w:lineRule="auto" w:line="480" w:before="0" w:after="0"/>
        <w:jc w:val="start"/>
        <w:rPr/>
      </w:pPr>
      <w:r>
        <w:rPr>
          <w:rFonts w:eastAsia="Times New Roman" w:cs="Times New Roman"/>
          <w:lang w:val="en-US"/>
        </w:rPr>
        <w:t xml:space="preserve">PTZ measures </w:t>
      </w:r>
      <w:r>
        <w:rPr>
          <w:lang w:val="en-US"/>
        </w:rPr>
        <w:t xml:space="preserve">the </w:t>
      </w:r>
      <w:r>
        <w:rPr>
          <w:rFonts w:eastAsia="Times New Roman" w:cs="Times New Roman"/>
          <w:lang w:val="en-US"/>
        </w:rPr>
        <w:t>acute chemoconvulsant threshold in otherwise healthy brains; a positive result would need confirmation in chronic epilepsy models. Mouse strain, sex, dose and tolerance may all matter, and human data on habitual caffeine and seizure risk are not addressed here. The simulation is a planning tool: its adaptation parameters, convulsive threshold and transmission of receptor change to threshold are assumptions</w:t>
      </w:r>
      <w:r>
        <w:rPr>
          <w:lang w:val="en-US"/>
        </w:rPr>
        <w:t>;</w:t>
      </w:r>
      <w:r>
        <w:rPr>
          <w:rFonts w:eastAsia="Times New Roman" w:cs="Times New Roman"/>
          <w:lang w:val="en-US"/>
        </w:rPr>
        <w:t xml:space="preserve"> it omits tolerance, metabolites and sleep effects</w:t>
      </w:r>
      <w:r>
        <w:rPr>
          <w:lang w:val="en-US"/>
        </w:rPr>
        <w:t>;</w:t>
      </w:r>
      <w:r>
        <w:rPr>
          <w:rFonts w:eastAsia="Times New Roman" w:cs="Times New Roman"/>
          <w:lang w:val="en-US"/>
        </w:rPr>
        <w:t xml:space="preserve"> and its numbers should be replaced by measured values as pilot data arrive. Nothing in this paper supports the use of caffeine as a treatment.</w:t>
      </w:r>
    </w:p>
    <w:p>
      <w:pPr>
        <w:pStyle w:val="Normal"/>
        <w:spacing w:before="160" w:after="60"/>
        <w:rPr/>
      </w:pPr>
      <w:r>
        <w:rPr>
          <w:i/>
          <w:sz w:val="18"/>
          <w:lang w:val="en-US"/>
        </w:rPr>
        <w:t>Table 4. Status of each link in the argument. ‘Reported’ denotes a published observation not independently replicated in this context; ‘Assumed’ denotes a modeling choice, not a claim about biology.</w:t>
      </w:r>
    </w:p>
    <w:tbl>
      <w:tblPr>
        <w:tblW w:w="9026" w:type="dxa"/>
        <w:jc w:val="start"/>
        <w:tblInd w:w="0" w:type="dxa"/>
        <w:tblLayout w:type="fixed"/>
        <w:tblCellMar>
          <w:top w:w="0" w:type="dxa"/>
          <w:start w:w="10" w:type="dxa"/>
          <w:bottom w:w="0" w:type="dxa"/>
          <w:end w:w="10" w:type="dxa"/>
        </w:tblCellMar>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rPr/>
            </w:pPr>
            <w:r>
              <w:rPr>
                <w:b/>
                <w:sz w:val="17"/>
                <w:lang w:val="en-US"/>
              </w:rPr>
              <w:t>Link</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rPr/>
            </w:pPr>
            <w:r>
              <w:rPr>
                <w:b/>
                <w:sz w:val="17"/>
                <w:lang w:val="en-US"/>
              </w:rPr>
              <w:t>Status</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rPr/>
            </w:pPr>
            <w:r>
              <w:rPr>
                <w:b/>
                <w:sz w:val="17"/>
                <w:lang w:val="en-US"/>
              </w:rPr>
              <w:t>Basis</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Adenosine acting at A₁R contributes to seizure termination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Established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Reviewed physiology (1,2,3)</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Acute caffeine antagonizes A₁R and is proconvulsant at high dose</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Established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Pharmacology and dose‒response (4,5)</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Chronic caffeine increases A₁R density in mouse cortex</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Reported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Approximately 20% increase in one study (6)</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Chronic methylxanthine reduces chemoconvulsant susceptibility</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Reported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Bicuculline and PTZ (7); in one case without a density change (8)</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Chronic caffeine sensitizes A₁R-adenylate cyclase coupling</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Reported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Rat cerebral cortex (10)</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A₂A adaptation contributes to the protective effect</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Reported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Receptor-knockout evidence (9)</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A₁R availability returns to baseline after caffeine is cleared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Contested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Rat PET found no persistent change by approximately 27 h (12)</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Protection survives clearance of caffeine and active metabolites</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Untested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The question this design exists to answer</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Adaptation is driven by time-averaged occupancy rather than peaks</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Assumed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Premise of the simulation; the injected arm would reveal the opposite ordering</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 receptor gain is transmitted to seizure threshold (γ)</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Assumed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Swept from 0 to 1; γ = 0 is the falsification limit</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Adaptation magnitude and reversal rate (Rmax, decay τ)</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Assumed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Illustrative values; the decay constant decides feasibility (Figure 4)</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Withdrawal produces rebound hyperexcitability (Hypothesis B)</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Open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20"/>
              <w:rPr/>
            </w:pPr>
            <w:r>
              <w:rPr>
                <w:sz w:val="16"/>
                <w:lang w:val="en-US"/>
              </w:rPr>
              <w:t>Indirect rodent evidence with ethanol coexposure (20); a safety concern, not a demonstrated effect</w:t>
            </w:r>
          </w:p>
        </w:tc>
      </w:tr>
    </w:tbl>
    <w:p>
      <w:pPr>
        <w:pStyle w:val="Normal"/>
        <w:spacing w:lineRule="auto" w:line="480" w:before="0" w:after="0"/>
        <w:jc w:val="start"/>
        <w:rPr/>
      </w:pPr>
      <w:r>
        <w:rPr>
          <w:b/>
          <w:sz w:val="21"/>
          <w:lang w:val="en-US"/>
        </w:rPr>
        <w:t xml:space="preserve">How this proposal could cause harm. </w:t>
      </w:r>
      <w:r>
        <w:rPr>
          <w:b w:val="false"/>
          <w:sz w:val="21"/>
          <w:lang w:val="en-US"/>
        </w:rPr>
        <w:t>The practical risk of publishing this hypothesis is not that the experiment fails. It is that the question in the title is read as an answer.</w:t>
      </w:r>
    </w:p>
    <w:p>
      <w:pPr>
        <w:pStyle w:val="Normal"/>
        <w:spacing w:lineRule="auto" w:line="480" w:before="0" w:after="0"/>
        <w:jc w:val="start"/>
        <w:rPr/>
      </w:pPr>
      <w:r>
        <w:rPr>
          <w:b/>
          <w:sz w:val="21"/>
          <w:lang w:val="en-US"/>
        </w:rPr>
        <w:t xml:space="preserve">Self-experimentation. </w:t>
      </w:r>
      <w:r>
        <w:rPr>
          <w:b w:val="false"/>
          <w:sz w:val="21"/>
          <w:lang w:val="en-US"/>
        </w:rPr>
        <w:t xml:space="preserve">People with epilepsy, or their families, may read a paper asking whether caffeine raises </w:t>
      </w:r>
      <w:r>
        <w:rPr>
          <w:sz w:val="21"/>
          <w:lang w:val="en-US"/>
        </w:rPr>
        <w:t xml:space="preserve">the </w:t>
      </w:r>
      <w:r>
        <w:rPr>
          <w:b w:val="false"/>
          <w:sz w:val="21"/>
          <w:lang w:val="en-US"/>
        </w:rPr>
        <w:t xml:space="preserve">seizure threshold as a suggestion to increase caffeine intake. Acutely, caffeine is </w:t>
      </w:r>
      <w:r>
        <w:rPr>
          <w:sz w:val="21"/>
          <w:lang w:val="en-US"/>
        </w:rPr>
        <w:t xml:space="preserve">a </w:t>
      </w:r>
      <w:r>
        <w:rPr>
          <w:b w:val="false"/>
          <w:sz w:val="21"/>
          <w:lang w:val="en-US"/>
        </w:rPr>
        <w:t>proconvulsant, the protective effect is unconfirmed in any species after clearance, and no human data are presented here. This paper provides no basis for any change in caffeine consumption by anyone.</w:t>
      </w:r>
    </w:p>
    <w:p>
      <w:pPr>
        <w:pStyle w:val="Normal"/>
        <w:spacing w:lineRule="auto" w:line="480" w:before="0" w:after="0"/>
        <w:jc w:val="start"/>
        <w:rPr/>
      </w:pPr>
      <w:r>
        <w:rPr>
          <w:b/>
          <w:sz w:val="21"/>
          <w:lang w:val="en-US"/>
        </w:rPr>
        <w:t xml:space="preserve">Withdrawal-provoked seizures. </w:t>
      </w:r>
      <w:r>
        <w:rPr>
          <w:b w:val="false"/>
          <w:sz w:val="21"/>
          <w:lang w:val="en-US"/>
        </w:rPr>
        <w:t xml:space="preserve">If Hypothesis B holds, the hazard created by the framework is not caffeine but its cessation, which is exactly the </w:t>
      </w:r>
      <w:r>
        <w:rPr>
          <w:sz w:val="21"/>
          <w:lang w:val="en-US"/>
        </w:rPr>
        <w:t>behavior</w:t>
      </w:r>
      <w:r>
        <w:rPr>
          <w:b w:val="false"/>
          <w:sz w:val="21"/>
          <w:lang w:val="en-US"/>
        </w:rPr>
        <w:t xml:space="preserve"> a reader persuaded by Hypothesis A might later adopt. Abrupt withdrawal after sustained exposure is the condition under which the rodent literature reports increased seizure-related vulnerability.</w:t>
      </w:r>
    </w:p>
    <w:p>
      <w:pPr>
        <w:pStyle w:val="Normal"/>
        <w:spacing w:lineRule="auto" w:line="480" w:before="0" w:after="0"/>
        <w:jc w:val="start"/>
        <w:rPr/>
      </w:pPr>
      <w:r>
        <w:rPr>
          <w:b/>
          <w:sz w:val="21"/>
          <w:lang w:val="en-US"/>
        </w:rPr>
        <w:t xml:space="preserve">Interaction with existing therapy. </w:t>
      </w:r>
      <w:r>
        <w:rPr>
          <w:b w:val="false"/>
          <w:sz w:val="21"/>
          <w:lang w:val="en-US"/>
        </w:rPr>
        <w:t>Caffeine and its metabolites interact with several antiseizure medicines through CYP1A2 and through adenosinergic and GABAergic mechanisms. Any change in habitual intake in a treated patient is a change to a regimen that has been titrated and is a clinical decision rather than a lifestyle one.</w:t>
      </w:r>
    </w:p>
    <w:p>
      <w:pPr>
        <w:pStyle w:val="Normal"/>
        <w:spacing w:lineRule="auto" w:line="480" w:before="0" w:after="0"/>
        <w:jc w:val="start"/>
        <w:rPr/>
      </w:pPr>
      <w:r>
        <w:rPr>
          <w:b/>
          <w:sz w:val="21"/>
          <w:lang w:val="en-US"/>
        </w:rPr>
        <w:t xml:space="preserve">Animal cost of an underpowered study. </w:t>
      </w:r>
      <w:r>
        <w:rPr>
          <w:sz w:val="21"/>
          <w:lang w:val="en-US"/>
        </w:rPr>
        <w:t>The</w:t>
      </w:r>
      <w:r>
        <w:rPr>
          <w:b w:val="false"/>
          <w:sz w:val="21"/>
          <w:lang w:val="en-US"/>
        </w:rPr>
        <w:t xml:space="preserve"> design is uninformative across most of the plausible assumption space</w:t>
      </w:r>
      <w:r>
        <w:rPr>
          <w:sz w:val="21"/>
          <w:lang w:val="en-US"/>
        </w:rPr>
        <w:t xml:space="preserve"> (Figure 4A)</w:t>
      </w:r>
      <w:r>
        <w:rPr>
          <w:b w:val="false"/>
          <w:sz w:val="21"/>
          <w:lang w:val="en-US"/>
        </w:rPr>
        <w:t xml:space="preserve">. Running it in the unpowered region would consume animals to produce a null that could not distinguish </w:t>
      </w:r>
      <w:r>
        <w:rPr>
          <w:sz w:val="21"/>
          <w:lang w:val="en-US"/>
        </w:rPr>
        <w:t xml:space="preserve">the </w:t>
      </w:r>
      <w:r>
        <w:rPr>
          <w:b w:val="false"/>
          <w:sz w:val="21"/>
          <w:lang w:val="en-US"/>
        </w:rPr>
        <w:t xml:space="preserve">absence of </w:t>
      </w:r>
      <w:r>
        <w:rPr>
          <w:sz w:val="21"/>
          <w:lang w:val="en-US"/>
        </w:rPr>
        <w:t xml:space="preserve">a </w:t>
      </w:r>
      <w:r>
        <w:rPr>
          <w:b w:val="false"/>
          <w:sz w:val="21"/>
          <w:lang w:val="en-US"/>
        </w:rPr>
        <w:t xml:space="preserve">mechanism from </w:t>
      </w:r>
      <w:r>
        <w:rPr>
          <w:sz w:val="21"/>
          <w:lang w:val="en-US"/>
        </w:rPr>
        <w:t xml:space="preserve">the </w:t>
      </w:r>
      <w:r>
        <w:rPr>
          <w:b w:val="false"/>
          <w:sz w:val="21"/>
          <w:lang w:val="en-US"/>
        </w:rPr>
        <w:t xml:space="preserve">absence of power. The pilot estimate of the decay constant should therefore </w:t>
      </w:r>
      <w:r>
        <w:rPr>
          <w:sz w:val="21"/>
          <w:lang w:val="en-US"/>
        </w:rPr>
        <w:t xml:space="preserve">be used to </w:t>
      </w:r>
      <w:r>
        <w:rPr>
          <w:b w:val="false"/>
          <w:sz w:val="21"/>
          <w:lang w:val="en-US"/>
        </w:rPr>
        <w:t>gate the full study, not follow it.</w:t>
      </w:r>
    </w:p>
    <w:p>
      <w:pPr>
        <w:pStyle w:val="Normal"/>
        <w:spacing w:lineRule="auto" w:line="480" w:before="0" w:after="0"/>
        <w:jc w:val="start"/>
        <w:rPr/>
      </w:pPr>
      <w:r>
        <w:rPr>
          <w:b/>
          <w:sz w:val="21"/>
          <w:lang w:val="en-US"/>
        </w:rPr>
        <w:t xml:space="preserve">Framing in press coverage. </w:t>
      </w:r>
      <w:r>
        <w:rPr>
          <w:b w:val="false"/>
          <w:sz w:val="21"/>
          <w:lang w:val="en-US"/>
        </w:rPr>
        <w:t>A title phrased as a question is routinely reported as a finding. The abstract, plain language summary and conclusion each state that no clinical use is supported, and we would ask that any press summary retain that.</w:t>
      </w:r>
    </w:p>
    <w:p>
      <w:pPr>
        <w:pStyle w:val="Heading1"/>
        <w:keepNext w:val="true"/>
        <w:spacing w:lineRule="auto" w:line="480" w:before="240" w:after="120"/>
        <w:rPr/>
      </w:pPr>
      <w:r>
        <w:rPr>
          <w:rFonts w:eastAsia="Times New Roman" w:cs="Times New Roman"/>
          <w:b/>
          <w:bCs/>
          <w:sz w:val="26"/>
          <w:szCs w:val="26"/>
          <w:lang w:val="en-US"/>
        </w:rPr>
        <w:t>7</w:t>
      </w:r>
      <w:r>
        <w:rPr>
          <w:lang w:val="en-US"/>
        </w:rPr>
        <w:t xml:space="preserve"> </w:t>
      </w:r>
      <w:r>
        <w:rPr>
          <w:rFonts w:eastAsia="Times New Roman" w:cs="Times New Roman"/>
          <w:b/>
          <w:bCs/>
          <w:sz w:val="26"/>
          <w:szCs w:val="26"/>
          <w:lang w:val="en-US"/>
        </w:rPr>
        <w:t>Implications for epilepsy research</w:t>
      </w:r>
    </w:p>
    <w:p>
      <w:pPr>
        <w:pStyle w:val="Normal"/>
        <w:spacing w:lineRule="auto" w:line="480" w:before="0" w:after="0"/>
        <w:jc w:val="start"/>
        <w:rPr/>
      </w:pPr>
      <w:r>
        <w:rPr>
          <w:rFonts w:eastAsia="Times New Roman" w:cs="Times New Roman"/>
          <w:lang w:val="en-US"/>
        </w:rPr>
        <w:t>If Hypothesis A were supported</w:t>
      </w:r>
      <w:r>
        <w:rPr>
          <w:lang w:val="en-US"/>
        </w:rPr>
      </w:r>
      <w:r>
        <w:rPr>
          <w:rFonts w:eastAsia="Times New Roman" w:cs="Times New Roman"/>
          <w:lang w:val="en-US"/>
        </w:rPr>
        <w:t xml:space="preserve">, it would show that the adenosinergic braking system can be primed before a seizure and would point </w:t>
      </w:r>
      <w:r>
        <w:rPr>
          <w:lang w:val="en-US"/>
        </w:rPr>
        <w:t>toward</w:t>
      </w:r>
      <w:r>
        <w:rPr>
          <w:rFonts w:eastAsia="Times New Roman" w:cs="Times New Roman"/>
          <w:lang w:val="en-US"/>
        </w:rPr>
        <w:t xml:space="preserve"> adenosine-based approaches that avoid </w:t>
      </w:r>
      <w:r>
        <w:rPr>
          <w:lang w:val="en-US"/>
        </w:rPr>
        <w:t>the</w:t>
      </w:r>
      <w:r>
        <w:rPr>
          <w:rFonts w:eastAsia="Times New Roman" w:cs="Times New Roman"/>
          <w:lang w:val="en-US"/>
        </w:rPr>
        <w:t xml:space="preserve"> side effects</w:t>
      </w:r>
      <w:r>
        <w:rPr>
          <w:lang w:val="en-US"/>
        </w:rPr>
        <w:t xml:space="preserve"> of caffeine</w:t>
      </w:r>
      <w:r>
        <w:rPr>
          <w:rFonts w:eastAsia="Times New Roman" w:cs="Times New Roman"/>
          <w:lang w:val="en-US"/>
        </w:rPr>
        <w:t>, such as receptor modulators or adenosine augmentation. If B were supported</w:t>
      </w:r>
      <w:r>
        <w:rPr>
          <w:lang w:val="en-US"/>
        </w:rPr>
      </w:r>
      <w:r>
        <w:rPr>
          <w:rFonts w:eastAsia="Times New Roman" w:cs="Times New Roman"/>
          <w:lang w:val="en-US"/>
        </w:rPr>
        <w:t>, it would identify a safety-relevant hazard of caffeine fluctuation or cessation. If C were supported, it would close a plausible but unproven line of reasoning and mark the persistence limit of receptor adaptation. All three outcomes are informative, and Epilepsia Open explicitly welcomes negative and confirmatory findings.</w:t>
      </w:r>
    </w:p>
    <w:p>
      <w:pPr>
        <w:pStyle w:val="Heading1"/>
        <w:keepNext w:val="true"/>
        <w:spacing w:lineRule="auto" w:line="480" w:before="240" w:after="120"/>
        <w:rPr/>
      </w:pPr>
      <w:r>
        <w:rPr>
          <w:rFonts w:eastAsia="Times New Roman" w:cs="Times New Roman"/>
          <w:b/>
          <w:bCs/>
          <w:sz w:val="26"/>
          <w:szCs w:val="26"/>
          <w:lang w:val="en-US"/>
        </w:rPr>
        <w:t>8</w:t>
      </w:r>
      <w:r>
        <w:rPr>
          <w:lang w:val="en-US"/>
        </w:rPr>
        <w:t xml:space="preserve"> </w:t>
      </w:r>
      <w:r>
        <w:rPr>
          <w:rFonts w:eastAsia="Times New Roman" w:cs="Times New Roman"/>
          <w:b/>
          <w:bCs/>
          <w:sz w:val="26"/>
          <w:szCs w:val="26"/>
          <w:lang w:val="en-US"/>
        </w:rPr>
        <w:t>Conclusion</w:t>
      </w:r>
    </w:p>
    <w:p>
      <w:pPr>
        <w:pStyle w:val="Normal"/>
        <w:spacing w:lineRule="auto" w:line="480" w:before="0" w:after="0"/>
        <w:jc w:val="start"/>
        <w:rPr/>
      </w:pPr>
      <w:r>
        <w:rPr>
          <w:rFonts w:eastAsia="Times New Roman" w:cs="Times New Roman"/>
          <w:lang w:val="en-US"/>
        </w:rPr>
        <w:t>Chronic caffeine exposure may adapt the adenosinergic braking system</w:t>
      </w:r>
      <w:r>
        <w:rPr>
          <w:lang w:val="en-US"/>
        </w:rPr>
      </w:r>
      <w:r>
        <w:rPr>
          <w:rFonts w:eastAsia="Times New Roman" w:cs="Times New Roman"/>
          <w:lang w:val="en-US"/>
        </w:rPr>
      </w:r>
      <w:r>
        <w:rPr>
          <w:lang w:val="en-US"/>
        </w:rPr>
      </w:r>
      <w:r>
        <w:rPr>
          <w:rFonts w:eastAsia="Times New Roman" w:cs="Times New Roman"/>
          <w:lang w:val="en-US"/>
        </w:rPr>
        <w:t>, but the evidence is mixed</w:t>
      </w:r>
      <w:r>
        <w:rPr>
          <w:lang w:val="en-US"/>
        </w:rPr>
        <w:t>;</w:t>
      </w:r>
      <w:r>
        <w:rPr>
          <w:rFonts w:eastAsia="Times New Roman" w:cs="Times New Roman"/>
          <w:lang w:val="en-US"/>
        </w:rPr>
        <w:t xml:space="preserve"> the closest in vivo test </w:t>
      </w:r>
      <w:r>
        <w:rPr>
          <w:lang w:val="en-US"/>
        </w:rPr>
        <w:t>revealed</w:t>
      </w:r>
      <w:r>
        <w:rPr>
          <w:rFonts w:eastAsia="Times New Roman" w:cs="Times New Roman"/>
          <w:lang w:val="en-US"/>
        </w:rPr>
        <w:t xml:space="preserve"> no persistent receptor </w:t>
      </w:r>
      <w:r>
        <w:rPr>
          <w:lang w:val="en-US"/>
        </w:rPr>
        <w:t>changes</w:t>
      </w:r>
      <w:r>
        <w:rPr>
          <w:rFonts w:eastAsia="Times New Roman" w:cs="Times New Roman"/>
          <w:lang w:val="en-US"/>
        </w:rPr>
        <w:t xml:space="preserve">, and the mechanism is unresolved. We propose a monitored, three-group mouse experiment that separates adaptation from withdrawal and residual drug. Under the assumptions tested, the </w:t>
      </w:r>
      <w:r>
        <w:rPr>
          <w:lang w:val="en-US"/>
        </w:rPr>
        <w:t xml:space="preserve">results of the </w:t>
      </w:r>
      <w:r>
        <w:rPr>
          <w:rFonts w:eastAsia="Times New Roman" w:cs="Times New Roman"/>
          <w:lang w:val="en-US"/>
        </w:rPr>
        <w:t xml:space="preserve">Monte Carlo analysis </w:t>
      </w:r>
      <w:r>
        <w:rPr>
          <w:lang w:val="en-US"/>
        </w:rPr>
        <w:t>suggest</w:t>
      </w:r>
      <w:r>
        <w:rPr>
          <w:rFonts w:eastAsia="Times New Roman" w:cs="Times New Roman"/>
          <w:lang w:val="en-US"/>
        </w:rPr>
        <w:t xml:space="preserve"> that continuous exposure followed by early postwithdrawal testing would provide the most informative test of the proposed mechanism and that detectability rests mainly on how fast adaptation reverses. The design is falsifiable, and any of its outcomes would advance understanding.</w:t>
      </w:r>
    </w:p>
    <w:p>
      <w:pPr>
        <w:pStyle w:val="Heading1"/>
        <w:keepNext w:val="true"/>
        <w:spacing w:lineRule="auto" w:line="480" w:before="240" w:after="120"/>
        <w:rPr/>
      </w:pPr>
      <w:r>
        <w:rPr>
          <w:rFonts w:eastAsia="Times New Roman" w:cs="Times New Roman"/>
          <w:b/>
          <w:bCs/>
          <w:sz w:val="26"/>
          <w:szCs w:val="26"/>
          <w:lang w:val="en-US"/>
        </w:rPr>
        <w:t>Declarations</w:t>
      </w:r>
    </w:p>
    <w:p>
      <w:pPr>
        <w:pStyle w:val="Normal"/>
        <w:spacing w:lineRule="auto" w:line="276" w:before="0" w:after="100"/>
        <w:jc w:val="start"/>
        <w:rPr/>
      </w:pPr>
      <w:r>
        <w:rPr>
          <w:rFonts w:eastAsia="Times New Roman" w:cs="Times New Roman"/>
          <w:b/>
          <w:bCs/>
          <w:lang w:val="en-US"/>
        </w:rPr>
        <w:t>Ethics statement.</w:t>
      </w:r>
      <w:r>
        <w:rPr>
          <w:rFonts w:eastAsia="Times New Roman" w:cs="Times New Roman"/>
          <w:lang w:val="en-US"/>
        </w:rPr>
        <w:t xml:space="preserve"> No animals were used in this hypothesis and in-silico study.</w:t>
      </w:r>
      <w:r>
        <w:rPr>
          <w:lang w:val="en-US"/>
        </w:rPr>
      </w:r>
      <w:r>
        <w:rPr>
          <w:rFonts w:eastAsia="Times New Roman" w:cs="Times New Roman"/>
          <w:lang w:val="en-US"/>
        </w:rPr>
      </w:r>
      <w:r>
        <w:rPr>
          <w:lang w:val="en-US"/>
        </w:rPr>
      </w:r>
      <w:r>
        <w:rPr>
          <w:rFonts w:eastAsia="Times New Roman" w:cs="Times New Roman"/>
          <w:lang w:val="en-US"/>
        </w:rPr>
        <w:t xml:space="preserve"> Any experimental work described here would require prior institutional animal</w:t>
      </w:r>
      <w:r>
        <w:rPr>
          <w:lang w:val="en-US"/>
        </w:rPr>
        <w:t xml:space="preserve"> </w:t>
      </w:r>
      <w:r>
        <w:rPr>
          <w:rFonts w:eastAsia="Times New Roman" w:cs="Times New Roman"/>
          <w:lang w:val="en-US"/>
        </w:rPr>
        <w:t>care approval.</w:t>
      </w:r>
    </w:p>
    <w:p>
      <w:pPr>
        <w:pStyle w:val="Normal"/>
        <w:spacing w:lineRule="auto" w:line="276" w:before="0" w:after="100"/>
        <w:jc w:val="start"/>
        <w:rPr/>
      </w:pPr>
      <w:r>
        <w:rPr>
          <w:rFonts w:eastAsia="Times New Roman" w:cs="Times New Roman"/>
          <w:b/>
          <w:bCs/>
          <w:lang w:val="en-US"/>
        </w:rPr>
        <w:t>Ethical publication statement.</w:t>
      </w:r>
      <w:r>
        <w:rPr>
          <w:rFonts w:eastAsia="Times New Roman" w:cs="Times New Roman"/>
          <w:lang w:val="en-US"/>
        </w:rPr>
        <w:t xml:space="preserve"> We confirm that we have read the Journal’s position on issues involved in ethical publication and affirm that this report is consistent with those guidelines.</w:t>
      </w:r>
    </w:p>
    <w:p>
      <w:pPr>
        <w:pStyle w:val="Normal"/>
        <w:spacing w:lineRule="auto" w:line="276" w:before="0" w:after="100"/>
        <w:jc w:val="start"/>
        <w:rPr/>
      </w:pPr>
      <w:r>
        <w:rPr>
          <w:rFonts w:eastAsia="Times New Roman" w:cs="Times New Roman"/>
          <w:b/>
          <w:bCs/>
          <w:lang w:val="en-US"/>
        </w:rPr>
        <w:t>Funding.</w:t>
      </w:r>
      <w:r>
        <w:rPr>
          <w:rFonts w:eastAsia="Times New Roman" w:cs="Times New Roman"/>
          <w:lang w:val="en-US"/>
        </w:rPr>
        <w:t xml:space="preserve"> This research received no external funding.  </w:t>
      </w:r>
      <w:r>
        <w:rPr>
          <w:rFonts w:eastAsia="Times New Roman" w:cs="Times New Roman"/>
          <w:b/>
          <w:bCs/>
          <w:lang w:val="en-US"/>
        </w:rPr>
        <w:t>Conflict of interest.</w:t>
      </w:r>
      <w:r>
        <w:rPr>
          <w:rFonts w:eastAsia="Times New Roman" w:cs="Times New Roman"/>
          <w:lang w:val="en-US"/>
        </w:rPr>
        <w:t xml:space="preserve"> The author declares no conflicts of interest.  </w:t>
      </w:r>
      <w:r>
        <w:rPr>
          <w:rFonts w:eastAsia="Times New Roman" w:cs="Times New Roman"/>
          <w:b/>
          <w:bCs/>
          <w:lang w:val="en-US"/>
        </w:rPr>
        <w:t>Acknowledgments.</w:t>
      </w:r>
      <w:r>
        <w:rPr>
          <w:rFonts w:eastAsia="Times New Roman" w:cs="Times New Roman"/>
          <w:lang w:val="en-US"/>
        </w:rPr>
        <w:t xml:space="preserve"> None.</w:t>
      </w:r>
    </w:p>
    <w:p>
      <w:pPr>
        <w:pStyle w:val="Normal"/>
        <w:spacing w:lineRule="auto" w:line="276" w:before="0" w:after="100"/>
        <w:jc w:val="start"/>
        <w:rPr/>
      </w:pPr>
      <w:r>
        <w:rPr>
          <w:rFonts w:eastAsia="Times New Roman" w:cs="Times New Roman"/>
          <w:b/>
          <w:bCs/>
          <w:lang w:val="en-US"/>
        </w:rPr>
        <w:t>Author contributions (CRediT).</w:t>
      </w:r>
      <w:r>
        <w:rPr>
          <w:rFonts w:eastAsia="Times New Roman" w:cs="Times New Roman"/>
          <w:lang w:val="en-US"/>
        </w:rPr>
        <w:t xml:space="preserve"> </w:t>
      </w:r>
      <w:r>
        <w:rPr>
          <w:rFonts w:eastAsia="Times New Roman" w:cs="Times New Roman"/>
          <w:highlight w:val="yellow"/>
          <w:lang w:val="en-US"/>
        </w:rPr>
        <w:t>Leon Sandler: Conceptualization</w:t>
      </w:r>
      <w:r>
        <w:rPr>
          <w:rFonts w:eastAsia="Times New Roman" w:cs="Times New Roman"/>
          <w:lang w:val="en-US"/>
        </w:rPr>
        <w:t>, Methodology, Software, Formal analysis, Writing – original draft, Writing – review and editing.</w:t>
      </w:r>
    </w:p>
    <w:p>
      <w:pPr>
        <w:pStyle w:val="Normal"/>
        <w:spacing w:lineRule="auto" w:line="276" w:before="0" w:after="100"/>
        <w:jc w:val="start"/>
        <w:rPr/>
      </w:pPr>
      <w:r>
        <w:rPr>
          <w:rFonts w:eastAsia="Times New Roman" w:cs="Times New Roman"/>
          <w:b/>
          <w:bCs/>
          <w:lang w:val="en-US"/>
        </w:rPr>
        <w:t>Data availability.</w:t>
      </w:r>
      <w:r>
        <w:rPr>
          <w:rFonts w:eastAsia="Times New Roman" w:cs="Times New Roman"/>
          <w:lang w:val="en-US"/>
        </w:rPr>
        <w:t xml:space="preserve"> No experimental data were generated. The simulation code (CaffeineMC.py, fixed random seed) is provided as Supporting Information and archived at https://doi.org/10.5281/zenodo.22860921; this manuscript is archived at https://doi.org/10.5281/zenodo.22860926. Both are concept DOIs and resolve to the current version.</w:t>
      </w:r>
    </w:p>
    <w:p>
      <w:pPr>
        <w:pStyle w:val="Normal"/>
        <w:spacing w:lineRule="auto" w:line="276" w:before="0" w:after="100"/>
        <w:jc w:val="start"/>
        <w:rPr/>
      </w:pPr>
      <w:r>
        <w:rPr>
          <w:rFonts w:eastAsia="Times New Roman" w:cs="Times New Roman"/>
          <w:b/>
          <w:bCs/>
          <w:lang w:val="en-US"/>
        </w:rPr>
        <w:t>Use of generative AI.</w:t>
      </w:r>
      <w:r>
        <w:rPr>
          <w:rFonts w:eastAsia="Times New Roman" w:cs="Times New Roman"/>
          <w:lang w:val="en-US"/>
        </w:rPr>
        <w:t xml:space="preserve"> Generative AI (Claude, Anthropic) was used to assist with drafting and editing the manuscript, developing the simulation code and generating the figures. The author reviewed and verified the scientific content, references, analyses, code and final manuscript, and takes full responsibility for the content.</w:t>
      </w:r>
    </w:p>
    <w:p>
      <w:pPr>
        <w:pStyle w:val="Normal"/>
        <w:rPr/>
      </w:pPr>
      <w:r>
        <w:rPr/>
      </w:r>
      <w:r>
        <w:br w:type="page"/>
      </w:r>
    </w:p>
    <w:p>
      <w:pPr>
        <w:pStyle w:val="Heading1"/>
        <w:keepNext w:val="true"/>
        <w:spacing w:lineRule="auto" w:line="480" w:before="0" w:after="120"/>
        <w:rPr/>
      </w:pPr>
      <w:r>
        <w:rPr>
          <w:rFonts w:eastAsia="Times New Roman" w:cs="Times New Roman"/>
          <w:b/>
          <w:bCs/>
          <w:sz w:val="26"/>
          <w:szCs w:val="26"/>
          <w:lang w:val="en-US"/>
        </w:rPr>
        <w:t>References</w:t>
      </w:r>
    </w:p>
    <w:p>
      <w:pPr>
        <w:pStyle w:val="Normal"/>
        <w:spacing w:lineRule="auto" w:line="300" w:before="0" w:after="80"/>
        <w:ind w:hanging="360" w:start="360"/>
        <w:rPr/>
      </w:pPr>
      <w:r>
        <w:rPr>
          <w:rFonts w:eastAsia="Times New Roman" w:cs="Times New Roman"/>
          <w:lang w:val="en-US"/>
        </w:rPr>
        <w:t>1. Dunwiddie TV, Masino SA. The role and regulation of adenosine in the central nervous system. Annu Rev Neurosci. 2001;24:31–55.</w:t>
      </w:r>
    </w:p>
    <w:p>
      <w:pPr>
        <w:pStyle w:val="Normal"/>
        <w:spacing w:lineRule="auto" w:line="300" w:before="0" w:after="80"/>
        <w:ind w:hanging="360" w:start="360"/>
        <w:rPr/>
      </w:pPr>
      <w:r>
        <w:rPr>
          <w:rFonts w:eastAsia="Times New Roman" w:cs="Times New Roman"/>
          <w:lang w:val="en-US"/>
        </w:rPr>
        <w:t>2. Boison D. Adenosinergic signaling in epilepsy. Neuropharmacology. 2016;104:131–9.</w:t>
      </w:r>
    </w:p>
    <w:p>
      <w:pPr>
        <w:pStyle w:val="Normal"/>
        <w:spacing w:lineRule="auto" w:line="300" w:before="0" w:after="80"/>
        <w:ind w:hanging="360" w:start="360"/>
        <w:rPr/>
      </w:pPr>
      <w:r>
        <w:rPr>
          <w:rFonts w:eastAsia="Times New Roman" w:cs="Times New Roman"/>
          <w:lang w:val="en-US"/>
        </w:rPr>
        <w:t>3. Baltos JA, Casillas-Espinosa PM, Rollo B, Gregory KJ, White PJ, Christopoulos A, et al. The role of the adenosine system in epilepsy and its comorbidities. Br J Pharmacol. 2023. doi:10.1111/bph.16094.</w:t>
      </w:r>
    </w:p>
    <w:p>
      <w:pPr>
        <w:pStyle w:val="Normal"/>
        <w:spacing w:lineRule="auto" w:line="300" w:before="0" w:after="80"/>
        <w:ind w:hanging="360" w:start="360"/>
        <w:rPr/>
      </w:pPr>
      <w:r>
        <w:rPr>
          <w:rFonts w:eastAsia="Times New Roman" w:cs="Times New Roman"/>
          <w:lang w:val="en-US"/>
        </w:rPr>
        <w:t>4. Fredholm BB, Bättig K, Holmén J, Nehlig A, Zvartau EE. Actions of caffeine in the brain with special reference to factors that contribute to its widespread use. Pharmacol Rev. 1999;51:83–133.</w:t>
      </w:r>
    </w:p>
    <w:p>
      <w:pPr>
        <w:pStyle w:val="Normal"/>
        <w:spacing w:lineRule="auto" w:line="300" w:before="0" w:after="80"/>
        <w:ind w:hanging="360" w:start="360"/>
        <w:rPr/>
      </w:pPr>
      <w:r>
        <w:rPr>
          <w:rFonts w:eastAsia="Times New Roman" w:cs="Times New Roman"/>
          <w:lang w:val="en-US"/>
        </w:rPr>
        <w:t>5. Boison D. Methylxanthines, seizures, and excitotoxicity. Handb Exp Pharmacol. 2011;(200):251–66.</w:t>
      </w:r>
    </w:p>
    <w:p>
      <w:pPr>
        <w:pStyle w:val="Normal"/>
        <w:spacing w:lineRule="auto" w:line="300" w:before="0" w:after="80"/>
        <w:ind w:hanging="360" w:start="360"/>
        <w:rPr/>
      </w:pPr>
      <w:r>
        <w:rPr>
          <w:rFonts w:eastAsia="Times New Roman" w:cs="Times New Roman"/>
          <w:lang w:val="en-US"/>
        </w:rPr>
        <w:t>6. Shi D, Nikodijević O, Jacobson KA, Daly JW. Chronic caffeine alters the density of adenosine, adrenergic, cholinergic, GABA, and serotonin receptors and calcium channels in mouse brain. Cell Mol Neurobiol. 1993;13:247–61.</w:t>
      </w:r>
    </w:p>
    <w:p>
      <w:pPr>
        <w:pStyle w:val="Normal"/>
        <w:spacing w:lineRule="auto" w:line="300" w:before="0" w:after="80"/>
        <w:ind w:hanging="360" w:start="360"/>
        <w:rPr/>
      </w:pPr>
      <w:r>
        <w:rPr>
          <w:rFonts w:eastAsia="Times New Roman" w:cs="Times New Roman"/>
          <w:lang w:val="en-US"/>
        </w:rPr>
        <w:t>7. Johansson B, Georgiev V, Kuosmanen T, Fredholm BB. Long-term treatment with some methylxanthines decreases the susceptibility to bicuculline- and pentylenetetrazol-induced seizures in mice. Relationship to c-fos expression and receptor binding. Eur J Neurosci. 1996;8:2447–58.</w:t>
      </w:r>
    </w:p>
    <w:p>
      <w:pPr>
        <w:pStyle w:val="Normal"/>
        <w:spacing w:lineRule="auto" w:line="300" w:before="0" w:after="80"/>
        <w:ind w:hanging="360" w:start="360"/>
        <w:rPr/>
      </w:pPr>
      <w:r>
        <w:rPr>
          <w:rFonts w:eastAsia="Times New Roman" w:cs="Times New Roman"/>
          <w:lang w:val="en-US"/>
        </w:rPr>
        <w:t>8. Georgiev V, Johansson B, Fredholm BB. Long-term caffeine treatment leads to a decreased susceptibility to NMDA-induced clonic seizures in mice without changes in adenosine A1 receptor number. Brain Res. 1993;612:271–7.</w:t>
      </w:r>
    </w:p>
    <w:p>
      <w:pPr>
        <w:pStyle w:val="Normal"/>
        <w:spacing w:lineRule="auto" w:line="300" w:before="0" w:after="80"/>
        <w:ind w:hanging="360" w:start="360"/>
        <w:rPr/>
      </w:pPr>
      <w:r>
        <w:rPr>
          <w:rFonts w:eastAsia="Times New Roman" w:cs="Times New Roman"/>
          <w:lang w:val="en-US"/>
        </w:rPr>
        <w:t>9. El Yacoubi M, Ledent C, Parmentier M, Costentin J, Vaugeois JM. Evidence for the involvement of the adenosine A2A receptor in the lowered susceptibility to pentylenetetrazol-induced seizures produced in mice by long-term treatment with caffeine. Neuropharmacology. 2008;55:35–40.</w:t>
      </w:r>
    </w:p>
    <w:p>
      <w:pPr>
        <w:pStyle w:val="Normal"/>
        <w:spacing w:lineRule="auto" w:line="300" w:before="0" w:after="80"/>
        <w:ind w:hanging="360" w:start="360"/>
        <w:rPr/>
      </w:pPr>
      <w:r>
        <w:rPr>
          <w:rFonts w:eastAsia="Times New Roman" w:cs="Times New Roman"/>
          <w:lang w:val="en-US"/>
        </w:rPr>
        <w:t>10. Green RM, Stiles GL. Chronic caffeine ingestion sensitizes the A1 adenosine receptor-adenylate cyclase system in rat cerebral cortex. J Clin Invest. 1986;77:222–7.</w:t>
      </w:r>
    </w:p>
    <w:p>
      <w:pPr>
        <w:pStyle w:val="Normal"/>
        <w:spacing w:lineRule="auto" w:line="300" w:before="0" w:after="80"/>
        <w:ind w:hanging="360" w:start="360"/>
        <w:rPr/>
      </w:pPr>
      <w:r>
        <w:rPr>
          <w:rFonts w:eastAsia="Times New Roman" w:cs="Times New Roman"/>
          <w:lang w:val="en-US"/>
        </w:rPr>
        <w:t>11. Nikodijević O, Jacobson KA, Daly JW. Locomotor activity in mice during chronic treatment with caffeine and withdrawal. Pharmacol Biochem Behav. 1993;44:199–216.</w:t>
      </w:r>
    </w:p>
    <w:p>
      <w:pPr>
        <w:pStyle w:val="Normal"/>
        <w:spacing w:lineRule="auto" w:line="300" w:before="0" w:after="80"/>
        <w:ind w:hanging="360" w:start="360"/>
        <w:rPr/>
      </w:pPr>
      <w:r>
        <w:rPr>
          <w:rFonts w:eastAsia="Times New Roman" w:cs="Times New Roman"/>
          <w:lang w:val="en-US"/>
        </w:rPr>
        <w:t>12. Nabbi-Schroeter D, Elmenhorst D, Oskamp A, Laskowski S, Bauer A, Kroll T. Effects of long-term caffeine consumption on the adenosine A1 receptor in the rat brain: an in vivo PET study with [18F]CPFPX. Mol Imaging Biol. 2018;20:284–91.</w:t>
      </w:r>
    </w:p>
    <w:p>
      <w:pPr>
        <w:pStyle w:val="Normal"/>
        <w:spacing w:lineRule="auto" w:line="300" w:before="0" w:after="80"/>
        <w:ind w:hanging="360" w:start="360"/>
        <w:rPr/>
      </w:pPr>
      <w:r>
        <w:rPr>
          <w:rFonts w:eastAsia="Times New Roman" w:cs="Times New Roman"/>
          <w:lang w:val="en-US"/>
        </w:rPr>
        <w:t>13. Kaplan GB, Tai NT, Greenblatt DJ, Shader RI. Caffeine-induced behavioural stimulation is dose- and concentration-dependent. Br J Pharmacol. 1990;100:435–40.</w:t>
      </w:r>
    </w:p>
    <w:p>
      <w:pPr>
        <w:pStyle w:val="Normal"/>
        <w:spacing w:lineRule="auto" w:line="300" w:before="0" w:after="80"/>
        <w:ind w:hanging="360" w:start="360"/>
        <w:rPr/>
      </w:pPr>
      <w:r>
        <w:rPr>
          <w:rFonts w:eastAsia="Times New Roman" w:cs="Times New Roman"/>
          <w:lang w:val="en-US"/>
        </w:rPr>
        <w:t>14. Nair AB, Jacob S. A simple practice guide for dose conversion between animals and human. J Basic Clin Pharm. 2016;7:27–31.</w:t>
      </w:r>
    </w:p>
    <w:p>
      <w:pPr>
        <w:pStyle w:val="Normal"/>
        <w:spacing w:lineRule="auto" w:line="300" w:before="0" w:after="80"/>
        <w:ind w:hanging="360" w:start="360"/>
        <w:rPr/>
      </w:pPr>
      <w:r>
        <w:rPr>
          <w:rFonts w:eastAsia="Times New Roman" w:cs="Times New Roman"/>
          <w:lang w:val="en-US"/>
        </w:rPr>
        <w:t>15. Cox L, Nelson H, Lockey R, et al. Allergen immunotherapy: a practice parameter third update. J Allergy Clin Immunol. 2011;127(1 Suppl):S1–55.</w:t>
      </w:r>
    </w:p>
    <w:p>
      <w:pPr>
        <w:pStyle w:val="Normal"/>
        <w:spacing w:lineRule="auto" w:line="300" w:before="0" w:after="80"/>
        <w:ind w:hanging="360" w:start="360"/>
        <w:rPr/>
      </w:pPr>
      <w:r>
        <w:rPr>
          <w:rFonts w:eastAsia="Times New Roman" w:cs="Times New Roman"/>
          <w:lang w:val="en-US"/>
        </w:rPr>
        <w:t>16. Löscher W. Critical review of current animal models of seizures and epilepsy used in the discovery and development of new antiepileptic drugs. Seizure. 2011;20:359–68.</w:t>
      </w:r>
    </w:p>
    <w:p>
      <w:pPr>
        <w:pStyle w:val="Normal"/>
        <w:spacing w:lineRule="auto" w:line="300" w:before="0" w:after="80"/>
        <w:ind w:hanging="360" w:start="360"/>
        <w:rPr/>
      </w:pPr>
      <w:r>
        <w:rPr>
          <w:rFonts w:eastAsia="Times New Roman" w:cs="Times New Roman"/>
          <w:lang w:val="en-US"/>
        </w:rPr>
        <w:t>17. Elmenhorst D, Meyer PT, Matusch A, Winz OH, Bauer A. Caffeine occupancy of human cerebral A1 adenosine receptors: in vivo quantification with 18F-CPFPX and PET. J Nucl Med. 2012;53:1723–9.</w:t>
      </w:r>
    </w:p>
    <w:p>
      <w:pPr>
        <w:pStyle w:val="Normal"/>
        <w:spacing w:lineRule="auto" w:line="300" w:before="0" w:after="80"/>
        <w:ind w:hanging="360" w:start="360"/>
        <w:rPr/>
      </w:pPr>
      <w:r>
        <w:rPr>
          <w:rFonts w:eastAsia="Times New Roman" w:cs="Times New Roman"/>
          <w:lang w:val="en-US"/>
        </w:rPr>
        <w:t>18. Percie du Sert N, Hurst V, Ahluwalia A, et al. The ARRIVE guidelines 2.0: updated guidelines for reporting animal research. PLoS Biol. 2020;18:e3000410.</w:t>
      </w:r>
    </w:p>
    <w:p>
      <w:pPr>
        <w:pStyle w:val="Normal"/>
        <w:spacing w:lineRule="auto" w:line="300" w:before="0" w:after="80"/>
        <w:ind w:hanging="360" w:start="360"/>
        <w:rPr/>
      </w:pPr>
      <w:r>
        <w:rPr>
          <w:rFonts w:eastAsia="Times New Roman" w:cs="Times New Roman"/>
          <w:lang w:val="en-US"/>
        </w:rPr>
        <w:t>19. Morris TP, White IR, Crowther MJ. Using simulation studies to evaluate statistical methods. Stat Med. 2019;38:2074–102.</w:t>
      </w:r>
    </w:p>
    <w:p>
      <w:pPr>
        <w:pStyle w:val="Normal"/>
        <w:spacing w:lineRule="auto" w:line="300" w:before="0" w:after="80"/>
        <w:ind w:hanging="360" w:start="360"/>
        <w:rPr/>
      </w:pPr>
      <w:r>
        <w:rPr>
          <w:rFonts w:eastAsia="Times New Roman" w:cs="Times New Roman"/>
          <w:lang w:val="en-US"/>
        </w:rPr>
        <w:t>20. Matovu D, Alele PE. Seizure vulnerability and anxiety responses following chronic co-administration and acute withdrawal of caffeine and ethanol in a rat model. J Basic Clin Physiol Pharmacol. 2018;29:1–10.</w:t>
      </w:r>
    </w:p>
    <w:sectPr>
      <w:footerReference w:type="even" r:id="rId6"/>
      <w:footerReference w:type="default" r:id="rId7"/>
      <w:footerReference w:type="first" r:id="rId8"/>
      <w:type w:val="nextPage"/>
      <w:pgSz w:w="11906" w:h="16838"/>
      <w:pgMar w:left="1440" w:right="1440" w:gutter="0" w:header="0" w:top="1440" w:footer="708"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lang w:val="en-US"/>
      </w:rPr>
      <w:fldChar w:fldCharType="begin"/>
    </w:r>
    <w:r>
      <w:rPr>
        <w:rFonts w:eastAsia="Times New Roman" w:cs="Times New Roman"/>
        <w:sz w:val="20"/>
        <w:szCs w:val="20"/>
        <w:lang w:val="en-US"/>
      </w:rPr>
      <w:instrText xml:space="preserve"> PAGE </w:instrText>
    </w:r>
    <w:r>
      <w:rPr>
        <w:rFonts w:eastAsia="Times New Roman" w:cs="Times New Roman"/>
        <w:sz w:val="20"/>
        <w:szCs w:val="20"/>
        <w:lang w:val="en-US"/>
      </w:rPr>
      <w:fldChar w:fldCharType="separate"/>
    </w:r>
    <w:r>
      <w:rPr>
        <w:rFonts w:eastAsia="Times New Roman" w:cs="Times New Roman"/>
        <w:sz w:val="20"/>
        <w:szCs w:val="20"/>
        <w:lang w:val="en-US"/>
      </w:rPr>
      <w:t>17</w:t>
    </w:r>
    <w:r>
      <w:rPr>
        <w:rFonts w:eastAsia="Times New Roman" w:cs="Times New Roman"/>
        <w:sz w:val="20"/>
        <w:szCs w:val="20"/>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lang w:val="en-US"/>
      </w:rPr>
      <w:fldChar w:fldCharType="begin"/>
    </w:r>
    <w:r>
      <w:rPr>
        <w:rFonts w:eastAsia="Times New Roman" w:cs="Times New Roman"/>
        <w:sz w:val="20"/>
        <w:szCs w:val="20"/>
        <w:lang w:val="en-US"/>
      </w:rPr>
      <w:instrText xml:space="preserve"> PAGE </w:instrText>
    </w:r>
    <w:r>
      <w:rPr>
        <w:rFonts w:eastAsia="Times New Roman" w:cs="Times New Roman"/>
        <w:sz w:val="20"/>
        <w:szCs w:val="20"/>
        <w:lang w:val="en-US"/>
      </w:rPr>
      <w:fldChar w:fldCharType="separate"/>
    </w:r>
    <w:r>
      <w:rPr>
        <w:rFonts w:eastAsia="Times New Roman" w:cs="Times New Roman"/>
        <w:sz w:val="20"/>
        <w:szCs w:val="20"/>
        <w:lang w:val="en-US"/>
      </w:rPr>
      <w:t>17</w:t>
    </w:r>
    <w:r>
      <w:rPr>
        <w:rFonts w:eastAsia="Times New Roman" w:cs="Times New Roman"/>
        <w:sz w:val="20"/>
        <w:szCs w:val="20"/>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b77b5"/>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qFormat/>
    <w:pPr>
      <w:widowControl/>
      <w:bidi w:val="0"/>
      <w:spacing w:before="0" w:after="0"/>
      <w:jc w:val="start"/>
      <w:outlineLvl w:val="0"/>
    </w:pPr>
    <w:rPr>
      <w:rFonts w:ascii="Times New Roman" w:hAnsi="Times New Roman" w:eastAsia="Times New Roman" w:cs="Times New Roman"/>
      <w:b/>
      <w:bCs/>
      <w:color w:val="auto"/>
      <w:kern w:val="0"/>
      <w:sz w:val="26"/>
      <w:szCs w:val="26"/>
      <w:lang w:val="en-US" w:eastAsia="en-US" w:bidi="ar-SA"/>
    </w:rPr>
  </w:style>
  <w:style w:type="paragraph" w:styleId="Heading2">
    <w:name w:val="heading 2"/>
    <w:qFormat/>
    <w:pPr>
      <w:widowControl/>
      <w:bidi w:val="0"/>
      <w:spacing w:before="0" w:after="0"/>
      <w:jc w:val="start"/>
      <w:outlineLvl w:val="1"/>
    </w:pPr>
    <w:rPr>
      <w:rFonts w:ascii="Times New Roman" w:hAnsi="Times New Roman" w:eastAsia="Times New Roman" w:cs="Times New Roman"/>
      <w:b/>
      <w:bCs/>
      <w:i/>
      <w:iCs/>
      <w:color w:val="auto"/>
      <w:kern w:val="0"/>
      <w:sz w:val="24"/>
      <w:szCs w:val="24"/>
      <w:lang w:val="en-US" w:eastAsia="en-US" w:bidi="ar-SA"/>
    </w:rPr>
  </w:style>
  <w:style w:type="paragraph" w:styleId="Heading3">
    <w:name w:val="heading 3"/>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qFormat/>
    <w:pPr>
      <w:widowControl/>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qFormat/>
    <w:pPr>
      <w:widowControl/>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qFormat/>
    <w:rsid w:val="000f3df7"/>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17</Pages>
  <Words>4815</Words>
  <Characters>26701</Characters>
  <CharactersWithSpaces>31120</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2026-09-20T02:21:35Z</dcterms:created>
  <dc:creator>Manuscript draft</dc:creator>
  <dc:description/>
  <dc:language>en-US</dc:language>
  <cp:lastModifiedBy/>
  <dcterms:modified xsi:type="dcterms:W3CDTF">2026-09-20T11:35:22Z</dcterms:modified>
  <cp:revision>2</cp:revision>
  <dc:subject/>
  <dc:title>Can chronic caffeine exposure increase adenosine A1 receptor reserve and seizure threshold?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2026-09-20T16:34:17Z</vt:filetime>
  </property>
</Properties>
</file>