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left"/>
      </w:pPr>
      <w:r>
        <w:rPr>
          <w:rFonts w:ascii="Times New Roman" w:cs="Times New Roman" w:eastAsia="Times New Roman" w:hAnsi="Times New Roman"/>
          <w:b/>
          <w:bCs/>
          <w:sz w:val="30"/>
          <w:szCs w:val="30"/>
        </w:rPr>
        <w:t xml:space="preserve">Supporting Information</w:t>
      </w:r>
    </w:p>
    <w:p>
      <w:pPr>
        <w:spacing w:after="200" w:line="276"/>
        <w:jc w:val="left"/>
      </w:pPr>
      <w:r>
        <w:rPr>
          <w:rFonts w:ascii="Times New Roman" w:cs="Times New Roman" w:eastAsia="Times New Roman" w:hAnsi="Times New Roman"/>
          <w:sz w:val="26"/>
          <w:szCs w:val="26"/>
        </w:rPr>
        <w:t xml:space="preserve">Can Chronic Caffeine Exposure Increase Adenosine A₁ Receptor Reserve and Seizure Threshold? A Testable Hypothesis</w:t>
      </w:r>
    </w:p>
    <w:p>
      <w:pPr>
        <w:spacing w:after="200" w:line="276"/>
        <w:jc w:val="left"/>
      </w:pPr>
      <w:r>
        <w:rPr>
          <w:rFonts w:ascii="Times New Roman" w:cs="Times New Roman" w:eastAsia="Times New Roman" w:hAnsi="Times New Roman"/>
        </w:rPr>
        <w:t xml:space="preserve">This file contains the detailed experimental protocol (S1), the Monte Carlo model specification and full sensitivity results (S2). The simulation code is CaffeineMC.py. </w:t>
      </w:r>
      <w:r>
        <w:rPr>
          <w:rFonts w:ascii="Times New Roman" w:cs="Times New Roman" w:eastAsia="Times New Roman" w:hAnsi="Times New Roman"/>
          <w:b/>
          <w:bCs/>
        </w:rPr>
        <w:t xml:space="preserve">The protocol is a proposal; no animal work has been performed or approved.</w:t>
      </w:r>
      <w:r>
        <w:rPr>
          <w:rFonts w:ascii="Times New Roman" w:cs="Times New Roman" w:eastAsia="Times New Roman" w:hAnsi="Times New Roman"/>
        </w:rPr>
        <w:t xml:space="preserve"> Every adaptation parameter in S2 is an assumption.</w:t>
      </w:r>
    </w:p>
    <w:p>
      <w:pPr>
        <w:pStyle w:val="Heading1"/>
        <w:keepNext/>
        <w:spacing w:after="120" w:before="240" w:line="480"/>
      </w:pPr>
      <w:r>
        <w:rPr>
          <w:rFonts w:ascii="Times New Roman" w:cs="Times New Roman" w:eastAsia="Times New Roman" w:hAnsi="Times New Roman"/>
          <w:b/>
          <w:bCs/>
          <w:sz w:val="26"/>
          <w:szCs w:val="26"/>
        </w:rPr>
        <w:t xml:space="preserve">S1  Proposed experimental protocol</w:t>
      </w:r>
    </w:p>
    <w:p>
      <w:pPr>
        <w:pStyle w:val="Heading2"/>
        <w:keepNext/>
        <w:spacing w:after="60" w:before="120" w:line="480"/>
      </w:pPr>
      <w:r>
        <w:rPr>
          <w:rFonts w:ascii="Times New Roman" w:cs="Times New Roman" w:eastAsia="Times New Roman" w:hAnsi="Times New Roman"/>
          <w:b/>
          <w:bCs/>
          <w:i/>
          <w:iCs/>
          <w:sz w:val="24"/>
          <w:szCs w:val="24"/>
        </w:rPr>
        <w:t xml:space="preserve">S1.1  Animals, allocation and reporting</w:t>
      </w:r>
    </w:p>
    <w:p>
      <w:pPr>
        <w:spacing w:after="100" w:line="276"/>
        <w:jc w:val="left"/>
      </w:pPr>
      <w:r>
        <w:rPr>
          <w:rFonts w:ascii="Times New Roman" w:cs="Times New Roman" w:eastAsia="Times New Roman" w:hAnsi="Times New Roman"/>
        </w:rPr>
        <w:t xml:space="preserve">Adult male and female C57BL/6J mice (8–10 weeks old), 12:12-h light–dark cycle, food and water ad libitum. Allocation is randomized, stratified by sex and baseline body weight; outcome assessors are blinded to group. Reporting follows ARRIVE 2.0. The protocol, primary outcome and analysis plan will be registered before the first animal is enrolled (for example on preclinicaltrials.eu or OSF), and institutional animal-care approval will be obtained before any work begins.</w:t>
      </w:r>
    </w:p>
    <w:p>
      <w:pPr>
        <w:pStyle w:val="Heading2"/>
        <w:keepNext/>
        <w:spacing w:after="60" w:before="120" w:line="480"/>
      </w:pPr>
      <w:r>
        <w:rPr>
          <w:rFonts w:ascii="Times New Roman" w:cs="Times New Roman" w:eastAsia="Times New Roman" w:hAnsi="Times New Roman"/>
          <w:b/>
          <w:bCs/>
          <w:i/>
          <w:iCs/>
          <w:sz w:val="24"/>
          <w:szCs w:val="24"/>
        </w:rPr>
        <w:t xml:space="preserve">S1.2  Caffeine delivery</w:t>
      </w:r>
    </w:p>
    <w:p>
      <w:pPr>
        <w:spacing w:after="100" w:line="276"/>
        <w:jc w:val="left"/>
      </w:pPr>
      <w:r>
        <w:rPr>
          <w:rFonts w:ascii="Times New Roman" w:cs="Times New Roman" w:eastAsia="Times New Roman" w:hAnsi="Times New Roman"/>
          <w:b/>
          <w:bCs/>
        </w:rPr>
        <w:t xml:space="preserve">Drinking water (primary).</w:t>
      </w:r>
      <w:r>
        <w:rPr>
          <w:rFonts w:ascii="Times New Roman" w:cs="Times New Roman" w:eastAsia="Times New Roman" w:hAnsi="Times New Roman"/>
        </w:rPr>
        <w:t xml:space="preserve"> Caffeine in drinking water, with bottle volumes and body weights recorded at least three times weekly and concentrations adjusted to the target mg/kg/day. Intake is predominantly nocturnal, which avoids a daytime plasma peak that could fragment sleep. Plasma caffeine and its metabolites (paraxanthine, theophylline, theobromine) are measured by LC-MS/MS from tail-vein micro-samples at the end of each dose step, in both light and dark phases.</w:t>
      </w:r>
    </w:p>
    <w:p>
      <w:pPr>
        <w:spacing w:after="100" w:line="276"/>
        <w:jc w:val="left"/>
      </w:pPr>
      <w:r>
        <w:rPr>
          <w:rFonts w:ascii="Times New Roman" w:cs="Times New Roman" w:eastAsia="Times New Roman" w:hAnsi="Times New Roman"/>
          <w:b/>
          <w:bCs/>
        </w:rPr>
        <w:t xml:space="preserve">Caffeine shots (exploratory).</w:t>
      </w:r>
      <w:r>
        <w:rPr>
          <w:rFonts w:ascii="Times New Roman" w:cs="Times New Roman" w:eastAsia="Times New Roman" w:hAnsi="Times New Roman"/>
        </w:rPr>
        <w:t xml:space="preserve"> Subcutaneous caffeine solution on three fixed days per week, 3 h before lights-off, at 7/3 of the daily target so that weekly exposure equals that of the water group (for example 70 mg/kg per injection at the top level). Injection volume and site rotation are limited, and a pilot pharmacokinetic study is needed before use. The same EEG gating applies.</w:t>
      </w:r>
    </w:p>
    <w:p>
      <w:pPr>
        <w:spacing w:after="100" w:line="276"/>
        <w:jc w:val="left"/>
      </w:pPr>
      <w:r>
        <w:rPr>
          <w:rFonts w:ascii="Times New Roman" w:cs="Times New Roman" w:eastAsia="Times New Roman" w:hAnsi="Times New Roman"/>
          <w:b/>
          <w:bCs/>
        </w:rPr>
        <w:t xml:space="preserve">Depot (exploratory).</w:t>
      </w:r>
      <w:r>
        <w:rPr>
          <w:rFonts w:ascii="Times New Roman" w:cs="Times New Roman" w:eastAsia="Times New Roman" w:hAnsi="Times New Roman"/>
        </w:rPr>
        <w:t xml:space="preserve"> A sustained-release formulation (for example poly(lactic-co-glycolic acid) microspheres) injected every 14 days at 14 times the daily target, designed for a burst of no more than about 10% and a release half-life of about 3 days. No such formulation is commercially available; release must be characterized in vitro and in a pilot study, and residual caffeine at testing must be measured. A gate breach can only take effect at the next injection.</w:t>
      </w:r>
    </w:p>
    <w:p>
      <w:pPr>
        <w:spacing w:after="100" w:line="276"/>
        <w:jc w:val="left"/>
      </w:pPr>
      <w:r>
        <w:rPr>
          <w:rFonts w:ascii="Times New Roman" w:cs="Times New Roman" w:eastAsia="Times New Roman" w:hAnsi="Times New Roman"/>
          <w:b/>
          <w:bCs/>
        </w:rPr>
        <w:t xml:space="preserve">Osmotic minipumps (positive control).</w:t>
      </w:r>
      <w:r>
        <w:rPr>
          <w:rFonts w:ascii="Times New Roman" w:cs="Times New Roman" w:eastAsia="Times New Roman" w:hAnsi="Times New Roman"/>
        </w:rPr>
        <w:t xml:space="preserve"> If depot kinetics fail, osmotic minipumps with staged replacement serve as the positive control for continuous delivery. They are not the primary method because available pumps run for weeks rather than months, so 12 weeks of escalation needs repeated surgery, and continuous infusion does not follow the nocturnal drinking pattern.</w:t>
      </w:r>
    </w:p>
    <w:p>
      <w:pPr>
        <w:pStyle w:val="Heading2"/>
        <w:keepNext/>
        <w:spacing w:after="60" w:before="120" w:line="480"/>
      </w:pPr>
      <w:r>
        <w:rPr>
          <w:rFonts w:ascii="Times New Roman" w:cs="Times New Roman" w:eastAsia="Times New Roman" w:hAnsi="Times New Roman"/>
          <w:b/>
          <w:bCs/>
          <w:i/>
          <w:iCs/>
          <w:sz w:val="24"/>
          <w:szCs w:val="24"/>
        </w:rPr>
        <w:t xml:space="preserve">S1.3  Escalation schedule</w:t>
      </w:r>
    </w:p>
    <w:p>
      <w:pPr>
        <w:keepNext/>
        <w:spacing w:after="80" w:before="200" w:line="276"/>
      </w:pPr>
      <w:r>
        <w:rPr>
          <w:rFonts w:ascii="Times New Roman" w:cs="Times New Roman" w:eastAsia="Times New Roman" w:hAnsi="Times New Roman"/>
          <w:b/>
          <w:bCs/>
          <w:sz w:val="22"/>
          <w:szCs w:val="22"/>
        </w:rPr>
        <w:t xml:space="preserve">Table S1.</w:t>
      </w:r>
      <w:r>
        <w:rPr>
          <w:rFonts w:ascii="Times New Roman" w:cs="Times New Roman" w:eastAsia="Times New Roman" w:hAnsi="Times New Roman"/>
          <w:sz w:val="22"/>
          <w:szCs w:val="22"/>
        </w:rPr>
        <w:t xml:space="preserve"> Escalation schedule. Predicted mean plasma concentrations use the model’s pharmacokinetics (half-life 1.4 h, volume of distribution 1.0 L/kg, in line with published CD-1 mouse values) and are to be replaced by measured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900"/>
        <w:gridCol w:w="4026"/>
      </w:tblGrid>
      <w:tr>
        <w:trPr>
          <w:tblHeader/>
        </w:trPr>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Weeks</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Target dose (mg/kg/day)</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Predicted mean plasma (µM)</w:t>
            </w:r>
          </w:p>
        </w:tc>
        <w:tc>
          <w:tcPr>
            <w:tcW w:type="dxa" w:w="40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Purpose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2.2</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Induction: establish tolerability and exposure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4.3</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Induction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5–6</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15.0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6.5</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Escalation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7–8</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22.5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9.8</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Escalation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9–12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Maintenance at the highest dose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Day 84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Stop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 0</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Abrupt cessation; test at 24, 48 and 96 h in separate cohorts. Taper sub-arm: 15 then 5 mg/kg/day in weeks 11–12</w:t>
            </w:r>
          </w:p>
        </w:tc>
      </w:tr>
    </w:tbl>
    <w:p>
      <w:pPr>
        <w:spacing w:after="240" w:before="60" w:line="252"/>
      </w:pPr>
    </w:p>
    <w:p>
      <w:pPr>
        <w:pStyle w:val="Heading2"/>
        <w:keepNext/>
        <w:spacing w:after="60" w:before="120" w:line="480"/>
      </w:pPr>
      <w:r>
        <w:rPr>
          <w:rFonts w:ascii="Times New Roman" w:cs="Times New Roman" w:eastAsia="Times New Roman" w:hAnsi="Times New Roman"/>
          <w:b/>
          <w:bCs/>
          <w:i/>
          <w:iCs/>
          <w:sz w:val="24"/>
          <w:szCs w:val="24"/>
        </w:rPr>
        <w:t xml:space="preserve">S1.4  Safety gating</w:t>
      </w:r>
    </w:p>
    <w:p>
      <w:pPr>
        <w:spacing w:after="100" w:line="276"/>
        <w:jc w:val="left"/>
      </w:pPr>
      <w:r>
        <w:rPr>
          <w:rFonts w:ascii="Times New Roman" w:cs="Times New Roman" w:eastAsia="Times New Roman" w:hAnsi="Times New Roman"/>
        </w:rPr>
        <w:t xml:space="preserve">Continuous video-EEG (cortical screw electrodes, with hippocampal depth electrodes in a subset) is reviewed before each dose step against pre-specified criteria: any electrographic seizure, interictal spike rate exceeding twice the individual baseline, or rhythmic delta clusters. Automated open-field and home-cage tracking flags hyperlocomotion or stereotypy. A breach returns the animal to the previous dose level for one week; a second consecutive breach caps the animal at its last tolerated dose (analysed under intention-to-treat and per-protocol rules). A generalized convulsive seizure is a humane endpoint, and the animal is removed and counted as a safety event. Sleep architecture from the EEG is a secondary outcome.</w:t>
      </w:r>
    </w:p>
    <w:p>
      <w:pPr>
        <w:pStyle w:val="Heading2"/>
        <w:keepNext/>
        <w:spacing w:after="60" w:before="120" w:line="480"/>
      </w:pPr>
      <w:r>
        <w:rPr>
          <w:rFonts w:ascii="Times New Roman" w:cs="Times New Roman" w:eastAsia="Times New Roman" w:hAnsi="Times New Roman"/>
          <w:b/>
          <w:bCs/>
          <w:i/>
          <w:iCs/>
          <w:sz w:val="24"/>
          <w:szCs w:val="24"/>
        </w:rPr>
        <w:t xml:space="preserve">S1.5  Groups and cohorts</w:t>
      </w:r>
    </w:p>
    <w:p>
      <w:pPr>
        <w:keepNext/>
        <w:spacing w:after="80" w:before="200" w:line="276"/>
      </w:pPr>
      <w:r>
        <w:rPr>
          <w:rFonts w:ascii="Times New Roman" w:cs="Times New Roman" w:eastAsia="Times New Roman" w:hAnsi="Times New Roman"/>
          <w:b/>
          <w:bCs/>
          <w:sz w:val="22"/>
          <w:szCs w:val="22"/>
        </w:rPr>
        <w:t xml:space="preserve">Table S2.</w:t>
      </w:r>
      <w:r>
        <w:rPr>
          <w:rFonts w:ascii="Times New Roman" w:cs="Times New Roman" w:eastAsia="Times New Roman" w:hAnsi="Times New Roman"/>
          <w:sz w:val="22"/>
          <w:szCs w:val="22"/>
        </w:rPr>
        <w:t xml:space="preserve"> Groups and cohorts. Sample sizes are provisional and will be re-estimated from pilot variance before registration.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Group / cohort</w:t>
            </w:r>
          </w:p>
        </w:tc>
        <w:tc>
          <w:tcPr>
            <w:tcW w:type="dxa" w:w="3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Treatment</w:t>
            </w:r>
          </w:p>
        </w:tc>
        <w:tc>
          <w:tcPr>
            <w:tcW w:type="dxa" w:w="3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Purpose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G1 Vehicle</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Plain drinking water throughout; identical sampling and testing</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Control for handling, surgery, ageing and time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G2 Adapted, withdrawn</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Escalating caffeine in water (Table S1), abrupt stop, test after washout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Primary test of adaptation after clearance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G3 Adapted, continued</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 G2 but caffeine continued through testing</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Separates adaptation from acute A₁ blockade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G2-T Taper (exploratory)</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 G2 with 15 then 5 mg/kg/day in weeks 11–12</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Tests whether tapering erodes adaptation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G4 Shots (exploratory)</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Subcutaneous injections 3×/week at equal weekly exposure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Tests the allergy-shot analogy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G5 Depot (exploratory)</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Sustained-release depot every 14 days at equal exposure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Tests whether continuity, not injection, matters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Cohort A (EEG, PTZ)</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Video-EEG implanted; n = 12 per sex for G1–G3; 8 per sex for G4–G5</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Safety gating, sleep, primary seizure-threshold outcome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Cohort B (imaging)</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Micro-PET then ex vivo binding; n = 10 per sex for G1–G3; 6 per sex for G2-T, G4, G5</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A₁R density; time course after withdrawal</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Cohort C (slices)</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Hippocampal slices; G1–G3, n = 8 mice per group, at least 2 slices each; sex recorded</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Adenosine-mediated synaptic depression</w:t>
            </w:r>
          </w:p>
        </w:tc>
      </w:tr>
    </w:tbl>
    <w:p>
      <w:pPr>
        <w:spacing w:after="240" w:before="60" w:line="252"/>
      </w:pPr>
      <w:r>
        <w:rPr>
          <w:rFonts w:ascii="Times New Roman" w:cs="Times New Roman" w:eastAsia="Times New Roman" w:hAnsi="Times New Roman"/>
          <w:sz w:val="20"/>
          <w:szCs w:val="20"/>
        </w:rPr>
        <w:t xml:space="preserve">All groups in Cohort A undergo identical electrode implantation.</w:t>
      </w:r>
    </w:p>
    <w:p>
      <w:pPr>
        <w:pStyle w:val="Heading2"/>
        <w:keepNext/>
        <w:spacing w:after="60" w:before="120" w:line="480"/>
      </w:pPr>
      <w:r>
        <w:rPr>
          <w:rFonts w:ascii="Times New Roman" w:cs="Times New Roman" w:eastAsia="Times New Roman" w:hAnsi="Times New Roman"/>
          <w:b/>
          <w:bCs/>
          <w:i/>
          <w:iCs/>
          <w:sz w:val="24"/>
          <w:szCs w:val="24"/>
        </w:rPr>
        <w:t xml:space="preserve">S1.6  Outcome methods</w:t>
      </w:r>
    </w:p>
    <w:p>
      <w:pPr>
        <w:spacing w:after="100" w:line="276"/>
        <w:jc w:val="left"/>
      </w:pPr>
      <w:r>
        <w:rPr>
          <w:rFonts w:ascii="Times New Roman" w:cs="Times New Roman" w:eastAsia="Times New Roman" w:hAnsi="Times New Roman"/>
          <w:b/>
          <w:bCs/>
        </w:rPr>
        <w:t xml:space="preserve">PTZ threshold.</w:t>
      </w:r>
      <w:r>
        <w:rPr>
          <w:rFonts w:ascii="Times New Roman" w:cs="Times New Roman" w:eastAsia="Times New Roman" w:hAnsi="Times New Roman"/>
        </w:rPr>
        <w:t xml:space="preserve"> PTZ infused into the tail vein at a constant rate; the cumulative dose at the first myoclonic twitch is the primary outcome, with doses at generalized clonus and tonic extension as secondary measures.</w:t>
      </w:r>
    </w:p>
    <w:p>
      <w:pPr>
        <w:spacing w:after="100" w:line="276"/>
        <w:jc w:val="left"/>
      </w:pPr>
      <w:r>
        <w:rPr>
          <w:rFonts w:ascii="Times New Roman" w:cs="Times New Roman" w:eastAsia="Times New Roman" w:hAnsi="Times New Roman"/>
          <w:b/>
          <w:bCs/>
        </w:rPr>
        <w:t xml:space="preserve">A₁R density.</w:t>
      </w:r>
      <w:r>
        <w:rPr>
          <w:rFonts w:ascii="Times New Roman" w:cs="Times New Roman" w:eastAsia="Times New Roman" w:hAnsi="Times New Roman"/>
        </w:rPr>
        <w:t xml:space="preserve"> Micro-PET with [¹⁸F]CPFPX and kinetic modelling (no reference region devoid of A₁R exists), validated by ex vivo [³H]DPCPX autoradiography and immunoblotting; A₂A binding exploratory. Residual plasma and brain caffeine and metabolites are measured in every animal at testing.</w:t>
      </w:r>
    </w:p>
    <w:p>
      <w:pPr>
        <w:spacing w:after="100" w:line="276"/>
        <w:jc w:val="left"/>
      </w:pPr>
      <w:r>
        <w:rPr>
          <w:rFonts w:ascii="Times New Roman" w:cs="Times New Roman" w:eastAsia="Times New Roman" w:hAnsi="Times New Roman"/>
          <w:b/>
          <w:bCs/>
        </w:rPr>
        <w:t xml:space="preserve">Synaptic function.</w:t>
      </w:r>
      <w:r>
        <w:rPr>
          <w:rFonts w:ascii="Times New Roman" w:cs="Times New Roman" w:eastAsia="Times New Roman" w:hAnsi="Times New Roman"/>
        </w:rPr>
        <w:t xml:space="preserve"> CA1 field EPSP slope during graded adenosine (or CCPA) application, reversed by DPCPX; potentiation by DPCPX alone indexes endogenous tone; long-term potentiation is secondary only.</w:t>
      </w:r>
    </w:p>
    <w:p>
      <w:pPr>
        <w:pStyle w:val="Heading2"/>
        <w:keepNext/>
        <w:spacing w:after="60" w:before="120" w:line="480"/>
      </w:pPr>
      <w:r>
        <w:rPr>
          <w:rFonts w:ascii="Times New Roman" w:cs="Times New Roman" w:eastAsia="Times New Roman" w:hAnsi="Times New Roman"/>
          <w:b/>
          <w:bCs/>
          <w:i/>
          <w:iCs/>
          <w:sz w:val="24"/>
          <w:szCs w:val="24"/>
        </w:rPr>
        <w:t xml:space="preserve">S1.7  Statistics</w:t>
      </w:r>
    </w:p>
    <w:p>
      <w:pPr>
        <w:spacing w:after="100" w:line="276"/>
        <w:jc w:val="left"/>
      </w:pPr>
      <w:r>
        <w:rPr>
          <w:rFonts w:ascii="Times New Roman" w:cs="Times New Roman" w:eastAsia="Times New Roman" w:hAnsi="Times New Roman"/>
        </w:rPr>
        <w:t xml:space="preserve">Primary analysis: two-way ANOVA (group × sex) on PTZ threshold, with planned contrasts G2 versus G1 and G3 versus G1 under Holm correction. EEG measures across the escalation: linear mixed-effects models. Effect sizes with 95% confidence intervals are reported. Sex × treatment is exploratory, and G2-T, G4 and G5 are descriptive.</w:t>
      </w:r>
    </w:p>
    <w:p>
      <w:r>
        <w:br w:type="page"/>
      </w:r>
    </w:p>
    <w:p>
      <w:pPr>
        <w:pStyle w:val="Heading1"/>
        <w:keepNext/>
        <w:spacing w:after="120" w:before="240" w:line="480"/>
      </w:pPr>
      <w:r>
        <w:rPr>
          <w:rFonts w:ascii="Times New Roman" w:cs="Times New Roman" w:eastAsia="Times New Roman" w:hAnsi="Times New Roman"/>
          <w:b/>
          <w:bCs/>
          <w:sz w:val="26"/>
          <w:szCs w:val="26"/>
        </w:rPr>
        <w:t xml:space="preserve">S2  Monte Carlo model</w:t>
      </w:r>
    </w:p>
    <w:p>
      <w:pPr>
        <w:pStyle w:val="Heading2"/>
        <w:keepNext/>
        <w:spacing w:after="60" w:before="120" w:line="480"/>
      </w:pPr>
      <w:r>
        <w:rPr>
          <w:rFonts w:ascii="Times New Roman" w:cs="Times New Roman" w:eastAsia="Times New Roman" w:hAnsi="Times New Roman"/>
          <w:b/>
          <w:bCs/>
          <w:i/>
          <w:iCs/>
          <w:sz w:val="24"/>
          <w:szCs w:val="24"/>
        </w:rPr>
        <w:t xml:space="preserve">S2.1  Structure</w:t>
      </w:r>
    </w:p>
    <w:p>
      <w:pPr>
        <w:spacing w:after="100" w:line="276"/>
        <w:jc w:val="left"/>
      </w:pPr>
      <w:r>
        <w:rPr>
          <w:rFonts w:ascii="Times New Roman" w:cs="Times New Roman" w:eastAsia="Times New Roman" w:hAnsi="Times New Roman"/>
        </w:rPr>
        <w:t xml:space="preserve">Each virtual mouse has (i) a one-compartment pharmacokinetic model with regimen-specific input (drinking water: 85% nocturnal with 20% day-to-day variability; subcutaneous injection: first-order absorption; depot: 10% burst plus slow release); (ii) receptor occupancy θ = C/(C + Ki); (iii) a slow adaptation variable R (relative A₁R availability), driven by occupancy averaged over an exponential window through a Hill function, R</w:t>
      </w:r>
      <w:r>
        <w:rPr>
          <w:rFonts w:ascii="Times New Roman" w:cs="Times New Roman" w:eastAsia="Times New Roman" w:hAnsi="Times New Roman"/>
          <w:i/>
          <w:iCs/>
        </w:rPr>
        <w:t xml:space="preserve"> = 1 + Rmax·θ̄ⁿ/(θ̄ⁿ + θ₅₀ⁿ), with R relaxing towards R</w:t>
      </w:r>
      <w:r>
        <w:rPr>
          <w:rFonts w:ascii="Times New Roman" w:cs="Times New Roman" w:eastAsia="Times New Roman" w:hAnsi="Times New Roman"/>
        </w:rPr>
        <w:t xml:space="preserve"> at rate 1/τup when rising and 1/τdown when falling; (iv) an individual convulsive plasma threshold and an EEG-flag level at half of it, with weekly gating as in S1.4. All regimens use the same virtual animals (common random numbers). Trial-level power is estimated by resampling virtual animals into experiments, generating PTZ thresholds (log threshold = log(1 + γ(R − 1)) + sex effect + noise) and A₁R binding (log R + noise), and analysing them with a linear model containing group and sex.</w:t>
      </w:r>
    </w:p>
    <w:p>
      <w:pPr>
        <w:pStyle w:val="Heading2"/>
        <w:keepNext/>
        <w:spacing w:after="60" w:before="120" w:line="480"/>
      </w:pPr>
      <w:r>
        <w:rPr>
          <w:rFonts w:ascii="Times New Roman" w:cs="Times New Roman" w:eastAsia="Times New Roman" w:hAnsi="Times New Roman"/>
          <w:b/>
          <w:bCs/>
          <w:i/>
          <w:iCs/>
          <w:sz w:val="24"/>
          <w:szCs w:val="24"/>
        </w:rPr>
        <w:t xml:space="preserve">S2.2  Parameters and their status</w:t>
      </w:r>
    </w:p>
    <w:p>
      <w:pPr>
        <w:keepNext/>
        <w:spacing w:after="80" w:before="200" w:line="276"/>
      </w:pPr>
      <w:r>
        <w:rPr>
          <w:rFonts w:ascii="Times New Roman" w:cs="Times New Roman" w:eastAsia="Times New Roman" w:hAnsi="Times New Roman"/>
          <w:b/>
          <w:bCs/>
          <w:sz w:val="22"/>
          <w:szCs w:val="22"/>
        </w:rPr>
        <w:t xml:space="preserve">Table S3.</w:t>
      </w:r>
      <w:r>
        <w:rPr>
          <w:rFonts w:ascii="Times New Roman" w:cs="Times New Roman" w:eastAsia="Times New Roman" w:hAnsi="Times New Roman"/>
          <w:sz w:val="22"/>
          <w:szCs w:val="22"/>
        </w:rPr>
        <w:t xml:space="preserve"> Parameters. “Anchored” means taken from a primary source; “Assumed” means chosen from a plausible range and varied in sensitivity analyses.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300"/>
        <w:gridCol w:w="3226"/>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Parameter</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Value (CV)</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Status</w:t>
            </w:r>
          </w:p>
        </w:tc>
        <w:tc>
          <w:tcPr>
            <w:tcW w:type="dxa" w:w="3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Note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Elimination half-life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 h (25%)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Anchored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CD-1 mouse 1.25–1.62 h (Kaplan 1990)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Volume of distribution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 L/kg (15%)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Anchored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CD-1 mouse 0.88–1.16 L/kg (Kaplan 1990)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Intake pattern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85% nocturnal; daily CV 20%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Typical rodent drinking pattern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Subcutaneous absorption rate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1.5 h⁻¹</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Pilot PK needed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Depot burst / release half-life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 / 3 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Formulation target, not an existing product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Apparent Ki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25 µM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Varied 10–50 µM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Maximum adaptation Rmax</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0.30 (30%)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Varied 0.1–0.5</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Up-regulation / decay τ</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 d / 7 d (25%)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Varied 7–28 d and 0.5–14 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Occupancy window; Hill n; θ₅₀</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24 h; 2; 0.15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Window 6 h and n = 1, 4 tested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Convulsive plasma threshold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400 µM (30%); flag at 50%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Varied 0.5× and 2×</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γ (receptor gain → threshold)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 and 0.5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 gives the type I error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PTZ threshold noise / A₁R noise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18% / 12%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Assumed</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Between-animal and assay variation</w:t>
            </w:r>
          </w:p>
        </w:tc>
      </w:tr>
    </w:tbl>
    <w:p>
      <w:pPr>
        <w:spacing w:after="240" w:before="60" w:line="252"/>
      </w:pPr>
    </w:p>
    <w:p>
      <w:pPr>
        <w:pStyle w:val="Heading2"/>
        <w:keepNext/>
        <w:spacing w:after="60" w:before="120" w:line="480"/>
      </w:pPr>
      <w:r>
        <w:rPr>
          <w:rFonts w:ascii="Times New Roman" w:cs="Times New Roman" w:eastAsia="Times New Roman" w:hAnsi="Times New Roman"/>
          <w:b/>
          <w:bCs/>
          <w:i/>
          <w:iCs/>
          <w:sz w:val="24"/>
          <w:szCs w:val="24"/>
        </w:rPr>
        <w:t xml:space="preserve">S2.3  Exposure, safety and adaptation by regimen</w:t>
      </w:r>
    </w:p>
    <w:p>
      <w:pPr>
        <w:keepNext/>
        <w:spacing w:after="80" w:before="200" w:line="276"/>
      </w:pPr>
      <w:r>
        <w:rPr>
          <w:rFonts w:ascii="Times New Roman" w:cs="Times New Roman" w:eastAsia="Times New Roman" w:hAnsi="Times New Roman"/>
          <w:b/>
          <w:bCs/>
          <w:sz w:val="22"/>
          <w:szCs w:val="22"/>
        </w:rPr>
        <w:t xml:space="preserve">Table S4.</w:t>
      </w:r>
      <w:r>
        <w:rPr>
          <w:rFonts w:ascii="Times New Roman" w:cs="Times New Roman" w:eastAsia="Times New Roman" w:hAnsi="Times New Roman"/>
          <w:sz w:val="22"/>
          <w:szCs w:val="22"/>
        </w:rPr>
        <w:t xml:space="preserve"> Simulated exposure, safety and modelled A₁R gain (2000 virtual mice per regimen; gain at day 86 versus vehicle).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000"/>
        <w:gridCol w:w="1000"/>
        <w:gridCol w:w="1000"/>
        <w:gridCol w:w="1000"/>
        <w:gridCol w:w="1000"/>
        <w:gridCol w:w="1126"/>
      </w:tblGrid>
      <w:tr>
        <w:trPr>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Regimen</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Median peak (µM)</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Flagged (%)</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Removed (%)</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At top dose (%)</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Residual at test (µM)</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Gain, taper (%)</w:t>
            </w:r>
          </w:p>
        </w:tc>
        <w:tc>
          <w:tcPr>
            <w:tcW w:type="dxa" w:w="11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Gain, abrupt (%)</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Continuous (water)</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11.0</w:t>
            </w:r>
          </w:p>
        </w:tc>
        <w:tc>
          <w:tcPr>
            <w:tcW w:type="dxa" w:w="1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22.0</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SC shots 3×/week</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197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58.8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41.2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3.4</w:t>
            </w:r>
          </w:p>
        </w:tc>
        <w:tc>
          <w:tcPr>
            <w:tcW w:type="dxa" w:w="1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5.5</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Depot every 14 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11.4</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88.6</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9.2</w:t>
            </w:r>
          </w:p>
        </w:tc>
        <w:tc>
          <w:tcPr>
            <w:tcW w:type="dxa" w:w="1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13.2</w:t>
            </w:r>
          </w:p>
        </w:tc>
      </w:tr>
    </w:tbl>
    <w:p>
      <w:pPr>
        <w:spacing w:after="240" w:before="60" w:line="252"/>
      </w:pPr>
      <w:r>
        <w:rPr>
          <w:rFonts w:ascii="Times New Roman" w:cs="Times New Roman" w:eastAsia="Times New Roman" w:hAnsi="Times New Roman"/>
          <w:sz w:val="20"/>
          <w:szCs w:val="20"/>
        </w:rPr>
        <w:t xml:space="preserve">Peaks are the highest weekly peaks in maintenance weeks 9–10. Residual caffeine is for the taper schedule. No virtual animal reached the convulsive threshold in any regimen at the assumed value.</w:t>
      </w:r>
    </w:p>
    <w:p>
      <w:pPr>
        <w:keepNext/>
        <w:spacing w:after="80" w:before="200" w:line="276"/>
      </w:pPr>
      <w:r>
        <w:rPr>
          <w:rFonts w:ascii="Times New Roman" w:cs="Times New Roman" w:eastAsia="Times New Roman" w:hAnsi="Times New Roman"/>
          <w:b/>
          <w:bCs/>
          <w:sz w:val="22"/>
          <w:szCs w:val="22"/>
        </w:rPr>
        <w:t xml:space="preserve">Table S5.</w:t>
      </w:r>
      <w:r>
        <w:rPr>
          <w:rFonts w:ascii="Times New Roman" w:cs="Times New Roman" w:eastAsia="Times New Roman" w:hAnsi="Times New Roman"/>
          <w:sz w:val="22"/>
          <w:szCs w:val="22"/>
        </w:rPr>
        <w:t xml:space="preserve"> Sensitivity of safety and gain to the assumed convulsive threshold (taper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326"/>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Regimen</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Threshold ×0.5: flagged (%)</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Threshold ×1: flagged (%)</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Threshold ×2: flagged (%)</w:t>
            </w:r>
          </w:p>
        </w:tc>
        <w:tc>
          <w:tcPr>
            <w:tcW w:type="dxa" w:w="13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Removed at ×0.5 (%)</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Continuous (water)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SC shots 3×/week</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98.6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58.8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3.2</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Depot every 14 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77.8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0.1</w:t>
            </w:r>
          </w:p>
        </w:tc>
        <w:tc>
          <w:tcPr>
            <w:tcW w:type="dxa" w:w="1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r>
    </w:tbl>
    <w:p>
      <w:pPr>
        <w:spacing w:after="240" w:before="60" w:line="252"/>
      </w:pPr>
    </w:p>
    <w:p>
      <w:pPr>
        <w:pStyle w:val="Heading2"/>
        <w:keepNext/>
        <w:spacing w:after="60" w:before="120" w:line="480"/>
      </w:pPr>
      <w:r>
        <w:rPr>
          <w:rFonts w:ascii="Times New Roman" w:cs="Times New Roman" w:eastAsia="Times New Roman" w:hAnsi="Times New Roman"/>
          <w:b/>
          <w:bCs/>
          <w:i/>
          <w:iCs/>
          <w:sz w:val="24"/>
          <w:szCs w:val="24"/>
        </w:rPr>
        <w:t xml:space="preserve">S2.4  Full sensitivity results</w:t>
      </w:r>
    </w:p>
    <w:p>
      <w:pPr>
        <w:keepNext/>
        <w:spacing w:after="80" w:before="200" w:line="276"/>
      </w:pPr>
      <w:r>
        <w:rPr>
          <w:rFonts w:ascii="Times New Roman" w:cs="Times New Roman" w:eastAsia="Times New Roman" w:hAnsi="Times New Roman"/>
          <w:b/>
          <w:bCs/>
          <w:sz w:val="22"/>
          <w:szCs w:val="22"/>
        </w:rPr>
        <w:t xml:space="preserve">Table S6.</w:t>
      </w:r>
      <w:r>
        <w:rPr>
          <w:rFonts w:ascii="Times New Roman" w:cs="Times New Roman" w:eastAsia="Times New Roman" w:hAnsi="Times New Roman"/>
          <w:sz w:val="22"/>
          <w:szCs w:val="22"/>
        </w:rPr>
        <w:t xml:space="preserve"> Modelled A₁R gain at day 86 (%) and power (12 per sex per group PTZ; 10 per sex per group A₁R binding) for each scenario. Flag rate is the percentage of injected-arm virtual animals with at least one flagged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850"/>
        <w:gridCol w:w="850"/>
        <w:gridCol w:w="850"/>
        <w:gridCol w:w="850"/>
        <w:gridCol w:w="850"/>
        <w:gridCol w:w="850"/>
        <w:gridCol w:w="850"/>
        <w:gridCol w:w="1050"/>
      </w:tblGrid>
      <w:tr>
        <w:trPr>
          <w:tblHeader/>
        </w:trPr>
        <w:tc>
          <w:tcPr>
            <w:tcW w:type="dxa" w:w="20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Scenario</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Cont. abrupt</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Cont. taper</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Injected</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Depot</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PTZ γ = 1</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PTZ γ = 0.5</w:t>
            </w:r>
          </w:p>
        </w:tc>
        <w:tc>
          <w:tcPr>
            <w:tcW w:type="dxa" w:w="8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A₁R power</w:t>
            </w:r>
          </w:p>
        </w:tc>
        <w:tc>
          <w:tcPr>
            <w:tcW w:type="dxa" w:w="10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line="252"/>
            </w:pPr>
            <w:r>
              <w:rPr>
                <w:rFonts w:ascii="Times New Roman" w:cs="Times New Roman" w:eastAsia="Times New Roman" w:hAnsi="Times New Roman"/>
                <w:b/>
                <w:bCs/>
                <w:sz w:val="20"/>
                <w:szCs w:val="20"/>
              </w:rPr>
              <w:t xml:space="preserve">Injected flagged (%)</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Base case</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22.0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5.5</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Ki = 10 µM</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26.3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18.6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21.4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0.99</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0.64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Ki = 50 µM</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16.2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6.0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0.78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0.31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0.95</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Rmax = 0.1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0.27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0.10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0.44</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Rmax = 0.2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8.8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0.71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0.27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0.92</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Rmax = 0.5</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36.7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18.3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21.9</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0.88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Up-regulation τ = 7 d</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22.6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6.8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Up-regulation τ = 28 d</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19.9</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11.7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0.43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0.99</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Receptor decay τ = 0.5 d</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3.9</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0.37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0.13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0.60</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Receptor decay τ = 1 d</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13.2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4.9</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0.64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0.22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0.86</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Receptor decay τ = 3 d</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19.3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6.2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8.6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0.41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0.99</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Receptor decay τ = 14 d</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23.3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15.3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7.9</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16.7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0.97</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Hill n = 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19.3</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12.5</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8.1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0.41</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0.99</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Hill n = 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24.8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9.9</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4.0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12.0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0.98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0.59</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1.00</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r>
        <w:trPr>
          <w:cantSplit/>
        </w:trPr>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Fast reversal (6-h window, decay 0.5 d)</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1.4</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0.2</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2.8</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0.06</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0.05</w:t>
            </w:r>
          </w:p>
        </w:tc>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0.06</w:t>
            </w:r>
          </w:p>
        </w:tc>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52"/>
            </w:pPr>
            <w:r>
              <w:rPr>
                <w:rFonts w:ascii="Times New Roman" w:cs="Times New Roman" w:eastAsia="Times New Roman" w:hAnsi="Times New Roman"/>
                <w:b w:val="false"/>
                <w:bCs w:val="false"/>
                <w:sz w:val="20"/>
                <w:szCs w:val="20"/>
              </w:rPr>
              <w:t xml:space="preserve">59</w:t>
            </w:r>
          </w:p>
        </w:tc>
      </w:tr>
    </w:tbl>
    <w:p>
      <w:pPr>
        <w:spacing w:after="240" w:before="60" w:line="252"/>
      </w:pPr>
      <w:r>
        <w:rPr>
          <w:rFonts w:ascii="Times New Roman" w:cs="Times New Roman" w:eastAsia="Times New Roman" w:hAnsi="Times New Roman"/>
          <w:sz w:val="20"/>
          <w:szCs w:val="20"/>
        </w:rPr>
        <w:t xml:space="preserve">All rows use 2000 virtual animals per regimen and 4000 simulated experiments per cell, with the same seed as the headline runs, so the base-case row reproduces Table S4 and the main-text values exactly. Power estimates are deterministic for a given input.</w:t>
      </w:r>
    </w:p>
    <w:p>
      <w:pPr>
        <w:pStyle w:val="Heading2"/>
        <w:keepNext/>
        <w:spacing w:after="60" w:before="120" w:line="480"/>
      </w:pPr>
      <w:r>
        <w:rPr>
          <w:rFonts w:ascii="Times New Roman" w:cs="Times New Roman" w:eastAsia="Times New Roman" w:hAnsi="Times New Roman"/>
          <w:b/>
          <w:bCs/>
          <w:i/>
          <w:iCs/>
          <w:sz w:val="24"/>
          <w:szCs w:val="24"/>
        </w:rPr>
        <w:t xml:space="preserve">S2.5  Reproducibility</w:t>
      </w:r>
    </w:p>
    <w:p>
      <w:pPr>
        <w:spacing w:after="100" w:line="276"/>
        <w:jc w:val="left"/>
      </w:pPr>
      <w:r>
        <w:rPr>
          <w:rFonts w:ascii="Times New Roman" w:cs="Times New Roman" w:eastAsia="Times New Roman" w:hAnsi="Times New Roman"/>
        </w:rPr>
        <w:t xml:space="preserve">CaffeineMC.py is a single file (numpy, scipy, matplotlib) with a fixed random seed (20260919). “python CaffeineMC.py --demo” runs a small self-test in about a minute, and “python CaffeineMC.py --reproduce” regenerates every figure and results.json (about 2 minutes on a laptop). A parameter file (params.json) is written with every run, and “--params file.json” overrides the defaults. The code is archived at </w:t>
      </w:r>
      <w:r>
        <w:rPr>
          <w:rFonts w:ascii="Times New Roman" w:cs="Times New Roman" w:eastAsia="Times New Roman" w:hAnsi="Times New Roman"/>
          <w:highlight w:val="yellow"/>
          <w:highlightCs w:val="yellow"/>
        </w:rPr>
        <w:t xml:space="preserve">[repository DOI]</w:t>
      </w:r>
      <w:r>
        <w:rPr>
          <w:rFonts w:ascii="Times New Roman" w:cs="Times New Roman" w:eastAsia="Times New Roman" w:hAnsi="Times New Roman"/>
        </w:rPr>
        <w:t xml:space="preserve">. The pharmacokinetic values are anchored to Kaplan et al. (Br J Pharmacol 1990;100:435–40); the closest in vivo persistence data (Nabbi-Schroeter et al., Mol Imaging Biol 2018;20:284–91) favour the fast-reversal scenarios and are the reason those scenarios are reported.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creator>Manuscript draft</dc:creator>
  <cp:lastModifiedBy>Un-named</cp:lastModifiedBy>
  <cp:revision>1</cp:revision>
  <dcterms:created xsi:type="dcterms:W3CDTF">2026-09-20T02:21:36.065Z</dcterms:created>
  <dcterms:modified xsi:type="dcterms:W3CDTF">2026-09-20T02:21:36.065Z</dcterms:modified>
</cp:coreProperties>
</file>

<file path=docProps/custom.xml><?xml version="1.0" encoding="utf-8"?>
<Properties xmlns="http://schemas.openxmlformats.org/officeDocument/2006/custom-properties" xmlns:vt="http://schemas.openxmlformats.org/officeDocument/2006/docPropsVTypes"/>
</file>