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Closed-Form Storage Stability, Induction Delay, and Thermal-Feedback Criticality of Melt-Gated Autocatalytic Cure</w:t>
      </w:r>
    </w:p>
    <w:p>
      <w:pPr>
        <w:spacing w:after="0"/>
      </w:pPr>
      <w:r>
        <w:rPr>
          <w:sz w:val="21"/>
        </w:rPr>
        <w:t>Leon Sandler</w:t>
      </w:r>
    </w:p>
    <w:p>
      <w:pPr>
        <w:spacing w:after="0"/>
      </w:pPr>
      <w:r>
        <w:rPr>
          <w:sz w:val="21"/>
        </w:rPr>
        <w:t>Independent researcher, Northbrook, Illinois, USA</w:t>
      </w:r>
    </w:p>
    <w:p>
      <w:pPr>
        <w:spacing w:after="0"/>
      </w:pPr>
      <w:r>
        <w:rPr>
          <w:sz w:val="21"/>
        </w:rPr>
        <w:t>Corresponding author: sandler.leon@gmail.com</w:t>
      </w:r>
    </w:p>
    <w:p>
      <w:pPr>
        <w:spacing w:after="0"/>
      </w:pPr>
      <w:r>
        <w:rPr>
          <w:sz w:val="21"/>
        </w:rPr>
        <w:t>ORCID: 0009-0007-4584-808X</w:t>
      </w:r>
    </w:p>
    <w:p/>
    <w:p>
      <w:pPr>
        <w:pStyle w:val="Heading1"/>
      </w:pPr>
      <w:r>
        <w:rPr>
          <w:rFonts w:ascii="Times New Roman" w:hAnsi="Times New Roman"/>
        </w:rPr>
        <w:t>Abstract</w:t>
      </w:r>
    </w:p>
    <w:p>
      <w:pPr>
        <w:keepNext w:val="0"/>
        <w:jc w:val="both"/>
      </w:pPr>
      <w:r>
        <w:t>We derive closed-form results for a lumped model of a cure triggered by the melting of an encapsulated catalyst, and test each against the full equations. At constant temperature the gated cure equals the ungated cure evaluated on the cumulative amount of catalyst released, so the gate delay grows with conversion and approaches the release time constant only late in the cure. The storage conversion of a Gaussian population of capsules follows from the fraction of capsules that are open, which bounds the spread of melting temperatures to within 3 % of the full equations. For a fully released catalyst, the thermal balance at fixed conversion has a critical value of the product of the reduced exothermicity and the ratio of thermal to reaction time, given in closed form (1.96 for reaction order 3/2); integrated thresholds approach it for fast heat loss, and Arrhenius kinetics raise it by about exp(1/</w:t>
      </w:r>
      <w:r>
        <w:rPr>
          <w:i/>
        </w:rPr>
        <w:t>Ar</w:t>
      </w:r>
      <w:r>
        <w:t xml:space="preserve">), with </w:t>
      </w:r>
      <w:r>
        <w:rPr>
          <w:i/>
        </w:rPr>
        <w:t>Ar</w:t>
      </w:r>
      <w:r>
        <w:t xml:space="preserve"> the reduced activation energy (within 5 % on the tested grid). In a continuous-flow reactor with ungated kinetics, two folds of the steady-state curve do not imply two stable states: the upper branch can lose stability at a Hopf-type point before its fold. The window of two stable states is computed on an Arrhenius temperature path (24 K here), while sweep loops through that point depend on noise. All parameters are illustrative; no experimental data are used.</w:t>
      </w:r>
    </w:p>
    <w:p>
      <w:pPr>
        <w:keepNext w:val="0"/>
      </w:pPr>
      <w:r>
        <w:rPr>
          <w:b/>
        </w:rPr>
        <w:t>Article Highlights</w:t>
      </w:r>
    </w:p>
    <w:p>
      <w:pPr>
        <w:pStyle w:val="ListBullet"/>
        <w:spacing w:after="60"/>
      </w:pPr>
      <w:r>
        <w:t>Melt-triggered catalyst release delays a cure by a conversion-dependent time, not a fixed one</w:t>
      </w:r>
    </w:p>
    <w:p>
      <w:pPr>
        <w:pStyle w:val="ListBullet"/>
        <w:spacing w:after="60"/>
      </w:pPr>
      <w:r>
        <w:t>A closed-form rule limits the spread of capsule melting points for acceptable storage life</w:t>
      </w:r>
    </w:p>
    <w:p>
      <w:pPr>
        <w:pStyle w:val="ListBullet"/>
        <w:spacing w:after="60"/>
      </w:pPr>
      <w:r>
        <w:t>In a flow reactor, two steady states must be checked for stability before predicting hysteresis</w:t>
      </w:r>
    </w:p>
    <w:p>
      <w:pPr>
        <w:keepNext w:val="0"/>
      </w:pPr>
      <w:r>
        <w:rPr>
          <w:b/>
        </w:rPr>
        <w:t>Keywords:</w:t>
      </w:r>
      <w:r>
        <w:t xml:space="preserve"> autocatalytic cure kinetics; thermal runaway; encapsulated catalyst; reactor stability; Hopf bifurcation; hysteresis</w:t>
      </w:r>
    </w:p>
    <w:p>
      <w:pPr>
        <w:pStyle w:val="Heading1"/>
      </w:pPr>
      <w:r>
        <w:rPr>
          <w:rFonts w:ascii="Times New Roman" w:hAnsi="Times New Roman"/>
        </w:rPr>
        <w:t>1 Introduction</w:t>
      </w:r>
    </w:p>
    <w:p>
      <w:pPr>
        <w:keepNext w:val="0"/>
        <w:jc w:val="both"/>
      </w:pPr>
      <w:r>
        <w:t>Encapsulating a reactive component and releasing it on demand is a general way to separate the stability of a formulation from the speed of its cure. The best-known instance is the self-healing polymer, in which embedded capsules release a healing agent when damaged [1]; thermally triggered variants use the melting of a wax or polymer shell, whose phase-change behavior is the subject of a literature on microencapsulated phase-change materials [2] and whose release is described by a family of release models [3]. When the released species catalyzes a thermoset cure, three features interact: the capsule population has a distribution of melting temperatures rather than a single one, the cure is autocatalytic and follows the form introduced by Kamal and Sourour [4, 5], and the cure heat raises the temperature of the specimen, which accelerates the cure. The cure exotherm makes the temperature field of thick thermoset sections depend on the cure history [6], and the feedback between heat release and rate is the subject of the classical theory of thermal explosion of Semenov and Frank-Kamenetskii [7, 8]. That theory has been extended to reactant consumption [9] and to the induction period [10], and the multiplicity and stability of the steady states of a heated, continuously fed reactor were analyzed by van Heerden, by Aris and Amundson, and by Uppal, Ray and Poore [11–14].</w:t>
      </w:r>
    </w:p>
    <w:p>
      <w:pPr>
        <w:keepNext w:val="0"/>
        <w:jc w:val="both"/>
      </w:pPr>
      <w:r>
        <w:t xml:space="preserve">Calorimetric kinetic analysis, usually by differential scanning calorimetry (DSC), is well codified [15, 16], and the separable form of the cure law is a standard route to closed-form cure times, with the temperature history entering through a generalized time [17]. In that literature the rate law and the thermal runaway of a specimen are usually treated separately. The question addressed here is narrower: for the lumped model of </w:t>
      </w:r>
      <w:r>
        <w:rPr>
          <w:i/>
        </w:rPr>
        <w:t>a</w:t>
      </w:r>
      <w:r>
        <w:t xml:space="preserve"> </w:t>
      </w:r>
      <w:r>
        <w:rPr>
          <w:i/>
        </w:rPr>
        <w:t>melt-gated</w:t>
      </w:r>
      <w:r>
        <w:t xml:space="preserve"> autocatalytic cure, which statements linking the quantities that a calorimeter measures (the rate constants of the cure, the width of the melting endotherm of the capsules, the thermal time constant of a specimen) to storage stability, delay and runaway can be written in closed form, and how well do they hold against the full equations?</w:t>
      </w:r>
    </w:p>
    <w:p>
      <w:pPr>
        <w:keepNext w:val="0"/>
        <w:jc w:val="both"/>
      </w:pPr>
      <w:r>
        <w:t>The paper separates standard identities from results specific to this system. Proposition 1 is the generalized-time identity [17] applied to the catalyst availability; its content is the identification of the clock and the resulting delay law (Section 3.1). Proposition 2 collects standard integrals and one sharpness law (Section 3.2). Proposition 3, the storage conversion of a Gaussian capsule population and the bound on the melting-temperature spread that follows from it, is specific to the gated system (Section 3.3). Proposition 4 applies the Semenov fold of the frozen-conversion balance to the Kamal–Sourour consumption law, which gives a closed-form critical number, its overshoot below the fold and an Arrhenius correction (Section 3.4); the classical treatment of consumption [9] is not specific to autocatalysis. Proposition 5 gives the steady states, the Jacobian and the stable window of a continuous-flow reactor with this kinetics (Section 3.5). A synthetic-data test shows how the closed forms behave as fitting functions (Section 3.6). To the author's knowledge, in the sources examined, these results have not been assembled for a gated autocatalytic cure.</w:t>
      </w:r>
    </w:p>
    <w:p>
      <w:pPr>
        <w:pStyle w:val="Heading2"/>
      </w:pPr>
      <w:r>
        <w:rPr>
          <w:rFonts w:ascii="Times New Roman" w:hAnsi="Times New Roman"/>
        </w:rPr>
        <w:t>1.1 Relationship to previous computational work</w:t>
      </w:r>
    </w:p>
    <w:p>
      <w:pPr>
        <w:keepNext w:val="0"/>
        <w:jc w:val="both"/>
      </w:pPr>
      <w:r>
        <w:t>The model equations of Section 2.1 (Eqs. (1)–(3)), the illustrative parameter set of Table 2, the capsule-population picture, the logistic activation and the reference integrator are those of an earlier numerical study by the author [18], posted as a ChemRxiv preprint and submitted for publication elsewhere; they are not claimed as new here. That study asks whether thermal gating improves delayed cure and answers it numerically (cure timing, comparison with first-order controls, gate-width trade-off, regime maps). A later version of the same numerical study [19] added numerical storage-stability and design-rule tables for capsule populations. Those numerical results are not presented as new here: Proposition 3 reproduces them from a closed form and uses them to test it. The present paper asks a different question: which statements about storage, delay, criticality and reactor stability can be derived analytically, and how well do they hold? Its own contributions are listed in Table 1. No figure of the earlier study is reproduced, and its comparisons with first-order controls are not used. The related submission is disclosed to the editor in the cover letter. The model is lumped and every parameter is illustrative: nothing is fitted to measurements, and the paper makes no claim about a particular material.</w:t>
      </w:r>
    </w:p>
    <w:p>
      <w:pPr>
        <w:keepNext/>
        <w:spacing w:line="276" w:lineRule="auto" w:after="200"/>
      </w:pPr>
      <w:r>
        <w:rPr>
          <w:b/>
          <w:sz w:val="19"/>
        </w:rPr>
        <w:t>Table 1</w:t>
      </w:r>
      <w:r>
        <w:rPr>
          <w:sz w:val="19"/>
        </w:rPr>
        <w:t xml:space="preserve"> Provenance of the results: what follows from established theory and what is specific to this system (to the author's knowledge, in the sources examined).</w:t>
      </w:r>
    </w:p>
    <w:tbl>
      <w:tblPr>
        <w:tblStyle w:val="TableGrid"/>
        <w:tblW w:type="auto" w:w="0"/>
        <w:jc w:val="center"/>
        <w:tblLayout w:type="fixed"/>
        <w:tblLook w:firstColumn="1" w:firstRow="1" w:lastColumn="0" w:lastRow="0" w:noHBand="0" w:noVBand="1" w:val="04A0"/>
      </w:tblPr>
      <w:tblGrid>
        <w:gridCol w:w="2160"/>
        <w:gridCol w:w="3456"/>
        <w:gridCol w:w="4176"/>
      </w:tblGrid>
      <w:tr>
        <w:trPr>
          <w:tblHeader w:val="true"/>
        </w:trPr>
        <w:tc>
          <w:tcPr>
            <w:tcW w:type="dxa" w:w="2160"/>
          </w:tcPr>
          <w:p>
            <w:pPr>
              <w:spacing w:line="240" w:lineRule="auto" w:after="20"/>
            </w:pPr>
            <w:r/>
            <w:r>
              <w:rPr>
                <w:b/>
                <w:sz w:val="16"/>
              </w:rPr>
              <w:t>Result</w:t>
            </w:r>
          </w:p>
        </w:tc>
        <w:tc>
          <w:tcPr>
            <w:tcW w:type="dxa" w:w="3456"/>
          </w:tcPr>
          <w:p>
            <w:pPr>
              <w:spacing w:line="240" w:lineRule="auto" w:after="20"/>
            </w:pPr>
            <w:r/>
            <w:r>
              <w:rPr>
                <w:b/>
                <w:sz w:val="16"/>
              </w:rPr>
              <w:t>Established antecedent</w:t>
            </w:r>
          </w:p>
        </w:tc>
        <w:tc>
          <w:tcPr>
            <w:tcW w:type="dxa" w:w="4176"/>
          </w:tcPr>
          <w:p>
            <w:pPr>
              <w:spacing w:line="240" w:lineRule="auto" w:after="20"/>
            </w:pPr>
            <w:r/>
            <w:r>
              <w:rPr>
                <w:b/>
                <w:sz w:val="16"/>
              </w:rPr>
              <w:t>Specific to the melt-gated autocatalytic system</w:t>
            </w:r>
          </w:p>
        </w:tc>
      </w:tr>
      <w:tr>
        <w:tc>
          <w:tcPr>
            <w:tcW w:type="dxa" w:w="2160"/>
          </w:tcPr>
          <w:p>
            <w:pPr>
              <w:spacing w:line="240" w:lineRule="auto" w:after="20"/>
            </w:pPr>
            <w:r/>
            <w:r>
              <w:rPr>
                <w:sz w:val="16"/>
              </w:rPr>
              <w:t>Availability clock and delay (Prop. 1)</w:t>
            </w:r>
          </w:p>
        </w:tc>
        <w:tc>
          <w:tcPr>
            <w:tcW w:type="dxa" w:w="3456"/>
          </w:tcPr>
          <w:p>
            <w:pPr>
              <w:spacing w:line="240" w:lineRule="auto" w:after="20"/>
            </w:pPr>
            <w:r/>
            <w:r>
              <w:rPr>
                <w:sz w:val="16"/>
              </w:rPr>
              <w:t>Generalized-time (time-change) identity of separable kinetics [17]</w:t>
            </w:r>
          </w:p>
        </w:tc>
        <w:tc>
          <w:tcPr>
            <w:tcW w:type="dxa" w:w="4176"/>
          </w:tcPr>
          <w:p>
            <w:pPr>
              <w:spacing w:line="240" w:lineRule="auto" w:after="20"/>
            </w:pPr>
            <w:r/>
            <w:r>
              <w:rPr>
                <w:sz w:val="16"/>
              </w:rPr>
              <w:t xml:space="preserve">Identification of the clock with the integrated catalyst availability; the conversion-dependent delay </w:t>
            </w:r>
            <w:r>
              <w:rPr>
                <w:i/>
                <w:sz w:val="16"/>
              </w:rPr>
              <w:t>τ</w:t>
            </w:r>
            <w:r>
              <w:rPr>
                <w:sz w:val="16"/>
                <w:vertAlign w:val="subscript"/>
              </w:rPr>
              <w:t>r</w:t>
            </w:r>
            <w:r>
              <w:rPr>
                <w:sz w:val="16"/>
                <w:vertAlign w:val="subscript"/>
              </w:rPr>
              <w:t>e</w:t>
            </w:r>
            <w:r>
              <w:rPr>
                <w:sz w:val="16"/>
                <w:vertAlign w:val="subscript"/>
              </w:rPr>
              <w:t>l</w:t>
            </w:r>
            <w:r>
              <w:rPr>
                <w:sz w:val="16"/>
              </w:rPr>
              <w:t>[1 − exp(−</w:t>
            </w:r>
            <w:r>
              <w:rPr>
                <w:i/>
                <w:sz w:val="16"/>
              </w:rPr>
              <w:t>t</w:t>
            </w:r>
            <w:r>
              <w:rPr>
                <w:sz w:val="16"/>
              </w:rPr>
              <w:t>/</w:t>
            </w:r>
            <w:r>
              <w:rPr>
                <w:i/>
                <w:sz w:val="16"/>
              </w:rPr>
              <w:t>τ</w:t>
            </w:r>
            <w:r>
              <w:rPr>
                <w:sz w:val="16"/>
                <w:vertAlign w:val="subscript"/>
              </w:rPr>
              <w:t>r</w:t>
            </w:r>
            <w:r>
              <w:rPr>
                <w:sz w:val="16"/>
                <w:vertAlign w:val="subscript"/>
              </w:rPr>
              <w:t>e</w:t>
            </w:r>
            <w:r>
              <w:rPr>
                <w:sz w:val="16"/>
                <w:vertAlign w:val="subscript"/>
              </w:rPr>
              <w:t>l</w:t>
            </w:r>
            <w:r>
              <w:rPr>
                <w:sz w:val="16"/>
              </w:rPr>
              <w:t>)]; the clock for incomplete activation</w:t>
            </w:r>
          </w:p>
        </w:tc>
      </w:tr>
      <w:tr>
        <w:tc>
          <w:tcPr>
            <w:tcW w:type="dxa" w:w="2160"/>
          </w:tcPr>
          <w:p>
            <w:pPr>
              <w:spacing w:line="240" w:lineRule="auto" w:after="20"/>
            </w:pPr>
            <w:r/>
            <w:r>
              <w:rPr>
                <w:sz w:val="16"/>
              </w:rPr>
              <w:t>Cure time and sharpness (Prop. 2)</w:t>
            </w:r>
          </w:p>
        </w:tc>
        <w:tc>
          <w:tcPr>
            <w:tcW w:type="dxa" w:w="3456"/>
          </w:tcPr>
          <w:p>
            <w:pPr>
              <w:spacing w:line="240" w:lineRule="auto" w:after="20"/>
            </w:pPr>
            <w:r/>
            <w:r>
              <w:rPr>
                <w:sz w:val="16"/>
              </w:rPr>
              <w:t>Integrals of the Kamal–Sourour law [4, 5]</w:t>
            </w:r>
          </w:p>
        </w:tc>
        <w:tc>
          <w:tcPr>
            <w:tcW w:type="dxa" w:w="4176"/>
          </w:tcPr>
          <w:p>
            <w:pPr>
              <w:spacing w:line="240" w:lineRule="auto" w:after="20"/>
            </w:pPr>
            <w:r/>
            <w:r>
              <w:rPr>
                <w:sz w:val="16"/>
              </w:rPr>
              <w:t xml:space="preserve">Exact </w:t>
            </w:r>
            <w:r>
              <w:rPr>
                <w:i/>
                <w:sz w:val="16"/>
              </w:rPr>
              <w:t>n</w:t>
            </w:r>
            <w:r>
              <w:rPr>
                <w:sz w:val="16"/>
              </w:rPr>
              <w:t xml:space="preserve"> = 1 sharpness and its logarithmic asymptotic law (an elementary consequence)</w:t>
            </w:r>
          </w:p>
        </w:tc>
      </w:tr>
      <w:tr>
        <w:tc>
          <w:tcPr>
            <w:tcW w:type="dxa" w:w="2160"/>
          </w:tcPr>
          <w:p>
            <w:pPr>
              <w:spacing w:line="240" w:lineRule="auto" w:after="20"/>
            </w:pPr>
            <w:r/>
            <w:r>
              <w:rPr>
                <w:sz w:val="16"/>
              </w:rPr>
              <w:t>Storage conversion and spread bound (Prop. 3)</w:t>
            </w:r>
          </w:p>
        </w:tc>
        <w:tc>
          <w:tcPr>
            <w:tcW w:type="dxa" w:w="3456"/>
          </w:tcPr>
          <w:p>
            <w:pPr>
              <w:spacing w:line="240" w:lineRule="auto" w:after="20"/>
            </w:pPr>
            <w:r/>
            <w:r>
              <w:rPr>
                <w:sz w:val="16"/>
              </w:rPr>
              <w:t>Gaussian tail and probit approximation; linear response with an integrating factor</w:t>
            </w:r>
          </w:p>
        </w:tc>
        <w:tc>
          <w:tcPr>
            <w:tcW w:type="dxa" w:w="4176"/>
          </w:tcPr>
          <w:p>
            <w:pPr>
              <w:spacing w:line="240" w:lineRule="auto" w:after="20"/>
            </w:pPr>
            <w:r/>
            <w:r>
              <w:rPr>
                <w:sz w:val="16"/>
              </w:rPr>
              <w:t>Closed-form storage conversion of a capsule population with release lag, and its inversion into a bound on the melting-temperature spread (exact within the Gaussian–logistic, small-conversion model)</w:t>
            </w:r>
          </w:p>
        </w:tc>
      </w:tr>
      <w:tr>
        <w:tc>
          <w:tcPr>
            <w:tcW w:type="dxa" w:w="2160"/>
          </w:tcPr>
          <w:p>
            <w:pPr>
              <w:spacing w:line="240" w:lineRule="auto" w:after="20"/>
            </w:pPr>
            <w:r/>
            <w:r>
              <w:rPr>
                <w:sz w:val="16"/>
              </w:rPr>
              <w:t>Critical number (Prop. 4)</w:t>
            </w:r>
          </w:p>
        </w:tc>
        <w:tc>
          <w:tcPr>
            <w:tcW w:type="dxa" w:w="3456"/>
          </w:tcPr>
          <w:p>
            <w:pPr>
              <w:spacing w:line="240" w:lineRule="auto" w:after="20"/>
            </w:pPr>
            <w:r/>
            <w:r>
              <w:rPr>
                <w:sz w:val="16"/>
              </w:rPr>
              <w:t>Semenov and Frank-Kamenetskii fold [7, 8]; reactant consumption [9]; induction period [10]</w:t>
            </w:r>
          </w:p>
        </w:tc>
        <w:tc>
          <w:tcPr>
            <w:tcW w:type="dxa" w:w="4176"/>
          </w:tcPr>
          <w:p>
            <w:pPr>
              <w:spacing w:line="240" w:lineRule="auto" w:after="20"/>
            </w:pPr>
            <w:r/>
            <w:r>
              <w:rPr>
                <w:sz w:val="16"/>
              </w:rPr>
              <w:t>Closed-form maximum rate of the Kamal–Sourour law with an induction term, hence the finite-</w:t>
            </w:r>
            <w:r>
              <w:rPr>
                <w:i/>
                <w:sz w:val="16"/>
              </w:rPr>
              <w:t>ε</w:t>
            </w:r>
            <w:r>
              <w:rPr>
                <w:sz w:val="16"/>
              </w:rPr>
              <w:t xml:space="preserve"> critical number; the frozen-fold Arrhenius factor; operational thresholds</w:t>
            </w:r>
          </w:p>
        </w:tc>
      </w:tr>
      <w:tr>
        <w:tc>
          <w:tcPr>
            <w:tcW w:type="dxa" w:w="2160"/>
          </w:tcPr>
          <w:p>
            <w:pPr>
              <w:spacing w:line="240" w:lineRule="auto" w:after="20"/>
            </w:pPr>
            <w:r/>
            <w:r>
              <w:rPr>
                <w:sz w:val="16"/>
              </w:rPr>
              <w:t>Flow reactor (Prop. 5)</w:t>
            </w:r>
          </w:p>
        </w:tc>
        <w:tc>
          <w:tcPr>
            <w:tcW w:type="dxa" w:w="3456"/>
          </w:tcPr>
          <w:p>
            <w:pPr>
              <w:spacing w:line="240" w:lineRule="auto" w:after="20"/>
            </w:pPr>
            <w:r/>
            <w:r>
              <w:rPr>
                <w:sz w:val="16"/>
              </w:rPr>
              <w:t>Multiplicity and stability of stirred reactors [11–13]</w:t>
            </w:r>
          </w:p>
        </w:tc>
        <w:tc>
          <w:tcPr>
            <w:tcW w:type="dxa" w:w="4176"/>
          </w:tcPr>
          <w:p>
            <w:pPr>
              <w:spacing w:line="240" w:lineRule="auto" w:after="20"/>
            </w:pPr>
            <w:r/>
            <w:r>
              <w:rPr>
                <w:sz w:val="16"/>
              </w:rPr>
              <w:t xml:space="preserve">Closed-form equilibrium-multiplicity threshold </w:t>
            </w:r>
            <w:r>
              <w:rPr>
                <w:i/>
                <w:sz w:val="16"/>
              </w:rPr>
              <w:t>κ</w:t>
            </w:r>
            <w:r>
              <w:rPr>
                <w:sz w:val="16"/>
                <w:vertAlign w:val="subscript"/>
              </w:rPr>
              <w:t>c</w:t>
            </w:r>
            <w:r>
              <w:rPr>
                <w:sz w:val="16"/>
              </w:rPr>
              <w:t xml:space="preserve"> for this kinetics; Jacobian and Hopf-type stable window; a temperature-path simulation with Arrhenius kinetics</w:t>
            </w:r>
          </w:p>
        </w:tc>
      </w:tr>
    </w:tbl>
    <w:p>
      <w:pPr>
        <w:spacing w:after="40"/>
      </w:pPr>
    </w:p>
    <w:p>
      <w:pPr>
        <w:pStyle w:val="Heading1"/>
      </w:pPr>
      <w:r>
        <w:rPr>
          <w:rFonts w:ascii="Times New Roman" w:hAnsi="Times New Roman"/>
        </w:rPr>
        <w:t>2 Model and scaling</w:t>
      </w:r>
    </w:p>
    <w:p>
      <w:pPr>
        <w:pStyle w:val="Heading2"/>
      </w:pPr>
      <w:r>
        <w:rPr>
          <w:rFonts w:ascii="Times New Roman" w:hAnsi="Times New Roman"/>
        </w:rPr>
        <w:t>2.1 Equations</w:t>
      </w:r>
    </w:p>
    <w:p>
      <w:pPr>
        <w:keepNext w:val="0"/>
        <w:jc w:val="both"/>
      </w:pPr>
      <w:r>
        <w:t xml:space="preserve">The conversion </w:t>
      </w:r>
      <w:r>
        <w:rPr>
          <w:i/>
        </w:rPr>
        <w:t>α</w:t>
      </w:r>
      <w:r>
        <w:t xml:space="preserve"> of the resin obeys, in the rate equations (ordinary differential equations, ODEs) below, a Kamal–Sourour law with reaction order </w:t>
      </w:r>
      <w:r>
        <w:rPr>
          <w:i/>
        </w:rPr>
        <w:t>n</w:t>
      </w:r>
      <w:r>
        <w:t xml:space="preserve"> for the unreacted fraction and first order in the autocatalytic term,</w:t>
      </w:r>
    </w:p>
    <w:p>
      <w:pPr>
        <w:keepLines/>
        <w:tabs>
          <w:tab w:pos="4680" w:val="center"/>
          <w:tab w:pos="9360" w:val="right"/>
        </w:tabs>
        <w:spacing w:before="120" w:after="120"/>
      </w:pPr>
      <w:r>
        <w:tab/>
      </w:r>
      <m:oMath>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α</m:t>
            </m:r>
          </m:num>
          <m:den>
            <m:r>
              <m:rPr>
                <m:nor/>
              </m:rPr>
              <w:rPr>
                <w:rFonts w:ascii="Cambria Math" w:hAnsi="Cambria Math"/>
                <w:i w:val="0"/>
              </w:rPr>
              <m:t xml:space="preserve">d</m:t>
            </m:r>
            <m:r>
              <m:rPr>
                <m:sty m:val="i"/>
              </m:rPr>
              <w:rPr>
                <w:rFonts w:ascii="Cambria Math" w:hAnsi="Cambria Math"/>
                <w:i/>
              </w:rPr>
              <m:t xml:space="preserve">t</m:t>
            </m:r>
          </m:den>
        </m:f>
        <m:r>
          <m:rPr>
            <m:nor/>
          </m:rPr>
          <w:rPr>
            <w:rFonts w:ascii="Cambria Math" w:hAnsi="Cambria Math"/>
            <w:i w:val="0"/>
          </w:rPr>
          <m:t xml:space="preserve"> = </m:t>
        </m:r>
        <m:d>
          <m:dPr>
            <m:begChr m:val="⟨"/>
            <m:endChr m:val="⟩"/>
            <m:ctrlPr>
              <w:rPr>
                <w:rFonts w:ascii="Cambria Math" w:hAnsi="Cambria Math"/>
                <w:i/>
              </w:rPr>
            </m:ctrlPr>
          </m:dPr>
          <m:e>
            <m:r>
              <m:rPr>
                <m:sty m:val="i"/>
              </m:rPr>
              <w:rPr>
                <w:rFonts w:ascii="Cambria Math" w:hAnsi="Cambria Math"/>
                <w:i/>
              </w:rPr>
              <m:t xml:space="preserve">C</m:t>
            </m:r>
          </m:e>
        </m:d>
        <m:r>
          <m:rPr>
            <m:nor/>
          </m:rPr>
          <w:rPr>
            <w:rFonts w:ascii="Cambria Math" w:hAnsi="Cambria Math"/>
            <w:i w:val="0"/>
          </w:rPr>
          <m:t xml:space="preserve">(</m:t>
        </m:r>
        <m:r>
          <m:rPr>
            <m:sty m:val="i"/>
          </m:rPr>
          <w:rPr>
            <w:rFonts w:ascii="Cambria Math" w:hAnsi="Cambria Math"/>
            <w:i/>
          </w:rPr>
          <m:t xml:space="preserve">t</m:t>
        </m:r>
        <m:r>
          <m:rPr>
            <m:nor/>
          </m:rPr>
          <w:rPr>
            <w:rFonts w:ascii="Cambria Math" w:hAnsi="Cambria Math"/>
            <w:i w:val="0"/>
          </w:rPr>
          <m:t xml:space="preserve">)</m:t>
        </m:r>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k</m:t>
                </m:r>
              </m:e>
              <m:sub>
                <m:r>
                  <m:rPr>
                    <m:nor/>
                  </m:rPr>
                  <w:rPr>
                    <w:rFonts w:ascii="Cambria Math" w:hAnsi="Cambria Math"/>
                    <w:i w:val="0"/>
                  </w:rPr>
                  <m:t xml:space="preserve">1</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k</m:t>
                </m:r>
              </m:e>
              <m:sub>
                <m:r>
                  <m:rPr>
                    <m:nor/>
                  </m:rPr>
                  <w:rPr>
                    <w:rFonts w:ascii="Cambria Math" w:hAnsi="Cambria Math"/>
                    <w:i w:val="0"/>
                  </w:rPr>
                  <m:t xml:space="preserve">2</m:t>
                </m:r>
              </m:sub>
            </m:sSub>
            <m:r>
              <m:rPr>
                <m:sty m:val="i"/>
              </m:rPr>
              <w:rPr>
                <w:rFonts w:ascii="Cambria Math" w:hAnsi="Cambria Math"/>
                <w:i/>
              </w:rPr>
              <m:t xml:space="preserve">α</m:t>
            </m:r>
          </m:e>
        </m:d>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α</m:t>
                </m:r>
              </m:e>
            </m:d>
          </m:e>
          <m:sup>
            <m:r>
              <m:rPr>
                <m:sty m:val="i"/>
              </m:rPr>
              <w:rPr>
                <w:rFonts w:ascii="Cambria Math" w:hAnsi="Cambria Math"/>
                <w:i/>
              </w:rPr>
              <m:t xml:space="preserve">n</m:t>
            </m:r>
          </m:sup>
        </m:sSup>
        <m:r>
          <m:rPr>
            <m:nor/>
          </m:rPr>
          <w:rPr>
            <w:rFonts w:ascii="Cambria Math" w:hAnsi="Cambria Math"/>
            <w:i w:val="0"/>
          </w:rPr>
          <m:t xml:space="preserve">,</m:t>
        </m:r>
      </m:oMath>
      <w:r>
        <w:tab/>
        <w:t xml:space="preserve">(1)</w:t>
      </w:r>
    </w:p>
    <w:p>
      <w:pPr>
        <w:keepNext w:val="0"/>
        <w:jc w:val="both"/>
      </w:pPr>
      <w:r>
        <w:t>where ⟨</w:t>
      </w:r>
      <w:r>
        <w:rPr>
          <w:i/>
        </w:rPr>
        <w:t>C</w:t>
      </w:r>
      <w:r>
        <w:t>⟩ is the availability of the catalyst averaged over the capsule population (the fraction of the catalyst that has been released, 0 ≤ ⟨</w:t>
      </w:r>
      <w:r>
        <w:rPr>
          <w:i/>
        </w:rPr>
        <w:t>C</w:t>
      </w:r>
      <w:r>
        <w:t>⟩ ≤ 1). The temperature of the well-mixed specimen obeys a lumped energy balance with Newtonian loss and the adiabatic temperature rise Δ</w:t>
      </w:r>
      <w:r>
        <w:rPr>
          <w:i/>
        </w:rPr>
        <w:t>T</w:t>
      </w:r>
      <w:r>
        <w:rPr>
          <w:vertAlign w:val="subscript"/>
        </w:rPr>
        <w:t>a</w:t>
      </w:r>
      <w:r>
        <w:rPr>
          <w:vertAlign w:val="subscript"/>
        </w:rPr>
        <w:t>d</w:t>
      </w:r>
      <w:r>
        <w:t xml:space="preserve"> of the reaction,</w:t>
      </w:r>
    </w:p>
    <w:p>
      <w:pPr>
        <w:keepLines/>
        <w:tabs>
          <w:tab w:pos="4680" w:val="center"/>
          <w:tab w:pos="9360" w:val="right"/>
        </w:tabs>
        <w:spacing w:before="120" w:after="120"/>
      </w:pPr>
      <w:r>
        <w:tab/>
      </w:r>
      <m:oMath>
        <m:f>
          <m:fPr>
            <m:ctrlPr>
              <w:rPr>
                <w:rFonts w:ascii="Cambria Math" w:hAnsi="Cambria Math"/>
                <w:i/>
              </w:rPr>
            </m:ctrlPr>
          </m:fPr>
          <m:num>
            <m:r>
              <m:rPr>
                <m:sty m:val="i"/>
              </m:rPr>
              <w:rPr>
                <w:rFonts w:ascii="Cambria Math" w:hAnsi="Cambria Math"/>
                <w:i/>
              </w:rPr>
              <m:t xml:space="preserve">dT</m:t>
            </m:r>
          </m:num>
          <m:den>
            <m:r>
              <m:rPr>
                <m:nor/>
              </m:rPr>
              <w:rPr>
                <w:rFonts w:ascii="Cambria Math" w:hAnsi="Cambria Math"/>
                <w:i w:val="0"/>
              </w:rPr>
              <m:t xml:space="preserve">d</m:t>
            </m:r>
            <m:r>
              <m:rPr>
                <m:sty m:val="i"/>
              </m:rPr>
              <w:rPr>
                <w:rFonts w:ascii="Cambria Math" w:hAnsi="Cambria Math"/>
                <w:i/>
              </w:rPr>
              <m:t xml:space="preserve">t</m:t>
            </m:r>
          </m:den>
        </m:f>
        <m:r>
          <m:rPr>
            <m:nor/>
          </m:rPr>
          <w:rPr>
            <w:rFonts w:ascii="Cambria Math" w:hAnsi="Cambria Math"/>
            <w:i w:val="0"/>
          </w:rPr>
          <m:t xml:space="preserve"> =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m:t>
                    </m:r>
                  </m:sub>
                </m:sSub>
                <m:r>
                  <m:rPr>
                    <m:nor/>
                  </m:rPr>
                  <w:rPr>
                    <w:rFonts w:ascii="Cambria Math" w:hAnsi="Cambria Math"/>
                    <w:i w:val="0"/>
                  </w:rPr>
                  <m:t xml:space="preserve"> − </m:t>
                </m:r>
                <m:r>
                  <m:rPr>
                    <m:sty m:val="i"/>
                  </m:rPr>
                  <w:rPr>
                    <w:rFonts w:ascii="Cambria Math" w:hAnsi="Cambria Math"/>
                    <w:i/>
                  </w:rPr>
                  <m:t xml:space="preserve">T</m:t>
                </m:r>
              </m:e>
            </m:d>
          </m:num>
          <m:den>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th</m:t>
                </m:r>
              </m:sub>
            </m:sSub>
          </m:den>
        </m:f>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ΔT</m:t>
            </m:r>
          </m:e>
          <m:sub>
            <m:r>
              <m:rPr>
                <m:nor/>
              </m:rPr>
              <w:rPr>
                <w:rFonts w:ascii="Cambria Math" w:hAnsi="Cambria Math"/>
                <w:i w:val="0"/>
              </w:rPr>
              <m:t xml:space="preserve">ad</m:t>
            </m:r>
          </m:sub>
        </m:sSub>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α</m:t>
            </m:r>
          </m:num>
          <m:den>
            <m:r>
              <m:rPr>
                <m:nor/>
              </m:rPr>
              <w:rPr>
                <w:rFonts w:ascii="Cambria Math" w:hAnsi="Cambria Math"/>
                <w:i w:val="0"/>
              </w:rPr>
              <m:t xml:space="preserve">d</m:t>
            </m:r>
            <m:r>
              <m:rPr>
                <m:sty m:val="i"/>
              </m:rPr>
              <w:rPr>
                <w:rFonts w:ascii="Cambria Math" w:hAnsi="Cambria Math"/>
                <w:i/>
              </w:rPr>
              <m:t xml:space="preserve">t</m:t>
            </m:r>
          </m:den>
        </m:f>
        <m:r>
          <m:rPr>
            <m:nor/>
          </m:rPr>
          <w:rPr>
            <w:rFonts w:ascii="Cambria Math" w:hAnsi="Cambria Math"/>
            <w:i w:val="0"/>
          </w:rPr>
          <m:t xml:space="preserve">.</m:t>
        </m:r>
      </m:oMath>
      <w:r>
        <w:tab/>
        <w:t xml:space="preserve">(2)</w:t>
      </w:r>
    </w:p>
    <w:p>
      <w:pPr>
        <w:keepNext w:val="0"/>
        <w:jc w:val="both"/>
      </w:pPr>
      <w:r>
        <w:t xml:space="preserve">Capsule </w:t>
      </w:r>
      <w:r>
        <w:rPr>
          <w:i/>
        </w:rPr>
        <w:t>i</w:t>
      </w:r>
      <w:r>
        <w:t xml:space="preserve"> has a melting temperature </w:t>
      </w:r>
      <w:r>
        <w:rPr>
          <w:i/>
        </w:rPr>
        <w:t>T</w:t>
      </w:r>
      <w:r>
        <w:rPr>
          <w:vertAlign w:val="subscript"/>
        </w:rPr>
        <w:t>m</w:t>
      </w:r>
      <w:r>
        <w:rPr>
          <w:vertAlign w:val="subscript"/>
        </w:rPr>
        <w:t>,</w:t>
      </w:r>
      <w:r>
        <w:rPr>
          <w:vertAlign w:val="subscript"/>
        </w:rPr>
        <w:t>i</w:t>
      </w:r>
      <w:r>
        <w:t xml:space="preserve">, drawn from a Gaussian of mean </w:t>
      </w:r>
      <w:r>
        <w:rPr>
          <w:i/>
        </w:rPr>
        <w:t>T</w:t>
      </w:r>
      <w:r>
        <w:rPr>
          <w:vertAlign w:val="subscript"/>
        </w:rPr>
        <w:t>m</w:t>
      </w:r>
      <w:r>
        <w:t xml:space="preserve"> and standard deviation </w:t>
      </w:r>
      <w:r>
        <w:rPr>
          <w:i/>
        </w:rPr>
        <w:t>σ</w:t>
      </w:r>
      <w:r>
        <w:t xml:space="preserve">, and releases its catalyst by first-order relaxation toward a logistic activation of width </w:t>
      </w:r>
      <w:r>
        <w:rPr>
          <w:i/>
        </w:rPr>
        <w:t>w</w:t>
      </w:r>
      <w:r>
        <w:rPr>
          <w:vertAlign w:val="subscript"/>
        </w:rPr>
        <w:t>0</w:t>
      </w:r>
      <w:r>
        <w:t>,</w:t>
      </w:r>
    </w:p>
    <w:p>
      <w:pPr>
        <w:keepLines/>
        <w:tabs>
          <w:tab w:pos="4680" w:val="center"/>
          <w:tab w:pos="9360" w:val="right"/>
        </w:tabs>
        <w:spacing w:before="120" w:after="120"/>
      </w:pPr>
      <w:r>
        <w:tab/>
      </w:r>
      <m:oMath>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dC</m:t>
                </m:r>
              </m:e>
              <m:sub>
                <m:r>
                  <m:rPr>
                    <m:sty m:val="i"/>
                  </m:rPr>
                  <w:rPr>
                    <w:rFonts w:ascii="Cambria Math" w:hAnsi="Cambria Math"/>
                    <w:i/>
                  </w:rPr>
                  <m:t xml:space="preserve">i</m:t>
                </m:r>
              </m:sub>
            </m:sSub>
          </m:num>
          <m:den>
            <m:r>
              <m:rPr>
                <m:nor/>
              </m:rPr>
              <w:rPr>
                <w:rFonts w:ascii="Cambria Math" w:hAnsi="Cambria Math"/>
                <w:i w:val="0"/>
              </w:rPr>
              <m:t xml:space="preserve">d</m:t>
            </m:r>
            <m:r>
              <m:rPr>
                <m:sty m:val="i"/>
              </m:rPr>
              <w:rPr>
                <w:rFonts w:ascii="Cambria Math" w:hAnsi="Cambria Math"/>
                <w:i/>
              </w:rPr>
              <m:t xml:space="preserve">t</m:t>
            </m:r>
          </m:den>
        </m:f>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k</m:t>
            </m:r>
          </m:e>
          <m:sub>
            <m:r>
              <m:rPr>
                <m:nor/>
              </m:rPr>
              <w:rPr>
                <w:rFonts w:ascii="Cambria Math" w:hAnsi="Cambria Math"/>
                <w:i w:val="0"/>
              </w:rPr>
              <m:t xml:space="preserve">rel</m:t>
            </m:r>
          </m:sub>
        </m:sSub>
        <m:d>
          <m:dPr>
            <m:begChr m:val="("/>
            <m:endChr m:val=")"/>
            <m:ctrlPr>
              <w:rPr>
                <w:rFonts w:ascii="Cambria Math" w:hAnsi="Cambria Math"/>
                <w:i/>
              </w:rPr>
            </m:ctrlPr>
          </m:dPr>
          <m:e>
            <m:r>
              <m:rPr>
                <m:sty m:val="i"/>
              </m:rPr>
              <w:rPr>
                <w:rFonts w:ascii="Cambria Math" w:hAnsi="Cambria Math"/>
                <w:i/>
              </w:rPr>
              <m:t xml:space="preserve">T</m:t>
            </m:r>
          </m:e>
        </m:d>
        <m:d>
          <m:dPr>
            <m:begChr m:val="["/>
            <m:endChr m:val="]"/>
            <m:ctrlPr>
              <w:rPr>
                <w:rFonts w:ascii="Cambria Math" w:hAnsi="Cambria Math"/>
                <w:i/>
              </w:rPr>
            </m:ctrlPr>
          </m:dPr>
          <m:e>
            <m:sSub>
              <m:sSubPr>
                <m:ctrlPr>
                  <w:rPr>
                    <w:rFonts w:ascii="Cambria Math" w:hAnsi="Cambria Math"/>
                    <w:i/>
                  </w:rPr>
                </m:ctrlPr>
              </m:sSubPr>
              <m:e>
                <m:r>
                  <m:rPr>
                    <m:sty m:val="i"/>
                  </m:rPr>
                  <w:rPr>
                    <w:rFonts w:ascii="Cambria Math" w:hAnsi="Cambria Math"/>
                    <w:i/>
                  </w:rPr>
                  <m:t xml:space="preserve">G</m:t>
                </m:r>
              </m:e>
              <m:sub>
                <m:r>
                  <m:rPr>
                    <m:sty m:val="i"/>
                  </m:rPr>
                  <w:rPr>
                    <w:rFonts w:ascii="Cambria Math" w:hAnsi="Cambria Math"/>
                    <w:i/>
                  </w:rPr>
                  <m:t xml:space="preserve">i</m:t>
                </m:r>
              </m:sub>
            </m:sSub>
            <m:d>
              <m:dPr>
                <m:begChr m:val="("/>
                <m:endChr m:val=")"/>
                <m:ctrlPr>
                  <w:rPr>
                    <w:rFonts w:ascii="Cambria Math" w:hAnsi="Cambria Math"/>
                    <w:i/>
                  </w:rPr>
                </m:ctrlPr>
              </m:dPr>
              <m:e>
                <m:r>
                  <m:rPr>
                    <m:sty m:val="i"/>
                  </m:rPr>
                  <w:rPr>
                    <w:rFonts w:ascii="Cambria Math" w:hAnsi="Cambria Math"/>
                    <w:i/>
                  </w:rPr>
                  <m:t xml:space="preserve">T</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sty m:val="i"/>
                  </m:rPr>
                  <w:rPr>
                    <w:rFonts w:ascii="Cambria Math" w:hAnsi="Cambria Math"/>
                    <w:i/>
                  </w:rPr>
                  <m:t xml:space="preserve">i</m:t>
                </m:r>
              </m:sub>
            </m:sSub>
          </m:e>
        </m:d>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G</m:t>
            </m:r>
          </m:e>
          <m:sub>
            <m:r>
              <m:rPr>
                <m:sty m:val="i"/>
              </m:rPr>
              <w:rPr>
                <w:rFonts w:ascii="Cambria Math" w:hAnsi="Cambria Math"/>
                <w:i/>
              </w:rPr>
              <m:t xml:space="preserve">i</m:t>
            </m:r>
          </m:sub>
        </m:sSub>
        <m:r>
          <m:rPr>
            <m:nor/>
          </m:rPr>
          <w:rPr>
            <w:rFonts w:ascii="Cambria Math" w:hAnsi="Cambria Math"/>
            <w:i w:val="0"/>
          </w:rPr>
          <m:t xml:space="preserve"> = </m:t>
        </m:r>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nor/>
                  </m:rPr>
                  <w:rPr>
                    <w:rFonts w:ascii="Cambria Math" w:hAnsi="Cambria Math"/>
                    <w:i w:val="0"/>
                  </w:rPr>
                  <m:t xml:space="preserve">exp</m:t>
                </m:r>
                <m:d>
                  <m:dPr>
                    <m:begChr m:val="("/>
                    <m:endChr m:val=")"/>
                    <m:ctrlPr>
                      <w:rPr>
                        <w:rFonts w:ascii="Cambria Math" w:hAnsi="Cambria Math"/>
                        <w:i/>
                      </w:rPr>
                    </m:ctrlPr>
                  </m:dPr>
                  <m:e>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T</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T</m:t>
                            </m:r>
                          </m:e>
                          <m:sub>
                            <m:r>
                              <m:rPr>
                                <m:sty m:val="i"/>
                              </m:rPr>
                              <w:rPr>
                                <w:rFonts w:ascii="Cambria Math" w:hAnsi="Cambria Math"/>
                                <w:i/>
                              </w:rPr>
                              <m:t xml:space="preserve">m,i</m:t>
                            </m:r>
                          </m:sub>
                        </m:sSub>
                      </m:num>
                      <m:den>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0</m:t>
                            </m:r>
                          </m:sub>
                        </m:sSub>
                      </m:den>
                    </m:f>
                  </m:e>
                </m:d>
              </m:e>
            </m:d>
          </m:e>
          <m:sup>
            <m:r>
              <m:rPr>
                <m:nor/>
              </m:rPr>
              <w:rPr>
                <w:rFonts w:ascii="Cambria Math" w:hAnsi="Cambria Math"/>
                <w:i w:val="0"/>
              </w:rPr>
              <m:t xml:space="preserve">−1</m:t>
            </m:r>
          </m:sup>
        </m:sSup>
        <m:r>
          <m:rPr>
            <m:nor/>
          </m:rPr>
          <w:rPr>
            <w:rFonts w:ascii="Cambria Math" w:hAnsi="Cambria Math"/>
            <w:i w:val="0"/>
          </w:rPr>
          <m:t xml:space="preserve">,   </m:t>
        </m:r>
        <m:d>
          <m:dPr>
            <m:begChr m:val="⟨"/>
            <m:endChr m:val="⟩"/>
            <m:ctrlPr>
              <w:rPr>
                <w:rFonts w:ascii="Cambria Math" w:hAnsi="Cambria Math"/>
                <w:i/>
              </w:rPr>
            </m:ctrlPr>
          </m:dPr>
          <m:e>
            <m:r>
              <m:rPr>
                <m:sty m:val="i"/>
              </m:rPr>
              <w:rPr>
                <w:rFonts w:ascii="Cambria Math" w:hAnsi="Cambria Math"/>
                <w:i/>
              </w:rPr>
              <m:t xml:space="preserve">C</m:t>
            </m:r>
          </m:e>
        </m:d>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K</m:t>
            </m:r>
          </m:den>
        </m:f>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C</m:t>
            </m:r>
          </m:e>
          <m:sub>
            <m:r>
              <m:rPr>
                <m:sty m:val="i"/>
              </m:rPr>
              <w:rPr>
                <w:rFonts w:ascii="Cambria Math" w:hAnsi="Cambria Math"/>
                <w:i/>
              </w:rPr>
              <m:t xml:space="preserve">i</m:t>
            </m:r>
          </m:sub>
        </m:sSub>
        <m:r>
          <m:rPr>
            <m:nor/>
          </m:rPr>
          <w:rPr>
            <w:rFonts w:ascii="Cambria Math" w:hAnsi="Cambria Math"/>
            <w:i w:val="0"/>
          </w:rPr>
          <m:t xml:space="preserve">.</m:t>
        </m:r>
      </m:oMath>
      <w:r>
        <w:tab/>
        <w:t xml:space="preserve">(3)</w:t>
      </w:r>
    </w:p>
    <w:p>
      <w:pPr>
        <w:keepNext w:val="0"/>
        <w:jc w:val="both"/>
      </w:pPr>
      <w:r>
        <w:t xml:space="preserve">The initial state is </w:t>
      </w:r>
      <w:r>
        <w:rPr>
          <w:i/>
        </w:rPr>
        <w:t>α</w:t>
      </w:r>
      <w:r>
        <w:t xml:space="preserve">(0) = 0 and </w:t>
      </w:r>
      <w:r>
        <w:rPr>
          <w:i/>
        </w:rPr>
        <w:t>C</w:t>
      </w:r>
      <w:r>
        <w:rPr>
          <w:i/>
          <w:vertAlign w:val="subscript"/>
        </w:rPr>
        <w:t>i</w:t>
      </w:r>
      <w:r>
        <w:t xml:space="preserve">(0) = 0 unless stated, and </w:t>
      </w:r>
      <w:r>
        <w:rPr>
          <w:i/>
        </w:rPr>
        <w:t>T</w:t>
      </w:r>
      <w:r>
        <w:t xml:space="preserve">(0) = </w:t>
      </w:r>
      <w:r>
        <w:rPr>
          <w:i/>
        </w:rPr>
        <w:t>T</w:t>
      </w:r>
      <w:r>
        <w:rPr>
          <w:vertAlign w:val="subscript"/>
        </w:rPr>
        <w:t>∞</w:t>
      </w:r>
      <w:r>
        <w:t xml:space="preserve"> for the isothermal-start problems of Sections 3.1–3.4. The rate constants are Arrhenius, </w:t>
      </w:r>
      <w:r>
        <w:rPr>
          <w:i/>
        </w:rPr>
        <w:t>k</w:t>
      </w:r>
      <w:r>
        <w:rPr>
          <w:i/>
          <w:vertAlign w:val="subscript"/>
        </w:rPr>
        <w:t>j</w:t>
      </w:r>
      <w:r>
        <w:t xml:space="preserve"> = </w:t>
      </w:r>
      <w:r>
        <w:rPr>
          <w:i/>
        </w:rPr>
        <w:t>A</w:t>
      </w:r>
      <w:r>
        <w:rPr>
          <w:i/>
          <w:vertAlign w:val="subscript"/>
        </w:rPr>
        <w:t>j</w:t>
      </w:r>
      <w:r>
        <w:t xml:space="preserve"> exp(−</w:t>
      </w:r>
      <w:r>
        <w:rPr>
          <w:i/>
        </w:rPr>
        <w:t>E</w:t>
      </w:r>
      <w:r>
        <w:rPr>
          <w:i/>
          <w:vertAlign w:val="subscript"/>
        </w:rPr>
        <w:t>j</w:t>
      </w:r>
      <w:r>
        <w:t>/</w:t>
      </w:r>
      <w:r>
        <w:rPr>
          <w:i/>
        </w:rPr>
        <w:t>RT</w:t>
      </w:r>
      <w:r>
        <w:t xml:space="preserve">), for </w:t>
      </w:r>
      <w:r>
        <w:rPr>
          <w:i/>
        </w:rPr>
        <w:t>j</w:t>
      </w:r>
      <w:r>
        <w:t xml:space="preserve"> = 1 (background), 2 (autocatalytic) and rel (release). The model has no spatial structure, no diffusion control and no vitrification (Section 6). Throughout, the </w:t>
      </w:r>
      <w:r>
        <w:rPr>
          <w:i/>
        </w:rPr>
        <w:t>illustrative</w:t>
      </w:r>
      <w:r>
        <w:t xml:space="preserve"> parameter set of Table 2 is used.</w:t>
      </w:r>
    </w:p>
    <w:p>
      <w:pPr>
        <w:keepNext/>
        <w:spacing w:line="276" w:lineRule="auto" w:after="200"/>
      </w:pPr>
      <w:r>
        <w:rPr>
          <w:b/>
          <w:sz w:val="19"/>
        </w:rPr>
        <w:t>Table 2</w:t>
      </w:r>
      <w:r>
        <w:rPr>
          <w:sz w:val="19"/>
        </w:rPr>
        <w:t xml:space="preserve"> Illustrative parameter set (not fitted to any material; taken from Ref. [18]). Arrhenius forms are </w:t>
      </w:r>
      <w:r>
        <w:rPr>
          <w:i/>
          <w:sz w:val="19"/>
        </w:rPr>
        <w:t>k</w:t>
      </w:r>
      <w:r>
        <w:rPr>
          <w:sz w:val="19"/>
        </w:rPr>
        <w:t xml:space="preserve"> = </w:t>
      </w:r>
      <w:r>
        <w:rPr>
          <w:i/>
          <w:sz w:val="19"/>
        </w:rPr>
        <w:t>A</w:t>
      </w:r>
      <w:r>
        <w:rPr>
          <w:sz w:val="19"/>
        </w:rPr>
        <w:t xml:space="preserve"> exp(−</w:t>
      </w:r>
      <w:r>
        <w:rPr>
          <w:i/>
          <w:sz w:val="19"/>
        </w:rPr>
        <w:t>E</w:t>
      </w:r>
      <w:r>
        <w:rPr>
          <w:sz w:val="19"/>
        </w:rPr>
        <w:t>/</w:t>
      </w:r>
      <w:r>
        <w:rPr>
          <w:i/>
          <w:sz w:val="19"/>
        </w:rPr>
        <w:t>RT</w:t>
      </w:r>
      <w:r>
        <w:rPr>
          <w:sz w:val="19"/>
        </w:rPr>
        <w:t xml:space="preserve">). Note that </w:t>
      </w:r>
      <w:r>
        <w:rPr>
          <w:i/>
          <w:sz w:val="19"/>
        </w:rPr>
        <w:t>E</w:t>
      </w:r>
      <w:r>
        <w:rPr>
          <w:sz w:val="19"/>
          <w:vertAlign w:val="subscript"/>
        </w:rPr>
        <w:t>1</w:t>
      </w:r>
      <w:r>
        <w:rPr>
          <w:sz w:val="19"/>
        </w:rPr>
        <w:t xml:space="preserve"> ≠ </w:t>
      </w:r>
      <w:r>
        <w:rPr>
          <w:i/>
          <w:sz w:val="19"/>
        </w:rPr>
        <w:t>E</w:t>
      </w:r>
      <w:r>
        <w:rPr>
          <w:sz w:val="19"/>
          <w:vertAlign w:val="subscript"/>
        </w:rPr>
        <w:t>2</w:t>
      </w:r>
      <w:r>
        <w:rPr>
          <w:sz w:val="19"/>
        </w:rPr>
        <w:t>.</w:t>
      </w:r>
    </w:p>
    <w:tbl>
      <w:tblPr>
        <w:tblStyle w:val="TableGrid"/>
        <w:tblW w:type="auto" w:w="0"/>
        <w:jc w:val="center"/>
        <w:tblLayout w:type="fixed"/>
        <w:tblLook w:firstColumn="1" w:firstRow="1" w:lastColumn="0" w:lastRow="0" w:noHBand="0" w:noVBand="1" w:val="04A0"/>
      </w:tblPr>
      <w:tblGrid>
        <w:gridCol w:w="3744"/>
        <w:gridCol w:w="1872"/>
        <w:gridCol w:w="3888"/>
      </w:tblGrid>
      <w:tr>
        <w:trPr>
          <w:tblHeader w:val="true"/>
        </w:trPr>
        <w:tc>
          <w:tcPr>
            <w:tcW w:type="dxa" w:w="3744"/>
          </w:tcPr>
          <w:p>
            <w:pPr>
              <w:spacing w:line="240" w:lineRule="auto" w:after="20"/>
            </w:pPr>
            <w:r/>
            <w:r>
              <w:rPr>
                <w:b/>
                <w:sz w:val="17"/>
              </w:rPr>
              <w:t>Quantity</w:t>
            </w:r>
          </w:p>
        </w:tc>
        <w:tc>
          <w:tcPr>
            <w:tcW w:type="dxa" w:w="1872"/>
          </w:tcPr>
          <w:p>
            <w:pPr>
              <w:spacing w:line="240" w:lineRule="auto" w:after="20"/>
            </w:pPr>
            <w:r/>
            <w:r>
              <w:rPr>
                <w:b/>
                <w:sz w:val="17"/>
              </w:rPr>
              <w:t>Symbol</w:t>
            </w:r>
          </w:p>
        </w:tc>
        <w:tc>
          <w:tcPr>
            <w:tcW w:type="dxa" w:w="3888"/>
          </w:tcPr>
          <w:p>
            <w:pPr>
              <w:spacing w:line="240" w:lineRule="auto" w:after="20"/>
            </w:pPr>
            <w:r/>
            <w:r>
              <w:rPr>
                <w:b/>
                <w:sz w:val="17"/>
              </w:rPr>
              <w:t>Value</w:t>
            </w:r>
          </w:p>
        </w:tc>
      </w:tr>
      <w:tr>
        <w:tc>
          <w:tcPr>
            <w:tcW w:type="dxa" w:w="3744"/>
          </w:tcPr>
          <w:p>
            <w:pPr>
              <w:spacing w:line="240" w:lineRule="auto" w:after="20"/>
            </w:pPr>
            <w:r/>
            <w:r>
              <w:rPr>
                <w:sz w:val="17"/>
              </w:rPr>
              <w:t>Background rate constant</w:t>
            </w:r>
          </w:p>
        </w:tc>
        <w:tc>
          <w:tcPr>
            <w:tcW w:type="dxa" w:w="1872"/>
          </w:tcPr>
          <w:p>
            <w:pPr>
              <w:spacing w:line="240" w:lineRule="auto" w:after="20"/>
            </w:pPr>
            <w:r/>
            <w:r>
              <w:rPr>
                <w:i/>
                <w:sz w:val="17"/>
              </w:rPr>
              <w:t>A</w:t>
            </w:r>
            <w:r>
              <w:rPr>
                <w:sz w:val="17"/>
                <w:vertAlign w:val="subscript"/>
              </w:rPr>
              <w:t>1</w:t>
            </w:r>
            <w:r>
              <w:rPr>
                <w:sz w:val="17"/>
              </w:rPr>
              <w:t xml:space="preserve">, </w:t>
            </w:r>
            <w:r>
              <w:rPr>
                <w:i/>
                <w:sz w:val="17"/>
              </w:rPr>
              <w:t>E</w:t>
            </w:r>
            <w:r>
              <w:rPr>
                <w:sz w:val="17"/>
                <w:vertAlign w:val="subscript"/>
              </w:rPr>
              <w:t>1</w:t>
            </w:r>
          </w:p>
        </w:tc>
        <w:tc>
          <w:tcPr>
            <w:tcW w:type="dxa" w:w="3888"/>
          </w:tcPr>
          <w:p>
            <w:pPr>
              <w:spacing w:line="240" w:lineRule="auto" w:after="20"/>
            </w:pPr>
            <w:r/>
            <w:r>
              <w:rPr>
                <w:sz w:val="17"/>
              </w:rPr>
              <w:t>2.0 × 10</w:t>
            </w:r>
            <w:r>
              <w:rPr>
                <w:sz w:val="17"/>
                <w:vertAlign w:val="superscript"/>
              </w:rPr>
              <w:t>3</w:t>
            </w:r>
            <w:r>
              <w:rPr>
                <w:sz w:val="17"/>
              </w:rPr>
              <w:t xml:space="preserve"> min</w:t>
            </w:r>
            <w:r>
              <w:rPr>
                <w:sz w:val="17"/>
                <w:vertAlign w:val="superscript"/>
              </w:rPr>
              <w:t>−</w:t>
            </w:r>
            <w:r>
              <w:rPr>
                <w:sz w:val="17"/>
                <w:vertAlign w:val="superscript"/>
              </w:rPr>
              <w:t>1</w:t>
            </w:r>
            <w:r>
              <w:rPr>
                <w:sz w:val="17"/>
              </w:rPr>
              <w:t>, 50 kJ mol</w:t>
            </w:r>
            <w:r>
              <w:rPr>
                <w:sz w:val="17"/>
                <w:vertAlign w:val="superscript"/>
              </w:rPr>
              <w:t>−</w:t>
            </w:r>
            <w:r>
              <w:rPr>
                <w:sz w:val="17"/>
                <w:vertAlign w:val="superscript"/>
              </w:rPr>
              <w:t>1</w:t>
            </w:r>
          </w:p>
        </w:tc>
      </w:tr>
      <w:tr>
        <w:tc>
          <w:tcPr>
            <w:tcW w:type="dxa" w:w="3744"/>
          </w:tcPr>
          <w:p>
            <w:pPr>
              <w:spacing w:line="240" w:lineRule="auto" w:after="20"/>
            </w:pPr>
            <w:r/>
            <w:r>
              <w:rPr>
                <w:sz w:val="17"/>
              </w:rPr>
              <w:t>Autocatalytic rate constant</w:t>
            </w:r>
          </w:p>
        </w:tc>
        <w:tc>
          <w:tcPr>
            <w:tcW w:type="dxa" w:w="1872"/>
          </w:tcPr>
          <w:p>
            <w:pPr>
              <w:spacing w:line="240" w:lineRule="auto" w:after="20"/>
            </w:pPr>
            <w:r/>
            <w:r>
              <w:rPr>
                <w:i/>
                <w:sz w:val="17"/>
              </w:rPr>
              <w:t>A</w:t>
            </w:r>
            <w:r>
              <w:rPr>
                <w:sz w:val="17"/>
                <w:vertAlign w:val="subscript"/>
              </w:rPr>
              <w:t>2</w:t>
            </w:r>
            <w:r>
              <w:rPr>
                <w:sz w:val="17"/>
              </w:rPr>
              <w:t xml:space="preserve">, </w:t>
            </w:r>
            <w:r>
              <w:rPr>
                <w:i/>
                <w:sz w:val="17"/>
              </w:rPr>
              <w:t>E</w:t>
            </w:r>
            <w:r>
              <w:rPr>
                <w:sz w:val="17"/>
                <w:vertAlign w:val="subscript"/>
              </w:rPr>
              <w:t>2</w:t>
            </w:r>
          </w:p>
        </w:tc>
        <w:tc>
          <w:tcPr>
            <w:tcW w:type="dxa" w:w="3888"/>
          </w:tcPr>
          <w:p>
            <w:pPr>
              <w:spacing w:line="240" w:lineRule="auto" w:after="20"/>
            </w:pPr>
            <w:r/>
            <w:r>
              <w:rPr>
                <w:sz w:val="17"/>
              </w:rPr>
              <w:t>2.5 × 10</w:t>
            </w:r>
            <w:r>
              <w:rPr>
                <w:sz w:val="17"/>
                <w:vertAlign w:val="superscript"/>
              </w:rPr>
              <w:t>7</w:t>
            </w:r>
            <w:r>
              <w:rPr>
                <w:sz w:val="17"/>
              </w:rPr>
              <w:t xml:space="preserve"> min</w:t>
            </w:r>
            <w:r>
              <w:rPr>
                <w:sz w:val="17"/>
                <w:vertAlign w:val="superscript"/>
              </w:rPr>
              <w:t>−</w:t>
            </w:r>
            <w:r>
              <w:rPr>
                <w:sz w:val="17"/>
                <w:vertAlign w:val="superscript"/>
              </w:rPr>
              <w:t>1</w:t>
            </w:r>
            <w:r>
              <w:rPr>
                <w:sz w:val="17"/>
              </w:rPr>
              <w:t>, 65 kJ mol</w:t>
            </w:r>
            <w:r>
              <w:rPr>
                <w:sz w:val="17"/>
                <w:vertAlign w:val="superscript"/>
              </w:rPr>
              <w:t>−</w:t>
            </w:r>
            <w:r>
              <w:rPr>
                <w:sz w:val="17"/>
                <w:vertAlign w:val="superscript"/>
              </w:rPr>
              <w:t>1</w:t>
            </w:r>
          </w:p>
        </w:tc>
      </w:tr>
      <w:tr>
        <w:tc>
          <w:tcPr>
            <w:tcW w:type="dxa" w:w="3744"/>
          </w:tcPr>
          <w:p>
            <w:pPr>
              <w:spacing w:line="240" w:lineRule="auto" w:after="20"/>
            </w:pPr>
            <w:r/>
            <w:r>
              <w:rPr>
                <w:sz w:val="17"/>
              </w:rPr>
              <w:t>Reaction order</w:t>
            </w:r>
          </w:p>
        </w:tc>
        <w:tc>
          <w:tcPr>
            <w:tcW w:type="dxa" w:w="1872"/>
          </w:tcPr>
          <w:p>
            <w:pPr>
              <w:spacing w:line="240" w:lineRule="auto" w:after="20"/>
            </w:pPr>
            <w:r/>
            <w:r>
              <w:rPr>
                <w:i/>
                <w:sz w:val="17"/>
              </w:rPr>
              <w:t>n</w:t>
            </w:r>
          </w:p>
        </w:tc>
        <w:tc>
          <w:tcPr>
            <w:tcW w:type="dxa" w:w="3888"/>
          </w:tcPr>
          <w:p>
            <w:pPr>
              <w:spacing w:line="240" w:lineRule="auto" w:after="20"/>
            </w:pPr>
            <w:r/>
            <w:r>
              <w:rPr>
                <w:sz w:val="17"/>
              </w:rPr>
              <w:t>1.5 (1 and 2 where stated)</w:t>
            </w:r>
          </w:p>
        </w:tc>
      </w:tr>
      <w:tr>
        <w:tc>
          <w:tcPr>
            <w:tcW w:type="dxa" w:w="3744"/>
          </w:tcPr>
          <w:p>
            <w:pPr>
              <w:spacing w:line="240" w:lineRule="auto" w:after="20"/>
            </w:pPr>
            <w:r/>
            <w:r>
              <w:rPr>
                <w:sz w:val="17"/>
              </w:rPr>
              <w:t>Release rate constant</w:t>
            </w:r>
          </w:p>
        </w:tc>
        <w:tc>
          <w:tcPr>
            <w:tcW w:type="dxa" w:w="1872"/>
          </w:tcPr>
          <w:p>
            <w:pPr>
              <w:spacing w:line="240" w:lineRule="auto" w:after="20"/>
            </w:pPr>
            <w:r/>
            <w:r>
              <w:rPr>
                <w:i/>
                <w:sz w:val="17"/>
              </w:rPr>
              <w:t>A</w:t>
            </w:r>
            <w:r>
              <w:rPr>
                <w:sz w:val="17"/>
                <w:vertAlign w:val="subscript"/>
              </w:rPr>
              <w:t>r</w:t>
            </w:r>
            <w:r>
              <w:rPr>
                <w:sz w:val="17"/>
                <w:vertAlign w:val="subscript"/>
              </w:rPr>
              <w:t>e</w:t>
            </w:r>
            <w:r>
              <w:rPr>
                <w:sz w:val="17"/>
                <w:vertAlign w:val="subscript"/>
              </w:rPr>
              <w:t>l</w:t>
            </w:r>
            <w:r>
              <w:rPr>
                <w:sz w:val="17"/>
              </w:rPr>
              <w:t xml:space="preserve">, </w:t>
            </w:r>
            <w:r>
              <w:rPr>
                <w:i/>
                <w:sz w:val="17"/>
              </w:rPr>
              <w:t>E</w:t>
            </w:r>
            <w:r>
              <w:rPr>
                <w:sz w:val="17"/>
                <w:vertAlign w:val="subscript"/>
              </w:rPr>
              <w:t>r</w:t>
            </w:r>
            <w:r>
              <w:rPr>
                <w:sz w:val="17"/>
                <w:vertAlign w:val="subscript"/>
              </w:rPr>
              <w:t>e</w:t>
            </w:r>
            <w:r>
              <w:rPr>
                <w:sz w:val="17"/>
                <w:vertAlign w:val="subscript"/>
              </w:rPr>
              <w:t>l</w:t>
            </w:r>
          </w:p>
        </w:tc>
        <w:tc>
          <w:tcPr>
            <w:tcW w:type="dxa" w:w="3888"/>
          </w:tcPr>
          <w:p>
            <w:pPr>
              <w:spacing w:line="240" w:lineRule="auto" w:after="20"/>
            </w:pPr>
            <w:r/>
            <w:r>
              <w:rPr>
                <w:sz w:val="17"/>
              </w:rPr>
              <w:t>6.4 × 10</w:t>
            </w:r>
            <w:r>
              <w:rPr>
                <w:sz w:val="17"/>
                <w:vertAlign w:val="superscript"/>
              </w:rPr>
              <w:t>6</w:t>
            </w:r>
            <w:r>
              <w:rPr>
                <w:sz w:val="17"/>
              </w:rPr>
              <w:t xml:space="preserve"> min</w:t>
            </w:r>
            <w:r>
              <w:rPr>
                <w:sz w:val="17"/>
                <w:vertAlign w:val="superscript"/>
              </w:rPr>
              <w:t>−</w:t>
            </w:r>
            <w:r>
              <w:rPr>
                <w:sz w:val="17"/>
                <w:vertAlign w:val="superscript"/>
              </w:rPr>
              <w:t>1</w:t>
            </w:r>
            <w:r>
              <w:rPr>
                <w:sz w:val="17"/>
              </w:rPr>
              <w:t>, 60 kJ mol</w:t>
            </w:r>
            <w:r>
              <w:rPr>
                <w:sz w:val="17"/>
                <w:vertAlign w:val="superscript"/>
              </w:rPr>
              <w:t>−</w:t>
            </w:r>
            <w:r>
              <w:rPr>
                <w:sz w:val="17"/>
                <w:vertAlign w:val="superscript"/>
              </w:rPr>
              <w:t>1</w:t>
            </w:r>
          </w:p>
        </w:tc>
      </w:tr>
      <w:tr>
        <w:tc>
          <w:tcPr>
            <w:tcW w:type="dxa" w:w="3744"/>
          </w:tcPr>
          <w:p>
            <w:pPr>
              <w:spacing w:line="240" w:lineRule="auto" w:after="20"/>
            </w:pPr>
            <w:r/>
            <w:r>
              <w:rPr>
                <w:sz w:val="17"/>
              </w:rPr>
              <w:t>Mean melting temperature, activation width</w:t>
            </w:r>
          </w:p>
        </w:tc>
        <w:tc>
          <w:tcPr>
            <w:tcW w:type="dxa" w:w="1872"/>
          </w:tcPr>
          <w:p>
            <w:pPr>
              <w:spacing w:line="240" w:lineRule="auto" w:after="20"/>
            </w:pPr>
            <w:r/>
            <w:r>
              <w:rPr>
                <w:i/>
                <w:sz w:val="17"/>
              </w:rPr>
              <w:t>T</w:t>
            </w:r>
            <w:r>
              <w:rPr>
                <w:sz w:val="17"/>
                <w:vertAlign w:val="subscript"/>
              </w:rPr>
              <w:t>m</w:t>
            </w:r>
            <w:r>
              <w:rPr>
                <w:sz w:val="17"/>
              </w:rPr>
              <w:t xml:space="preserve">, </w:t>
            </w:r>
            <w:r>
              <w:rPr>
                <w:i/>
                <w:sz w:val="17"/>
              </w:rPr>
              <w:t>w</w:t>
            </w:r>
            <w:r>
              <w:rPr>
                <w:sz w:val="17"/>
                <w:vertAlign w:val="subscript"/>
              </w:rPr>
              <w:t>0</w:t>
            </w:r>
          </w:p>
        </w:tc>
        <w:tc>
          <w:tcPr>
            <w:tcW w:type="dxa" w:w="3888"/>
          </w:tcPr>
          <w:p>
            <w:pPr>
              <w:spacing w:line="240" w:lineRule="auto" w:after="20"/>
            </w:pPr>
            <w:r/>
            <w:r>
              <w:rPr>
                <w:sz w:val="17"/>
              </w:rPr>
              <w:t>118 °C, 0.5 °C</w:t>
            </w:r>
          </w:p>
        </w:tc>
      </w:tr>
      <w:tr>
        <w:tc>
          <w:tcPr>
            <w:tcW w:type="dxa" w:w="3744"/>
          </w:tcPr>
          <w:p>
            <w:pPr>
              <w:spacing w:line="240" w:lineRule="auto" w:after="20"/>
            </w:pPr>
            <w:r/>
            <w:r>
              <w:rPr>
                <w:sz w:val="17"/>
              </w:rPr>
              <w:t>Adiabatic rise, thermal time constant</w:t>
            </w:r>
          </w:p>
        </w:tc>
        <w:tc>
          <w:tcPr>
            <w:tcW w:type="dxa" w:w="1872"/>
          </w:tcPr>
          <w:p>
            <w:pPr>
              <w:spacing w:line="240" w:lineRule="auto" w:after="20"/>
            </w:pPr>
            <w:r/>
            <w:r>
              <w:rPr>
                <w:sz w:val="17"/>
              </w:rPr>
              <w:t>Δ</w:t>
            </w:r>
            <w:r>
              <w:rPr>
                <w:i/>
                <w:sz w:val="17"/>
              </w:rPr>
              <w:t>T</w:t>
            </w:r>
            <w:r>
              <w:rPr>
                <w:sz w:val="17"/>
                <w:vertAlign w:val="subscript"/>
              </w:rPr>
              <w:t>a</w:t>
            </w:r>
            <w:r>
              <w:rPr>
                <w:sz w:val="17"/>
                <w:vertAlign w:val="subscript"/>
              </w:rPr>
              <w:t>d</w:t>
            </w:r>
            <w:r>
              <w:rPr>
                <w:sz w:val="17"/>
              </w:rPr>
              <w:t xml:space="preserve">, </w:t>
            </w:r>
            <w:r>
              <w:rPr>
                <w:i/>
                <w:sz w:val="17"/>
              </w:rPr>
              <w:t>τ</w:t>
            </w:r>
            <w:r>
              <w:rPr>
                <w:sz w:val="17"/>
                <w:vertAlign w:val="subscript"/>
              </w:rPr>
              <w:t>t</w:t>
            </w:r>
            <w:r>
              <w:rPr>
                <w:sz w:val="17"/>
                <w:vertAlign w:val="subscript"/>
              </w:rPr>
              <w:t>h</w:t>
            </w:r>
          </w:p>
        </w:tc>
        <w:tc>
          <w:tcPr>
            <w:tcW w:type="dxa" w:w="3888"/>
          </w:tcPr>
          <w:p>
            <w:pPr>
              <w:spacing w:line="240" w:lineRule="auto" w:after="20"/>
            </w:pPr>
            <w:r/>
            <w:r>
              <w:rPr>
                <w:sz w:val="17"/>
              </w:rPr>
              <w:t>220 K, varied (Section 3.4)</w:t>
            </w:r>
          </w:p>
        </w:tc>
      </w:tr>
      <w:tr>
        <w:tc>
          <w:tcPr>
            <w:tcW w:type="dxa" w:w="3744"/>
          </w:tcPr>
          <w:p>
            <w:pPr>
              <w:spacing w:line="240" w:lineRule="auto" w:after="20"/>
            </w:pPr>
            <w:r/>
            <w:r>
              <w:rPr>
                <w:sz w:val="17"/>
              </w:rPr>
              <w:t>Rate constants at 140 °C</w:t>
            </w:r>
          </w:p>
        </w:tc>
        <w:tc>
          <w:tcPr>
            <w:tcW w:type="dxa" w:w="1872"/>
          </w:tcPr>
          <w:p>
            <w:pPr>
              <w:spacing w:line="240" w:lineRule="auto" w:after="20"/>
            </w:pPr>
            <w:r/>
            <w:r>
              <w:rPr>
                <w:i/>
                <w:sz w:val="17"/>
              </w:rPr>
              <w:t>k</w:t>
            </w:r>
            <w:r>
              <w:rPr>
                <w:sz w:val="17"/>
                <w:vertAlign w:val="subscript"/>
              </w:rPr>
              <w:t>1</w:t>
            </w:r>
            <w:r>
              <w:rPr>
                <w:sz w:val="17"/>
              </w:rPr>
              <w:t xml:space="preserve">, </w:t>
            </w:r>
            <w:r>
              <w:rPr>
                <w:i/>
                <w:sz w:val="17"/>
              </w:rPr>
              <w:t>k</w:t>
            </w:r>
            <w:r>
              <w:rPr>
                <w:sz w:val="17"/>
                <w:vertAlign w:val="subscript"/>
              </w:rPr>
              <w:t>2</w:t>
            </w:r>
            <w:r>
              <w:rPr>
                <w:sz w:val="17"/>
              </w:rPr>
              <w:t xml:space="preserve">, </w:t>
            </w:r>
            <w:r>
              <w:rPr>
                <w:i/>
                <w:sz w:val="17"/>
              </w:rPr>
              <w:t>k</w:t>
            </w:r>
            <w:r>
              <w:rPr>
                <w:sz w:val="17"/>
                <w:vertAlign w:val="subscript"/>
              </w:rPr>
              <w:t>r</w:t>
            </w:r>
            <w:r>
              <w:rPr>
                <w:sz w:val="17"/>
                <w:vertAlign w:val="subscript"/>
              </w:rPr>
              <w:t>e</w:t>
            </w:r>
            <w:r>
              <w:rPr>
                <w:sz w:val="17"/>
                <w:vertAlign w:val="subscript"/>
              </w:rPr>
              <w:t>l</w:t>
            </w:r>
          </w:p>
        </w:tc>
        <w:tc>
          <w:tcPr>
            <w:tcW w:type="dxa" w:w="3888"/>
          </w:tcPr>
          <w:p>
            <w:pPr>
              <w:spacing w:line="240" w:lineRule="auto" w:after="20"/>
            </w:pPr>
            <w:r/>
            <w:r>
              <w:rPr>
                <w:sz w:val="17"/>
              </w:rPr>
              <w:t>9.53e-04, 0.151, 0.166 min</w:t>
            </w:r>
            <w:r>
              <w:rPr>
                <w:sz w:val="17"/>
                <w:vertAlign w:val="superscript"/>
              </w:rPr>
              <w:t>−</w:t>
            </w:r>
            <w:r>
              <w:rPr>
                <w:sz w:val="17"/>
                <w:vertAlign w:val="superscript"/>
              </w:rPr>
              <w:t>1</w:t>
            </w:r>
          </w:p>
        </w:tc>
      </w:tr>
    </w:tbl>
    <w:p>
      <w:pPr>
        <w:spacing w:after="40"/>
      </w:pPr>
    </w:p>
    <w:p>
      <w:pPr>
        <w:pStyle w:val="Heading2"/>
      </w:pPr>
      <w:r>
        <w:rPr>
          <w:rFonts w:ascii="Times New Roman" w:hAnsi="Times New Roman"/>
        </w:rPr>
        <w:t>2.2 Dimensionless groups and the exponential comparison model</w:t>
      </w:r>
    </w:p>
    <w:p>
      <w:pPr>
        <w:keepNext w:val="0"/>
        <w:jc w:val="both"/>
      </w:pPr>
      <w:r>
        <w:t xml:space="preserve">Define </w:t>
      </w:r>
      <w:r>
        <w:rPr>
          <w:i/>
        </w:rPr>
        <w:t>ε</w:t>
      </w:r>
      <w:r>
        <w:t xml:space="preserve"> = </w:t>
      </w:r>
      <w:r>
        <w:rPr>
          <w:i/>
        </w:rPr>
        <w:t>k</w:t>
      </w:r>
      <w:r>
        <w:rPr>
          <w:vertAlign w:val="subscript"/>
        </w:rPr>
        <w:t>1</w:t>
      </w:r>
      <w:r>
        <w:t>/</w:t>
      </w:r>
      <w:r>
        <w:rPr>
          <w:i/>
        </w:rPr>
        <w:t>k</w:t>
      </w:r>
      <w:r>
        <w:rPr>
          <w:vertAlign w:val="subscript"/>
        </w:rPr>
        <w:t>2</w:t>
      </w:r>
      <w:r>
        <w:t xml:space="preserve">, the thermal number </w:t>
      </w:r>
      <w:r>
        <w:rPr>
          <w:i/>
        </w:rPr>
        <w:t>Θ</w:t>
      </w:r>
      <w:r>
        <w:t xml:space="preserve"> = </w:t>
      </w:r>
      <w:r>
        <w:rPr>
          <w:i/>
        </w:rPr>
        <w:t>τ</w:t>
      </w:r>
      <w:r>
        <w:rPr>
          <w:vertAlign w:val="subscript"/>
        </w:rPr>
        <w:t>t</w:t>
      </w:r>
      <w:r>
        <w:rPr>
          <w:vertAlign w:val="subscript"/>
        </w:rPr>
        <w:t>h</w:t>
      </w:r>
      <w:r>
        <w:rPr>
          <w:i/>
        </w:rPr>
        <w:t>k</w:t>
      </w:r>
      <w:r>
        <w:rPr>
          <w:vertAlign w:val="subscript"/>
        </w:rPr>
        <w:t>2</w:t>
      </w:r>
      <w:r>
        <w:t>(</w:t>
      </w:r>
      <w:r>
        <w:rPr>
          <w:i/>
        </w:rPr>
        <w:t>T</w:t>
      </w:r>
      <w:r>
        <w:rPr>
          <w:vertAlign w:val="subscript"/>
        </w:rPr>
        <w:t>∞</w:t>
      </w:r>
      <w:r>
        <w:t xml:space="preserve">), the reduced exothermicity </w:t>
      </w:r>
      <w:r>
        <w:rPr>
          <w:i/>
        </w:rPr>
        <w:t>ψ</w:t>
      </w:r>
      <w:r>
        <w:t xml:space="preserve"> = Δ</w:t>
      </w:r>
      <w:r>
        <w:rPr>
          <w:i/>
        </w:rPr>
        <w:t>T</w:t>
      </w:r>
      <w:r>
        <w:rPr>
          <w:vertAlign w:val="subscript"/>
        </w:rPr>
        <w:t>a</w:t>
      </w:r>
      <w:r>
        <w:rPr>
          <w:vertAlign w:val="subscript"/>
        </w:rPr>
        <w:t>d</w:t>
      </w:r>
      <w:r>
        <w:rPr>
          <w:i/>
        </w:rPr>
        <w:t>E</w:t>
      </w:r>
      <w:r>
        <w:rPr>
          <w:vertAlign w:val="subscript"/>
        </w:rPr>
        <w:t>2</w:t>
      </w:r>
      <w:r>
        <w:t>/(RT</w:t>
      </w:r>
      <w:r>
        <w:rPr>
          <w:vertAlign w:val="subscript"/>
        </w:rPr>
        <w:t>∞</w:t>
      </w:r>
      <w:r>
        <w:rPr>
          <w:vertAlign w:val="superscript"/>
        </w:rPr>
        <w:t>2</w:t>
      </w:r>
      <w:r>
        <w:t xml:space="preserve">), the activation number </w:t>
      </w:r>
      <w:r>
        <w:rPr>
          <w:i/>
        </w:rPr>
        <w:t>Ar</w:t>
      </w:r>
      <w:r>
        <w:t xml:space="preserve"> = </w:t>
      </w:r>
      <w:r>
        <w:rPr>
          <w:i/>
        </w:rPr>
        <w:t>E</w:t>
      </w:r>
      <w:r>
        <w:rPr>
          <w:vertAlign w:val="subscript"/>
        </w:rPr>
        <w:t>2</w:t>
      </w:r>
      <w:r>
        <w:t>/(RT</w:t>
      </w:r>
      <w:r>
        <w:rPr>
          <w:vertAlign w:val="subscript"/>
        </w:rPr>
        <w:t>∞</w:t>
      </w:r>
      <w:r>
        <w:t xml:space="preserve">) and the release number </w:t>
      </w:r>
      <w:r>
        <w:rPr>
          <w:i/>
        </w:rPr>
        <w:t>Λ</w:t>
      </w:r>
      <w:r>
        <w:t xml:space="preserve"> = </w:t>
      </w:r>
      <w:r>
        <w:rPr>
          <w:i/>
        </w:rPr>
        <w:t>k</w:t>
      </w:r>
      <w:r>
        <w:rPr>
          <w:vertAlign w:val="subscript"/>
        </w:rPr>
        <w:t>2</w:t>
      </w:r>
      <w:r>
        <w:t>/</w:t>
      </w:r>
      <w:r>
        <w:rPr>
          <w:i/>
        </w:rPr>
        <w:t>k</w:t>
      </w:r>
      <w:r>
        <w:rPr>
          <w:vertAlign w:val="subscript"/>
        </w:rPr>
        <w:t>r</w:t>
      </w:r>
      <w:r>
        <w:rPr>
          <w:vertAlign w:val="subscript"/>
        </w:rPr>
        <w:t>e</w:t>
      </w:r>
      <w:r>
        <w:rPr>
          <w:vertAlign w:val="subscript"/>
        </w:rPr>
        <w:t>l</w:t>
      </w:r>
      <w:r>
        <w:t>. The combination that controls thermal feedback is</w:t>
      </w:r>
    </w:p>
    <w:p>
      <w:pPr>
        <w:keepLines/>
        <w:tabs>
          <w:tab w:pos="4680" w:val="center"/>
          <w:tab w:pos="9360" w:val="right"/>
        </w:tabs>
        <w:spacing w:before="120" w:after="120"/>
      </w:pPr>
      <w:r>
        <w:tab/>
      </w:r>
      <m:oMath>
        <m:r>
          <m:rPr>
            <m:sty m:val="i"/>
          </m:rPr>
          <w:rPr>
            <w:rFonts w:ascii="Cambria Math" w:hAnsi="Cambria Math"/>
            <w:i/>
          </w:rPr>
          <m:t xml:space="preserve">Π</m:t>
        </m:r>
        <m:r>
          <m:rPr>
            <m:nor/>
          </m:rPr>
          <w:rPr>
            <w:rFonts w:ascii="Cambria Math" w:hAnsi="Cambria Math"/>
            <w:i w:val="0"/>
          </w:rPr>
          <m:t xml:space="preserve"> = </m:t>
        </m:r>
        <m:r>
          <m:rPr>
            <m:sty m:val="i"/>
          </m:rPr>
          <w:rPr>
            <w:rFonts w:ascii="Cambria Math" w:hAnsi="Cambria Math"/>
            <w:i/>
          </w:rPr>
          <m:t xml:space="preserve">ψ</m:t>
        </m:r>
        <m:r>
          <m:rPr>
            <m:sty m:val="i"/>
          </m:rPr>
          <w:rPr>
            <w:rFonts w:ascii="Cambria Math" w:hAnsi="Cambria Math"/>
            <w:i/>
          </w:rPr>
          <m:t xml:space="preserve">Θ</m:t>
        </m:r>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ΔT</m:t>
                </m:r>
              </m:e>
              <m:sub>
                <m:r>
                  <m:rPr>
                    <m:nor/>
                  </m:rPr>
                  <w:rPr>
                    <w:rFonts w:ascii="Cambria Math" w:hAnsi="Cambria Math"/>
                    <w:i w:val="0"/>
                  </w:rPr>
                  <m:t xml:space="preserve">ad</m:t>
                </m:r>
              </m:sub>
            </m:sSub>
            <m:sSub>
              <m:sSubPr>
                <m:ctrlPr>
                  <w:rPr>
                    <w:rFonts w:ascii="Cambria Math" w:hAnsi="Cambria Math"/>
                    <w:i/>
                  </w:rPr>
                </m:ctrlPr>
              </m:sSubPr>
              <m:e>
                <m:r>
                  <m:rPr>
                    <m:sty m:val="i"/>
                  </m:rPr>
                  <w:rPr>
                    <w:rFonts w:ascii="Cambria Math" w:hAnsi="Cambria Math"/>
                    <w:i/>
                  </w:rPr>
                  <m:t xml:space="preserve">E</m:t>
                </m:r>
              </m:e>
              <m:sub>
                <m:r>
                  <m:rPr>
                    <m:nor/>
                  </m:rPr>
                  <w:rPr>
                    <w:rFonts w:ascii="Cambria Math" w:hAnsi="Cambria Math"/>
                    <w:i w:val="0"/>
                  </w:rPr>
                  <m:t xml:space="preserve">2</m:t>
                </m:r>
              </m:sub>
            </m:sSub>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th</m:t>
                </m:r>
              </m:sub>
            </m:sSub>
            <m:sSub>
              <m:sSubPr>
                <m:ctrlPr>
                  <w:rPr>
                    <w:rFonts w:ascii="Cambria Math" w:hAnsi="Cambria Math"/>
                    <w:i/>
                  </w:rPr>
                </m:ctrlPr>
              </m:sSubPr>
              <m:e>
                <m:r>
                  <m:rPr>
                    <m:sty m:val="i"/>
                  </m:rPr>
                  <w:rPr>
                    <w:rFonts w:ascii="Cambria Math" w:hAnsi="Cambria Math"/>
                    <w:i/>
                  </w:rPr>
                  <m:t xml:space="preserve">k</m:t>
                </m:r>
              </m:e>
              <m:sub>
                <m:r>
                  <m:rPr>
                    <m:nor/>
                  </m:rPr>
                  <w:rPr>
                    <w:rFonts w:ascii="Cambria Math" w:hAnsi="Cambria Math"/>
                    <w:i w:val="0"/>
                  </w:rPr>
                  <m:t xml:space="preserve">2</m:t>
                </m:r>
              </m:sub>
            </m:sSub>
          </m:num>
          <m:den>
            <m:r>
              <m:rPr>
                <m:sty m:val="i"/>
              </m:rPr>
              <w:rPr>
                <w:rFonts w:ascii="Cambria Math" w:hAnsi="Cambria Math"/>
                <w:i/>
              </w:rPr>
              <m:t xml:space="preserve">R</m:t>
            </m:r>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m:t>
                    </m:r>
                  </m:sub>
                </m:sSub>
              </m:e>
              <m:sup>
                <m:r>
                  <m:rPr>
                    <m:nor/>
                  </m:rPr>
                  <w:rPr>
                    <w:rFonts w:ascii="Cambria Math" w:hAnsi="Cambria Math"/>
                    <w:i w:val="0"/>
                  </w:rPr>
                  <m:t xml:space="preserve">2</m:t>
                </m:r>
              </m:sup>
            </m:sSup>
          </m:den>
        </m:f>
        <m:r>
          <m:rPr>
            <m:nor/>
          </m:rPr>
          <w:rPr>
            <w:rFonts w:ascii="Cambria Math" w:hAnsi="Cambria Math"/>
            <w:i w:val="0"/>
          </w:rPr>
          <m:t xml:space="preserve">.</m:t>
        </m:r>
      </m:oMath>
      <w:r>
        <w:tab/>
        <w:t xml:space="preserve">(4)</w:t>
      </w:r>
    </w:p>
    <w:p>
      <w:pPr>
        <w:keepNext w:val="0"/>
        <w:jc w:val="both"/>
      </w:pPr>
      <w:r>
        <w:t xml:space="preserve">The </w:t>
      </w:r>
      <w:r>
        <w:rPr>
          <w:i/>
        </w:rPr>
        <w:t>exponential comparison model</w:t>
      </w:r>
      <w:r>
        <w:t xml:space="preserve"> used in Sections 3.4 and 3.5 replaces the Arrhenius dependence of both rate constants by the common Frank-Kamenetskii (FK) form </w:t>
      </w:r>
      <w:r>
        <w:rPr>
          <w:i/>
        </w:rPr>
        <w:t>k</w:t>
      </w:r>
      <w:r>
        <w:rPr>
          <w:i/>
          <w:vertAlign w:val="subscript"/>
        </w:rPr>
        <w:t>j</w:t>
      </w:r>
      <w:r>
        <w:t>(</w:t>
      </w:r>
      <w:r>
        <w:rPr>
          <w:i/>
        </w:rPr>
        <w:t>T</w:t>
      </w:r>
      <w:r>
        <w:t xml:space="preserve">) = </w:t>
      </w:r>
      <w:r>
        <w:rPr>
          <w:i/>
        </w:rPr>
        <w:t>k</w:t>
      </w:r>
      <w:r>
        <w:rPr>
          <w:i/>
          <w:vertAlign w:val="subscript"/>
        </w:rPr>
        <w:t>j</w:t>
      </w:r>
      <w:r>
        <w:t>(</w:t>
      </w:r>
      <w:r>
        <w:rPr>
          <w:i/>
        </w:rPr>
        <w:t>T</w:t>
      </w:r>
      <w:r>
        <w:rPr>
          <w:vertAlign w:val="subscript"/>
        </w:rPr>
        <w:t>∞</w:t>
      </w:r>
      <w:r>
        <w:t>) exp(</w:t>
      </w:r>
      <w:r>
        <w:rPr>
          <w:i/>
        </w:rPr>
        <w:t>ψθ</w:t>
      </w:r>
      <w:r>
        <w:t xml:space="preserve">), </w:t>
      </w:r>
      <w:r>
        <w:rPr>
          <w:i/>
        </w:rPr>
        <w:t>θ</w:t>
      </w:r>
      <w:r>
        <w:t xml:space="preserve"> = (</w:t>
      </w:r>
      <w:r>
        <w:rPr>
          <w:i/>
        </w:rPr>
        <w:t>T</w:t>
      </w:r>
      <w:r>
        <w:t xml:space="preserve"> − </w:t>
      </w:r>
      <w:r>
        <w:rPr>
          <w:i/>
        </w:rPr>
        <w:t>T</w:t>
      </w:r>
      <w:r>
        <w:rPr>
          <w:vertAlign w:val="subscript"/>
        </w:rPr>
        <w:t>∞</w:t>
      </w:r>
      <w:r>
        <w:t>)/Δ</w:t>
      </w:r>
      <w:r>
        <w:rPr>
          <w:i/>
        </w:rPr>
        <w:t>T</w:t>
      </w:r>
      <w:r>
        <w:rPr>
          <w:vertAlign w:val="subscript"/>
        </w:rPr>
        <w:t>a</w:t>
      </w:r>
      <w:r>
        <w:rPr>
          <w:vertAlign w:val="subscript"/>
        </w:rPr>
        <w:t>d</w:t>
      </w:r>
      <w:r>
        <w:t xml:space="preserve">, and treats </w:t>
      </w:r>
      <w:r>
        <w:rPr>
          <w:i/>
        </w:rPr>
        <w:t>ε</w:t>
      </w:r>
      <w:r>
        <w:t xml:space="preserve"> as a constant. This is exact when the activation energies are equal and is a good description of the rate near the fold when the background term is negligible there: the fold occurs at conversions of order 0.4, where the autocatalytic term (</w:t>
      </w:r>
      <w:r>
        <w:rPr>
          <w:i/>
        </w:rPr>
        <w:t>α</w:t>
      </w:r>
      <w:r>
        <w:t xml:space="preserve"> ≈ 0.4) exceeds the background term (</w:t>
      </w:r>
      <w:r>
        <w:rPr>
          <w:i/>
        </w:rPr>
        <w:t>ε</w:t>
      </w:r>
      <w:r>
        <w:t xml:space="preserve"> = 3 × 10</w:t>
      </w:r>
      <w:r>
        <w:rPr>
          <w:vertAlign w:val="superscript"/>
        </w:rPr>
        <w:t>−</w:t>
      </w:r>
      <w:r>
        <w:rPr>
          <w:vertAlign w:val="superscript"/>
        </w:rPr>
        <w:t>3</w:t>
      </w:r>
      <w:r>
        <w:t xml:space="preserve">) by two orders of magnitude, so the different activation energy of </w:t>
      </w:r>
      <w:r>
        <w:rPr>
          <w:i/>
        </w:rPr>
        <w:t>k</w:t>
      </w:r>
      <w:r>
        <w:rPr>
          <w:vertAlign w:val="subscript"/>
        </w:rPr>
        <w:t>1</w:t>
      </w:r>
      <w:r>
        <w:t xml:space="preserve"> (50 against 65 kJ mol</w:t>
      </w:r>
      <w:r>
        <w:rPr>
          <w:vertAlign w:val="superscript"/>
        </w:rPr>
        <w:t>−</w:t>
      </w:r>
      <w:r>
        <w:rPr>
          <w:vertAlign w:val="superscript"/>
        </w:rPr>
        <w:t>1</w:t>
      </w:r>
      <w:r>
        <w:t xml:space="preserve">) matters little. The </w:t>
      </w:r>
      <w:r>
        <w:rPr>
          <w:i/>
        </w:rPr>
        <w:t>Arrhenius simulations</w:t>
      </w:r>
      <w:r>
        <w:t xml:space="preserve"> of Section 3.4 (Table 6) do not use this simplification: both </w:t>
      </w:r>
      <w:r>
        <w:rPr>
          <w:i/>
        </w:rPr>
        <w:t>k</w:t>
      </w:r>
      <w:r>
        <w:rPr>
          <w:vertAlign w:val="subscript"/>
        </w:rPr>
        <w:t>1</w:t>
      </w:r>
      <w:r>
        <w:t>(</w:t>
      </w:r>
      <w:r>
        <w:rPr>
          <w:i/>
        </w:rPr>
        <w:t>T</w:t>
      </w:r>
      <w:r>
        <w:t xml:space="preserve">) and </w:t>
      </w:r>
      <w:r>
        <w:rPr>
          <w:i/>
        </w:rPr>
        <w:t>k</w:t>
      </w:r>
      <w:r>
        <w:rPr>
          <w:vertAlign w:val="subscript"/>
        </w:rPr>
        <w:t>2</w:t>
      </w:r>
      <w:r>
        <w:t>(</w:t>
      </w:r>
      <w:r>
        <w:rPr>
          <w:i/>
        </w:rPr>
        <w:t>T</w:t>
      </w:r>
      <w:r>
        <w:t xml:space="preserve">) follow their own Arrhenius law and </w:t>
      </w:r>
      <w:r>
        <w:rPr>
          <w:i/>
        </w:rPr>
        <w:t>ε</w:t>
      </w:r>
      <w:r>
        <w:t xml:space="preserve"> = </w:t>
      </w:r>
      <w:r>
        <w:rPr>
          <w:i/>
        </w:rPr>
        <w:t>k</w:t>
      </w:r>
      <w:r>
        <w:rPr>
          <w:vertAlign w:val="subscript"/>
        </w:rPr>
        <w:t>1</w:t>
      </w:r>
      <w:r>
        <w:t>/</w:t>
      </w:r>
      <w:r>
        <w:rPr>
          <w:i/>
        </w:rPr>
        <w:t>k</w:t>
      </w:r>
      <w:r>
        <w:rPr>
          <w:vertAlign w:val="subscript"/>
        </w:rPr>
        <w:t>2</w:t>
      </w:r>
      <w:r>
        <w:t xml:space="preserve"> is evaluated at </w:t>
      </w:r>
      <w:r>
        <w:rPr>
          <w:i/>
        </w:rPr>
        <w:t>T</w:t>
      </w:r>
      <w:r>
        <w:rPr>
          <w:vertAlign w:val="subscript"/>
        </w:rPr>
        <w:t>∞</w:t>
      </w:r>
      <w:r>
        <w:t>.</w:t>
      </w:r>
    </w:p>
    <w:p>
      <w:pPr>
        <w:pStyle w:val="Heading2"/>
      </w:pPr>
      <w:r>
        <w:rPr>
          <w:rFonts w:ascii="Times New Roman" w:hAnsi="Times New Roman"/>
        </w:rPr>
        <w:t>2.3 Computation and use of AI assistance</w:t>
      </w:r>
    </w:p>
    <w:p>
      <w:pPr>
        <w:keepNext w:val="0"/>
        <w:jc w:val="both"/>
      </w:pPr>
      <w:r>
        <w:t>All numerical results are produced by the released scripts (run_all.py writes results.json; every number in the text is read from it, none is typed by hand), with the reference integrator, solver settings and protocols given in Appendix A. The model code, the closed-form module, the tests, the figure scripts and a first draft of the text were produced with the assistance of Claude Sonnet 5.5 (model identifier claude-sonnet-5-5; Anthropic), used through the Claude Code environment of the Claude desktop application on the author's computer (the model identifier is the one reported by that environment), because the author is an independent researcher without a computational group. The assistant wrote and ran code, drafted derivations and checked algebra; closed forms were verified against independent numerical integration by the test suite (code/test_theory.py) and by the comparisons reported in Section 3, and every journal reference was resolved through Crossref. The assistant did not enter or alter any numerical result by hand. The author is responsible for the content.</w:t>
      </w:r>
    </w:p>
    <w:p>
      <w:pPr>
        <w:pStyle w:val="Heading1"/>
      </w:pPr>
      <w:r>
        <w:rPr>
          <w:rFonts w:ascii="Times New Roman" w:hAnsi="Times New Roman"/>
        </w:rPr>
        <w:t>3 Results</w:t>
      </w:r>
    </w:p>
    <w:p>
      <w:pPr>
        <w:pStyle w:val="Heading2"/>
      </w:pPr>
      <w:r>
        <w:rPr>
          <w:rFonts w:ascii="Times New Roman" w:hAnsi="Times New Roman"/>
        </w:rPr>
        <w:t>3.1 Proposition 1: the gated cure runs on the clock of integrated availability</w:t>
      </w:r>
    </w:p>
    <w:p>
      <w:pPr>
        <w:keepNext w:val="0"/>
        <w:jc w:val="both"/>
      </w:pPr>
      <w:r>
        <w:rPr>
          <w:b/>
        </w:rPr>
        <w:t>Proposition 1.</w:t>
      </w:r>
      <w:r>
        <w:t xml:space="preserve"> At constant temperature, with </w:t>
      </w:r>
      <w:r>
        <w:rPr>
          <w:i/>
        </w:rPr>
        <w:t>α</w:t>
      </w:r>
      <w:r>
        <w:t xml:space="preserve">(0) = 0 and </w:t>
      </w:r>
      <w:r>
        <w:rPr>
          <w:i/>
        </w:rPr>
        <w:t>C</w:t>
      </w:r>
      <w:r>
        <w:rPr>
          <w:i/>
          <w:vertAlign w:val="subscript"/>
        </w:rPr>
        <w:t>i</w:t>
      </w:r>
      <w:r>
        <w:t xml:space="preserve">(0) = 0, let </w:t>
      </w:r>
      <w:r>
        <w:rPr>
          <w:i/>
        </w:rPr>
        <w:t>F</w:t>
      </w:r>
      <w:r>
        <w:t>(</w:t>
      </w:r>
      <w:r>
        <w:rPr>
          <w:i/>
        </w:rPr>
        <w:t>α</w:t>
      </w:r>
      <w:r>
        <w:t>) = (</w:t>
      </w:r>
      <w:r>
        <w:rPr>
          <w:i/>
        </w:rPr>
        <w:t>k</w:t>
      </w:r>
      <w:r>
        <w:rPr>
          <w:vertAlign w:val="subscript"/>
        </w:rPr>
        <w:t>1</w:t>
      </w:r>
      <w:r>
        <w:t xml:space="preserve"> + </w:t>
      </w:r>
      <w:r>
        <w:rPr>
          <w:i/>
        </w:rPr>
        <w:t>k</w:t>
      </w:r>
      <w:r>
        <w:rPr>
          <w:vertAlign w:val="subscript"/>
        </w:rPr>
        <w:t>2</w:t>
      </w:r>
      <w:r>
        <w:rPr>
          <w:i/>
        </w:rPr>
        <w:t>α</w:t>
      </w:r>
      <w:r>
        <w:t xml:space="preserve">)(1 − </w:t>
      </w:r>
      <w:r>
        <w:rPr>
          <w:i/>
        </w:rPr>
        <w:t>α</w:t>
      </w:r>
      <w:r>
        <w:t>)</w:t>
      </w:r>
      <w:r>
        <w:rPr>
          <w:vertAlign w:val="superscript"/>
        </w:rPr>
        <w:t>n</w:t>
      </w:r>
      <w:r>
        <w:t>. Then the gated conversion obeys</w:t>
      </w:r>
    </w:p>
    <w:p>
      <w:pPr>
        <w:keepLines/>
        <w:tabs>
          <w:tab w:pos="4680" w:val="center"/>
          <w:tab w:pos="9360" w:val="right"/>
        </w:tabs>
        <w:spacing w:before="120" w:after="120"/>
      </w:pPr>
      <w:r>
        <w:tab/>
      </w:r>
      <m:oMath>
        <m:sSubSup>
          <m:sSubSupPr>
            <m:ctrlPr>
              <w:rPr>
                <w:rFonts w:ascii="Cambria Math" w:hAnsi="Cambria Math"/>
                <w:i/>
              </w:rPr>
            </m:ctrlPr>
          </m:sSubSupPr>
          <m:e>
            <m:r>
              <m:rPr>
                <m:nor/>
              </m:rPr>
              <w:rPr>
                <w:rFonts w:ascii="Cambria Math" w:hAnsi="Cambria Math"/>
                <w:i w:val="0"/>
              </w:rPr>
              <m:t xml:space="preserve">∫</m:t>
            </m:r>
          </m:e>
          <m:sub>
            <m:r>
              <m:rPr>
                <m:nor/>
              </m:rPr>
              <w:rPr>
                <w:rFonts w:ascii="Cambria Math" w:hAnsi="Cambria Math"/>
                <w:i w:val="0"/>
              </w:rPr>
              <m:t xml:space="preserve">0</m:t>
            </m:r>
          </m:sub>
          <m:sup>
            <m:r>
              <m:rPr>
                <m:sty m:val="i"/>
              </m:rPr>
              <w:rPr>
                <w:rFonts w:ascii="Cambria Math" w:hAnsi="Cambria Math"/>
                <w:i/>
              </w:rPr>
              <m:t xml:space="preserve">α</m:t>
            </m:r>
          </m:sup>
        </m:sSubSup>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x</m:t>
            </m:r>
          </m:num>
          <m:den>
            <m:r>
              <m:rPr>
                <m:sty m:val="i"/>
              </m:rPr>
              <w:rPr>
                <w:rFonts w:ascii="Cambria Math" w:hAnsi="Cambria Math"/>
                <w:i/>
              </w:rPr>
              <m:t xml:space="preserve">F</m:t>
            </m:r>
            <m:d>
              <m:dPr>
                <m:begChr m:val="("/>
                <m:endChr m:val=")"/>
                <m:ctrlPr>
                  <w:rPr>
                    <w:rFonts w:ascii="Cambria Math" w:hAnsi="Cambria Math"/>
                    <w:i/>
                  </w:rPr>
                </m:ctrlPr>
              </m:dPr>
              <m:e>
                <m:r>
                  <m:rPr>
                    <m:sty m:val="i"/>
                  </m:rPr>
                  <w:rPr>
                    <w:rFonts w:ascii="Cambria Math" w:hAnsi="Cambria Math"/>
                    <w:i/>
                  </w:rPr>
                  <m:t xml:space="preserve">x</m:t>
                </m:r>
              </m:e>
            </m:d>
          </m:den>
        </m:f>
        <m:r>
          <m:rPr>
            <m:nor/>
          </m:rPr>
          <w:rPr>
            <w:rFonts w:ascii="Cambria Math" w:hAnsi="Cambria Math"/>
            <w:i w:val="0"/>
          </w:rPr>
          <m:t xml:space="preserve"> = </m:t>
        </m:r>
        <m:r>
          <m:rPr>
            <m:sty m:val="i"/>
          </m:rPr>
          <w:rPr>
            <w:rFonts w:ascii="Cambria Math" w:hAnsi="Cambria Math"/>
            <w:i/>
          </w:rPr>
          <m:t xml:space="preserve">s</m:t>
        </m:r>
        <m:d>
          <m:dPr>
            <m:begChr m:val="("/>
            <m:endChr m:val=")"/>
            <m:ctrlPr>
              <w:rPr>
                <w:rFonts w:ascii="Cambria Math" w:hAnsi="Cambria Math"/>
                <w:i/>
              </w:rPr>
            </m:ctrlPr>
          </m:dPr>
          <m:e>
            <m:r>
              <m:rPr>
                <m:sty m:val="i"/>
              </m:rPr>
              <w:rPr>
                <w:rFonts w:ascii="Cambria Math" w:hAnsi="Cambria Math"/>
                <w:i/>
              </w:rPr>
              <m:t xml:space="preserve">t</m:t>
            </m:r>
          </m:e>
        </m:d>
        <m:r>
          <m:rPr>
            <m:nor/>
          </m:rPr>
          <w:rPr>
            <w:rFonts w:ascii="Cambria Math" w:hAnsi="Cambria Math"/>
            <w:i w:val="0"/>
          </w:rPr>
          <m:t xml:space="preserve">,   </m:t>
        </m:r>
        <m:r>
          <m:rPr>
            <m:sty m:val="i"/>
          </m:rPr>
          <w:rPr>
            <w:rFonts w:ascii="Cambria Math" w:hAnsi="Cambria Math"/>
            <w:i/>
          </w:rPr>
          <m:t xml:space="preserve">s</m:t>
        </m:r>
        <m:d>
          <m:dPr>
            <m:begChr m:val="("/>
            <m:endChr m:val=")"/>
            <m:ctrlPr>
              <w:rPr>
                <w:rFonts w:ascii="Cambria Math" w:hAnsi="Cambria Math"/>
                <w:i/>
              </w:rPr>
            </m:ctrlPr>
          </m:dPr>
          <m:e>
            <m:r>
              <m:rPr>
                <m:sty m:val="i"/>
              </m:rPr>
              <w:rPr>
                <w:rFonts w:ascii="Cambria Math" w:hAnsi="Cambria Math"/>
                <w:i/>
              </w:rPr>
              <m:t xml:space="preserve">t</m:t>
            </m:r>
          </m:e>
        </m:d>
        <m:r>
          <m:rPr>
            <m:nor/>
          </m:rPr>
          <w:rPr>
            <w:rFonts w:ascii="Cambria Math" w:hAnsi="Cambria Math"/>
            <w:i w:val="0"/>
          </w:rPr>
          <m:t xml:space="preserve"> = </m:t>
        </m:r>
        <m:sSubSup>
          <m:sSubSupPr>
            <m:ctrlPr>
              <w:rPr>
                <w:rFonts w:ascii="Cambria Math" w:hAnsi="Cambria Math"/>
                <w:i/>
              </w:rPr>
            </m:ctrlPr>
          </m:sSubSupPr>
          <m:e>
            <m:r>
              <m:rPr>
                <m:nor/>
              </m:rPr>
              <w:rPr>
                <w:rFonts w:ascii="Cambria Math" w:hAnsi="Cambria Math"/>
                <w:i w:val="0"/>
              </w:rPr>
              <m:t xml:space="preserve">∫</m:t>
            </m:r>
          </m:e>
          <m:sub>
            <m:r>
              <m:rPr>
                <m:nor/>
              </m:rPr>
              <w:rPr>
                <w:rFonts w:ascii="Cambria Math" w:hAnsi="Cambria Math"/>
                <w:i w:val="0"/>
              </w:rPr>
              <m:t xml:space="preserve">0</m:t>
            </m:r>
          </m:sub>
          <m:sup>
            <m:r>
              <m:rPr>
                <m:sty m:val="i"/>
              </m:rPr>
              <w:rPr>
                <w:rFonts w:ascii="Cambria Math" w:hAnsi="Cambria Math"/>
                <w:i/>
              </w:rPr>
              <m:t xml:space="preserve">t</m:t>
            </m:r>
          </m:sup>
        </m:sSubSup>
        <m:d>
          <m:dPr>
            <m:begChr m:val="⟨"/>
            <m:endChr m:val="⟩"/>
            <m:ctrlPr>
              <w:rPr>
                <w:rFonts w:ascii="Cambria Math" w:hAnsi="Cambria Math"/>
                <w:i/>
              </w:rPr>
            </m:ctrlPr>
          </m:dPr>
          <m:e>
            <m:r>
              <m:rPr>
                <m:sty m:val="i"/>
              </m:rPr>
              <w:rPr>
                <w:rFonts w:ascii="Cambria Math" w:hAnsi="Cambria Math"/>
                <w:i/>
              </w:rPr>
              <m:t xml:space="preserve">C</m:t>
            </m:r>
          </m:e>
        </m:d>
        <m:d>
          <m:dPr>
            <m:begChr m:val="("/>
            <m:endChr m:val=")"/>
            <m:ctrlPr>
              <w:rPr>
                <w:rFonts w:ascii="Cambria Math" w:hAnsi="Cambria Math"/>
                <w:i/>
              </w:rPr>
            </m:ctrlPr>
          </m:dPr>
          <m:e>
            <m:r>
              <m:rPr>
                <m:sty m:val="i"/>
              </m:rPr>
              <w:rPr>
                <w:rFonts w:ascii="Cambria Math" w:hAnsi="Cambria Math"/>
                <w:i/>
              </w:rPr>
              <m:t xml:space="preserve">t′</m:t>
            </m:r>
          </m:e>
        </m:d>
        <m:r>
          <m:rPr>
            <m:nor/>
          </m:rPr>
          <w:rPr>
            <w:rFonts w:ascii="Cambria Math" w:hAnsi="Cambria Math"/>
            <w:i w:val="0"/>
          </w:rPr>
          <m:t xml:space="preserve">d</m:t>
        </m:r>
        <m:r>
          <m:rPr>
            <m:sty m:val="i"/>
          </m:rPr>
          <w:rPr>
            <w:rFonts w:ascii="Cambria Math" w:hAnsi="Cambria Math"/>
            <w:i/>
          </w:rPr>
          <m:t xml:space="preserve">t′</m:t>
        </m:r>
        <m:r>
          <m:rPr>
            <m:nor/>
          </m:rPr>
          <w:rPr>
            <w:rFonts w:ascii="Cambria Math" w:hAnsi="Cambria Math"/>
            <w:i w:val="0"/>
          </w:rPr>
          <m:t xml:space="preserve">.</m:t>
        </m:r>
      </m:oMath>
      <w:r>
        <w:tab/>
        <w:t xml:space="preserve">(5)</w:t>
      </w:r>
    </w:p>
    <w:p>
      <w:pPr>
        <w:keepNext w:val="0"/>
        <w:jc w:val="both"/>
      </w:pPr>
      <w:r>
        <w:rPr>
          <w:i/>
        </w:rPr>
        <w:t>Proof.</w:t>
      </w:r>
      <w:r>
        <w:t xml:space="preserve"> With </w:t>
      </w:r>
      <w:r>
        <w:rPr>
          <w:i/>
        </w:rPr>
        <w:t>T</w:t>
      </w:r>
      <w:r>
        <w:t xml:space="preserve"> constant, </w:t>
      </w:r>
      <w:r>
        <w:rPr>
          <w:i/>
        </w:rPr>
        <w:t>dα</w:t>
      </w:r>
      <w:r>
        <w:t>/dt = ⟨</w:t>
      </w:r>
      <w:r>
        <w:rPr>
          <w:i/>
        </w:rPr>
        <w:t>C</w:t>
      </w:r>
      <w:r>
        <w:t>⟩(</w:t>
      </w:r>
      <w:r>
        <w:rPr>
          <w:i/>
        </w:rPr>
        <w:t>t</w:t>
      </w:r>
      <w:r>
        <w:t>)</w:t>
      </w:r>
      <w:r>
        <w:rPr>
          <w:i/>
        </w:rPr>
        <w:t>F</w:t>
      </w:r>
      <w:r>
        <w:t>(</w:t>
      </w:r>
      <w:r>
        <w:rPr>
          <w:i/>
        </w:rPr>
        <w:t>α</w:t>
      </w:r>
      <w:r>
        <w:t xml:space="preserve">) is separable: </w:t>
      </w:r>
      <w:r>
        <w:rPr>
          <w:i/>
        </w:rPr>
        <w:t>dα</w:t>
      </w:r>
      <w:r>
        <w:t>/</w:t>
      </w:r>
      <w:r>
        <w:rPr>
          <w:i/>
        </w:rPr>
        <w:t>F</w:t>
      </w:r>
      <w:r>
        <w:t>(</w:t>
      </w:r>
      <w:r>
        <w:rPr>
          <w:i/>
        </w:rPr>
        <w:t>α</w:t>
      </w:r>
      <w:r>
        <w:t>) = ⟨</w:t>
      </w:r>
      <w:r>
        <w:rPr>
          <w:i/>
        </w:rPr>
        <w:t>C</w:t>
      </w:r>
      <w:r>
        <w:t xml:space="preserve">⟩dt. Integration from the initial state gives the identity. ∎ This is the generalized-time identity [17] with the integrated availability as the clock. The left side is the isothermal time </w:t>
      </w:r>
      <w:r>
        <w:rPr>
          <w:i/>
        </w:rPr>
        <w:t>t</w:t>
      </w:r>
      <w:r>
        <w:rPr>
          <w:vertAlign w:val="subscript"/>
        </w:rPr>
        <w:t>i</w:t>
      </w:r>
      <w:r>
        <w:rPr>
          <w:vertAlign w:val="subscript"/>
        </w:rPr>
        <w:t>s</w:t>
      </w:r>
      <w:r>
        <w:rPr>
          <w:vertAlign w:val="subscript"/>
        </w:rPr>
        <w:t>o</w:t>
      </w:r>
      <w:r>
        <w:t>(</w:t>
      </w:r>
      <w:r>
        <w:rPr>
          <w:i/>
        </w:rPr>
        <w:t>α</w:t>
      </w:r>
      <w:r>
        <w:t xml:space="preserve">) of the ungated resin, so the gated time to reach </w:t>
      </w:r>
      <w:r>
        <w:rPr>
          <w:i/>
        </w:rPr>
        <w:t>α</w:t>
      </w:r>
      <w:r>
        <w:t xml:space="preserve"> is the time at which </w:t>
      </w:r>
      <w:r>
        <w:rPr>
          <w:i/>
        </w:rPr>
        <w:t>s</w:t>
      </w:r>
      <w:r>
        <w:t>(</w:t>
      </w:r>
      <w:r>
        <w:rPr>
          <w:i/>
        </w:rPr>
        <w:t>t</w:t>
      </w:r>
      <w:r>
        <w:t xml:space="preserve">) = </w:t>
      </w:r>
      <w:r>
        <w:rPr>
          <w:i/>
        </w:rPr>
        <w:t>t</w:t>
      </w:r>
      <w:r>
        <w:rPr>
          <w:vertAlign w:val="subscript"/>
        </w:rPr>
        <w:t>i</w:t>
      </w:r>
      <w:r>
        <w:rPr>
          <w:vertAlign w:val="subscript"/>
        </w:rPr>
        <w:t>s</w:t>
      </w:r>
      <w:r>
        <w:rPr>
          <w:vertAlign w:val="subscript"/>
        </w:rPr>
        <w:t>o</w:t>
      </w:r>
      <w:r>
        <w:t>(</w:t>
      </w:r>
      <w:r>
        <w:rPr>
          <w:i/>
        </w:rPr>
        <w:t>α</w:t>
      </w:r>
      <w:r>
        <w:t>). For a population that is fully open at the operating temperature, ⟨</w:t>
      </w:r>
      <w:r>
        <w:rPr>
          <w:i/>
        </w:rPr>
        <w:t>C</w:t>
      </w:r>
      <w:r>
        <w:t>⟩ = 1 − exp(−</w:t>
      </w:r>
      <w:r>
        <w:rPr>
          <w:i/>
        </w:rPr>
        <w:t>t</w:t>
      </w:r>
      <w:r>
        <w:t>/</w:t>
      </w:r>
      <w:r>
        <w:rPr>
          <w:i/>
        </w:rPr>
        <w:t>τ</w:t>
      </w:r>
      <w:r>
        <w:rPr>
          <w:vertAlign w:val="subscript"/>
        </w:rPr>
        <w:t>r</w:t>
      </w:r>
      <w:r>
        <w:rPr>
          <w:vertAlign w:val="subscript"/>
        </w:rPr>
        <w:t>e</w:t>
      </w:r>
      <w:r>
        <w:rPr>
          <w:vertAlign w:val="subscript"/>
        </w:rPr>
        <w:t>l</w:t>
      </w:r>
      <w:r>
        <w:t xml:space="preserve">) with </w:t>
      </w:r>
      <w:r>
        <w:rPr>
          <w:i/>
        </w:rPr>
        <w:t>τ</w:t>
      </w:r>
      <w:r>
        <w:rPr>
          <w:vertAlign w:val="subscript"/>
        </w:rPr>
        <w:t>r</w:t>
      </w:r>
      <w:r>
        <w:rPr>
          <w:vertAlign w:val="subscript"/>
        </w:rPr>
        <w:t>e</w:t>
      </w:r>
      <w:r>
        <w:rPr>
          <w:vertAlign w:val="subscript"/>
        </w:rPr>
        <w:t>l</w:t>
      </w:r>
      <w:r>
        <w:t xml:space="preserve"> = 1/</w:t>
      </w:r>
      <w:r>
        <w:rPr>
          <w:i/>
        </w:rPr>
        <w:t>k</w:t>
      </w:r>
      <w:r>
        <w:rPr>
          <w:vertAlign w:val="subscript"/>
        </w:rPr>
        <w:t>r</w:t>
      </w:r>
      <w:r>
        <w:rPr>
          <w:vertAlign w:val="subscript"/>
        </w:rPr>
        <w:t>e</w:t>
      </w:r>
      <w:r>
        <w:rPr>
          <w:vertAlign w:val="subscript"/>
        </w:rPr>
        <w:t>l</w:t>
      </w:r>
      <w:r>
        <w:t xml:space="preserve">, so </w:t>
      </w:r>
      <w:r>
        <w:rPr>
          <w:i/>
        </w:rPr>
        <w:t>s</w:t>
      </w:r>
      <w:r>
        <w:t>(</w:t>
      </w:r>
      <w:r>
        <w:rPr>
          <w:i/>
        </w:rPr>
        <w:t>t</w:t>
      </w:r>
      <w:r>
        <w:t xml:space="preserve">) = </w:t>
      </w:r>
      <w:r>
        <w:rPr>
          <w:i/>
        </w:rPr>
        <w:t>t</w:t>
      </w:r>
      <w:r>
        <w:t xml:space="preserve"> − </w:t>
      </w:r>
      <w:r>
        <w:rPr>
          <w:i/>
        </w:rPr>
        <w:t>τ</w:t>
      </w:r>
      <w:r>
        <w:rPr>
          <w:vertAlign w:val="subscript"/>
        </w:rPr>
        <w:t>r</w:t>
      </w:r>
      <w:r>
        <w:rPr>
          <w:vertAlign w:val="subscript"/>
        </w:rPr>
        <w:t>e</w:t>
      </w:r>
      <w:r>
        <w:rPr>
          <w:vertAlign w:val="subscript"/>
        </w:rPr>
        <w:t>l</w:t>
      </w:r>
      <w:r>
        <w:t>[1 − exp(−</w:t>
      </w:r>
      <w:r>
        <w:rPr>
          <w:i/>
        </w:rPr>
        <w:t>t</w:t>
      </w:r>
      <w:r>
        <w:t>/</w:t>
      </w:r>
      <w:r>
        <w:rPr>
          <w:i/>
        </w:rPr>
        <w:t>τ</w:t>
      </w:r>
      <w:r>
        <w:rPr>
          <w:vertAlign w:val="subscript"/>
        </w:rPr>
        <w:t>r</w:t>
      </w:r>
      <w:r>
        <w:rPr>
          <w:vertAlign w:val="subscript"/>
        </w:rPr>
        <w:t>e</w:t>
      </w:r>
      <w:r>
        <w:rPr>
          <w:vertAlign w:val="subscript"/>
        </w:rPr>
        <w:t>l</w:t>
      </w:r>
      <w:r>
        <w:t>)] and</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gated</m:t>
            </m:r>
          </m:sub>
        </m:sSub>
        <m:d>
          <m:dPr>
            <m:begChr m:val="("/>
            <m:endChr m:val=")"/>
            <m:ctrlPr>
              <w:rPr>
                <w:rFonts w:ascii="Cambria Math" w:hAnsi="Cambria Math"/>
                <w:i/>
              </w:rPr>
            </m:ctrlPr>
          </m:dPr>
          <m:e>
            <m:r>
              <m:rPr>
                <m:sty m:val="i"/>
              </m:rPr>
              <w:rPr>
                <w:rFonts w:ascii="Cambria Math" w:hAnsi="Cambria Math"/>
                <w:i/>
              </w:rPr>
              <m:t xml:space="preserve">α</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iso</m:t>
            </m:r>
          </m:sub>
        </m:sSub>
        <m:d>
          <m:dPr>
            <m:begChr m:val="("/>
            <m:endChr m:val=")"/>
            <m:ctrlPr>
              <w:rPr>
                <w:rFonts w:ascii="Cambria Math" w:hAnsi="Cambria Math"/>
                <w:i/>
              </w:rPr>
            </m:ctrlPr>
          </m:dPr>
          <m:e>
            <m:r>
              <m:rPr>
                <m:sty m:val="i"/>
              </m:rPr>
              <w:rPr>
                <w:rFonts w:ascii="Cambria Math" w:hAnsi="Cambria Math"/>
                <w:i/>
              </w:rPr>
              <m:t xml:space="preserve">α</m:t>
            </m:r>
          </m:e>
        </m:d>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rel</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nor/>
              </m:rPr>
              <w:rPr>
                <w:rFonts w:ascii="Cambria Math" w:hAnsi="Cambria Math"/>
                <w:i w:val="0"/>
              </w:rPr>
              <m:t xml:space="preserve">exp</m:t>
            </m:r>
            <m:d>
              <m:dPr>
                <m:begChr m:val="("/>
                <m:endChr m:val=")"/>
                <m:ctrlPr>
                  <w:rPr>
                    <w:rFonts w:ascii="Cambria Math" w:hAnsi="Cambria Math"/>
                    <w:i/>
                  </w:rPr>
                </m:ctrlPr>
              </m:dPr>
              <m:e>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gated</m:t>
                        </m:r>
                      </m:sub>
                    </m:sSub>
                    <m:d>
                      <m:dPr>
                        <m:begChr m:val="("/>
                        <m:endChr m:val=")"/>
                        <m:ctrlPr>
                          <w:rPr>
                            <w:rFonts w:ascii="Cambria Math" w:hAnsi="Cambria Math"/>
                            <w:i/>
                          </w:rPr>
                        </m:ctrlPr>
                      </m:dPr>
                      <m:e>
                        <m:r>
                          <m:rPr>
                            <m:sty m:val="i"/>
                          </m:rPr>
                          <w:rPr>
                            <w:rFonts w:ascii="Cambria Math" w:hAnsi="Cambria Math"/>
                            <w:i/>
                          </w:rPr>
                          <m:t xml:space="preserve">α</m:t>
                        </m:r>
                      </m:e>
                    </m:d>
                  </m:num>
                  <m:den>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rel</m:t>
                        </m:r>
                      </m:sub>
                    </m:sSub>
                  </m:den>
                </m:f>
              </m:e>
            </m:d>
          </m:e>
        </m:d>
        <m:r>
          <m:rPr>
            <m:nor/>
          </m:rPr>
          <w:rPr>
            <w:rFonts w:ascii="Cambria Math" w:hAnsi="Cambria Math"/>
            <w:i w:val="0"/>
          </w:rPr>
          <m:t xml:space="preserve">.</m:t>
        </m:r>
      </m:oMath>
      <w:r>
        <w:tab/>
        <w:t xml:space="preserve">(6)</w:t>
      </w:r>
    </w:p>
    <w:p>
      <w:pPr>
        <w:keepNext w:val="0"/>
        <w:jc w:val="both"/>
      </w:pPr>
      <w:r>
        <w:t xml:space="preserve">The delay is therefore conversion dependent: it lies between 0 and </w:t>
      </w:r>
      <w:r>
        <w:rPr>
          <w:i/>
        </w:rPr>
        <w:t>τ</w:t>
      </w:r>
      <w:r>
        <w:rPr>
          <w:vertAlign w:val="subscript"/>
        </w:rPr>
        <w:t>r</w:t>
      </w:r>
      <w:r>
        <w:rPr>
          <w:vertAlign w:val="subscript"/>
        </w:rPr>
        <w:t>e</w:t>
      </w:r>
      <w:r>
        <w:rPr>
          <w:vertAlign w:val="subscript"/>
        </w:rPr>
        <w:t>l</w:t>
      </w:r>
      <w:r>
        <w:t xml:space="preserve"> and approaches </w:t>
      </w:r>
      <w:r>
        <w:rPr>
          <w:i/>
        </w:rPr>
        <w:t>τ</w:t>
      </w:r>
      <w:r>
        <w:rPr>
          <w:vertAlign w:val="subscript"/>
        </w:rPr>
        <w:t>r</w:t>
      </w:r>
      <w:r>
        <w:rPr>
          <w:vertAlign w:val="subscript"/>
        </w:rPr>
        <w:t>e</w:t>
      </w:r>
      <w:r>
        <w:rPr>
          <w:vertAlign w:val="subscript"/>
        </w:rPr>
        <w:t>l</w:t>
      </w:r>
      <w:r>
        <w:t xml:space="preserve"> only when </w:t>
      </w:r>
      <w:r>
        <w:rPr>
          <w:i/>
        </w:rPr>
        <w:t>t</w:t>
      </w:r>
      <w:r>
        <w:rPr>
          <w:vertAlign w:val="subscript"/>
        </w:rPr>
        <w:t>g</w:t>
      </w:r>
      <w:r>
        <w:rPr>
          <w:vertAlign w:val="subscript"/>
        </w:rPr>
        <w:t>a</w:t>
      </w:r>
      <w:r>
        <w:rPr>
          <w:vertAlign w:val="subscript"/>
        </w:rPr>
        <w:t>t</w:t>
      </w:r>
      <w:r>
        <w:rPr>
          <w:vertAlign w:val="subscript"/>
        </w:rPr>
        <w:t>e</w:t>
      </w:r>
      <w:r>
        <w:rPr>
          <w:vertAlign w:val="subscript"/>
        </w:rPr>
        <w:t>d</w:t>
      </w:r>
      <w:r>
        <w:t xml:space="preserve"> ≫ </w:t>
      </w:r>
      <w:r>
        <w:rPr>
          <w:i/>
        </w:rPr>
        <w:t>τ</w:t>
      </w:r>
      <w:r>
        <w:rPr>
          <w:vertAlign w:val="subscript"/>
        </w:rPr>
        <w:t>r</w:t>
      </w:r>
      <w:r>
        <w:rPr>
          <w:vertAlign w:val="subscript"/>
        </w:rPr>
        <w:t>e</w:t>
      </w:r>
      <w:r>
        <w:rPr>
          <w:vertAlign w:val="subscript"/>
        </w:rPr>
        <w:t>l</w:t>
      </w:r>
      <w:r>
        <w:t xml:space="preserve">. The fractional deficit from </w:t>
      </w:r>
      <w:r>
        <w:rPr>
          <w:i/>
        </w:rPr>
        <w:t>τ</w:t>
      </w:r>
      <w:r>
        <w:rPr>
          <w:vertAlign w:val="subscript"/>
        </w:rPr>
        <w:t>r</w:t>
      </w:r>
      <w:r>
        <w:rPr>
          <w:vertAlign w:val="subscript"/>
        </w:rPr>
        <w:t>e</w:t>
      </w:r>
      <w:r>
        <w:rPr>
          <w:vertAlign w:val="subscript"/>
        </w:rPr>
        <w:t>l</w:t>
      </w:r>
      <w:r>
        <w:t xml:space="preserve"> is below 1 % when </w:t>
      </w:r>
      <w:r>
        <w:rPr>
          <w:i/>
        </w:rPr>
        <w:t>t</w:t>
      </w:r>
      <w:r>
        <w:rPr>
          <w:vertAlign w:val="subscript"/>
        </w:rPr>
        <w:t>g</w:t>
      </w:r>
      <w:r>
        <w:rPr>
          <w:vertAlign w:val="subscript"/>
        </w:rPr>
        <w:t>a</w:t>
      </w:r>
      <w:r>
        <w:rPr>
          <w:vertAlign w:val="subscript"/>
        </w:rPr>
        <w:t>t</w:t>
      </w:r>
      <w:r>
        <w:rPr>
          <w:vertAlign w:val="subscript"/>
        </w:rPr>
        <w:t>e</w:t>
      </w:r>
      <w:r>
        <w:rPr>
          <w:vertAlign w:val="subscript"/>
        </w:rPr>
        <w:t>d</w:t>
      </w:r>
      <w:r>
        <w:t>/</w:t>
      </w:r>
      <w:r>
        <w:rPr>
          <w:i/>
        </w:rPr>
        <w:t>τ</w:t>
      </w:r>
      <w:r>
        <w:rPr>
          <w:vertAlign w:val="subscript"/>
        </w:rPr>
        <w:t>r</w:t>
      </w:r>
      <w:r>
        <w:rPr>
          <w:vertAlign w:val="subscript"/>
        </w:rPr>
        <w:t>e</w:t>
      </w:r>
      <w:r>
        <w:rPr>
          <w:vertAlign w:val="subscript"/>
        </w:rPr>
        <w:t>l</w:t>
      </w:r>
      <w:r>
        <w:t xml:space="preserve"> exceeds ln 100 = 4.605. At 140 °C (</w:t>
      </w:r>
      <w:r>
        <w:rPr>
          <w:i/>
        </w:rPr>
        <w:t>τ</w:t>
      </w:r>
      <w:r>
        <w:rPr>
          <w:vertAlign w:val="subscript"/>
        </w:rPr>
        <w:t>r</w:t>
      </w:r>
      <w:r>
        <w:rPr>
          <w:vertAlign w:val="subscript"/>
        </w:rPr>
        <w:t>e</w:t>
      </w:r>
      <w:r>
        <w:rPr>
          <w:vertAlign w:val="subscript"/>
        </w:rPr>
        <w:t>l</w:t>
      </w:r>
      <w:r>
        <w:t xml:space="preserve"> = 6.02 min) the delay is 2.81 min at </w:t>
      </w:r>
      <w:r>
        <w:rPr>
          <w:i/>
        </w:rPr>
        <w:t>α</w:t>
      </w:r>
      <w:r>
        <w:t xml:space="preserve"> = 0.001 (</w:t>
      </w:r>
      <w:r>
        <w:rPr>
          <w:i/>
        </w:rPr>
        <w:t>t</w:t>
      </w:r>
      <w:r>
        <w:rPr>
          <w:vertAlign w:val="subscript"/>
        </w:rPr>
        <w:t>g</w:t>
      </w:r>
      <w:r>
        <w:rPr>
          <w:vertAlign w:val="subscript"/>
        </w:rPr>
        <w:t>a</w:t>
      </w:r>
      <w:r>
        <w:rPr>
          <w:vertAlign w:val="subscript"/>
        </w:rPr>
        <w:t>t</w:t>
      </w:r>
      <w:r>
        <w:rPr>
          <w:vertAlign w:val="subscript"/>
        </w:rPr>
        <w:t>e</w:t>
      </w:r>
      <w:r>
        <w:rPr>
          <w:vertAlign w:val="subscript"/>
        </w:rPr>
        <w:t>d</w:t>
      </w:r>
      <w:r>
        <w:t>/</w:t>
      </w:r>
      <w:r>
        <w:rPr>
          <w:i/>
        </w:rPr>
        <w:t>τ</w:t>
      </w:r>
      <w:r>
        <w:rPr>
          <w:vertAlign w:val="subscript"/>
        </w:rPr>
        <w:t>r</w:t>
      </w:r>
      <w:r>
        <w:rPr>
          <w:vertAlign w:val="subscript"/>
        </w:rPr>
        <w:t>e</w:t>
      </w:r>
      <w:r>
        <w:rPr>
          <w:vertAlign w:val="subscript"/>
        </w:rPr>
        <w:t>l</w:t>
      </w:r>
      <w:r>
        <w:t xml:space="preserve"> = 0.63), 5.12 min at </w:t>
      </w:r>
      <w:r>
        <w:rPr>
          <w:i/>
        </w:rPr>
        <w:t>α</w:t>
      </w:r>
      <w:r>
        <w:t xml:space="preserve"> = 0.01, and 5.94, 6.02 and 6.02 min at </w:t>
      </w:r>
      <w:r>
        <w:rPr>
          <w:i/>
        </w:rPr>
        <w:t>α</w:t>
      </w:r>
      <w:r>
        <w:t xml:space="preserve"> = 0.1, 0.5 and 0.9 (Table 3); the constant shift is a good description for </w:t>
      </w:r>
      <w:r>
        <w:rPr>
          <w:i/>
        </w:rPr>
        <w:t>α</w:t>
      </w:r>
      <w:r>
        <w:t xml:space="preserve"> ≳ 0.1 at this temperature and fails at early conversion. Independent adaptive integration of the gate and cure equations reproduces Eq. (6) to the integration tolerance in every row, and integrating the full model with the reference fourth-order Runge–Kutta (RK4) integrator at 125, 140 and 155 °C and </w:t>
      </w:r>
      <w:r>
        <w:rPr>
          <w:i/>
        </w:rPr>
        <w:t>α</w:t>
      </w:r>
      <w:r>
        <w:t xml:space="preserve"> = 0.1, 0.5, 0.9 reproduces the gated times of Eq. (5) to a relative error of at most 7.7e-07.</w:t>
      </w:r>
    </w:p>
    <w:p>
      <w:pPr>
        <w:keepNext w:val="0"/>
        <w:jc w:val="both"/>
      </w:pPr>
      <w:r>
        <w:t xml:space="preserve">For incomplete activation, with open fraction </w:t>
      </w:r>
      <w:r>
        <w:rPr>
          <w:i/>
        </w:rPr>
        <w:t>f</w:t>
      </w:r>
      <w:r>
        <w:t xml:space="preserve"> &lt; 1 (a fraction of the capsules that has not melted at the operating temperature), the clock is </w:t>
      </w:r>
      <w:r>
        <w:rPr>
          <w:i/>
        </w:rPr>
        <w:t>s</w:t>
      </w:r>
      <w:r>
        <w:t>(</w:t>
      </w:r>
      <w:r>
        <w:rPr>
          <w:i/>
        </w:rPr>
        <w:t>t</w:t>
      </w:r>
      <w:r>
        <w:t xml:space="preserve">) = </w:t>
      </w:r>
      <w:r>
        <w:rPr>
          <w:i/>
        </w:rPr>
        <w:t>f</w:t>
      </w:r>
      <w:r>
        <w:t>[</w:t>
      </w:r>
      <w:r>
        <w:rPr>
          <w:i/>
        </w:rPr>
        <w:t>t</w:t>
      </w:r>
      <w:r>
        <w:t xml:space="preserve"> − </w:t>
      </w:r>
      <w:r>
        <w:rPr>
          <w:i/>
        </w:rPr>
        <w:t>τ</w:t>
      </w:r>
      <w:r>
        <w:rPr>
          <w:vertAlign w:val="subscript"/>
        </w:rPr>
        <w:t>r</w:t>
      </w:r>
      <w:r>
        <w:rPr>
          <w:vertAlign w:val="subscript"/>
        </w:rPr>
        <w:t>e</w:t>
      </w:r>
      <w:r>
        <w:rPr>
          <w:vertAlign w:val="subscript"/>
        </w:rPr>
        <w:t>l</w:t>
      </w:r>
      <w:r>
        <w:t>(1 − exp(−</w:t>
      </w:r>
      <w:r>
        <w:rPr>
          <w:i/>
        </w:rPr>
        <w:t>t</w:t>
      </w:r>
      <w:r>
        <w:t>/</w:t>
      </w:r>
      <w:r>
        <w:rPr>
          <w:i/>
        </w:rPr>
        <w:t>τ</w:t>
      </w:r>
      <w:r>
        <w:rPr>
          <w:vertAlign w:val="subscript"/>
        </w:rPr>
        <w:t>r</w:t>
      </w:r>
      <w:r>
        <w:rPr>
          <w:vertAlign w:val="subscript"/>
        </w:rPr>
        <w:t>e</w:t>
      </w:r>
      <w:r>
        <w:rPr>
          <w:vertAlign w:val="subscript"/>
        </w:rPr>
        <w:t>l</w:t>
      </w:r>
      <w:r>
        <w:t>))], so the delay relative to the ungated resin is not a constant shift: the gated cure is slowed in proportion to 1/</w:t>
      </w:r>
      <w:r>
        <w:rPr>
          <w:i/>
        </w:rPr>
        <w:t>f</w:t>
      </w:r>
      <w:r>
        <w:t xml:space="preserve"> as well. For </w:t>
      </w:r>
      <w:r>
        <w:rPr>
          <w:i/>
        </w:rPr>
        <w:t>f</w:t>
      </w:r>
      <w:r>
        <w:t xml:space="preserve"> = 0.5 at 140 °C the integrated times to </w:t>
      </w:r>
      <w:r>
        <w:rPr>
          <w:i/>
        </w:rPr>
        <w:t>α</w:t>
      </w:r>
      <w:r>
        <w:t xml:space="preserve"> = 0.1, 0.5 and 0.9 are 45.1, 78.5 and 138.9 min, and the clock gives 45.1, 78.5 and 138.9 min, while the fully open population reaches them at 25.5, 42.3 and 72.4 min. A population whose mean melting temperature lies below the operating temperature is not necessarily fully open: a broad population has a tail of capsules that melt above it, and </w:t>
      </w:r>
      <w:r>
        <w:rPr>
          <w:i/>
        </w:rPr>
        <w:t>f</w:t>
      </w:r>
      <w:r>
        <w:t xml:space="preserve"> must be computed from the melting-temperature distribution (Section 3.3). The statement is exact only at constant temperature; a heat-up transient or an exotherm adds a temperature-dependent delay that Proposition 1 does not describe.</w:t>
      </w:r>
    </w:p>
    <w:p>
      <w:pPr>
        <w:keepNext/>
        <w:spacing w:line="276" w:lineRule="auto" w:after="200"/>
      </w:pPr>
      <w:r>
        <w:rPr>
          <w:b/>
          <w:sz w:val="19"/>
        </w:rPr>
        <w:t>Table 3</w:t>
      </w:r>
      <w:r>
        <w:rPr>
          <w:sz w:val="19"/>
        </w:rPr>
        <w:t xml:space="preserve"> Delay of a fully open population relative to the ungated resin at 140 °C (</w:t>
      </w:r>
      <w:r>
        <w:rPr>
          <w:i/>
          <w:sz w:val="19"/>
        </w:rPr>
        <w:t>n</w:t>
      </w:r>
      <w:r>
        <w:rPr>
          <w:sz w:val="19"/>
        </w:rPr>
        <w:t xml:space="preserve"> = 3/2, </w:t>
      </w:r>
      <w:r>
        <w:rPr>
          <w:i/>
          <w:sz w:val="19"/>
        </w:rPr>
        <w:t>τ</w:t>
      </w:r>
      <w:r>
        <w:rPr>
          <w:sz w:val="19"/>
          <w:vertAlign w:val="subscript"/>
        </w:rPr>
        <w:t>r</w:t>
      </w:r>
      <w:r>
        <w:rPr>
          <w:sz w:val="19"/>
          <w:vertAlign w:val="subscript"/>
        </w:rPr>
        <w:t>e</w:t>
      </w:r>
      <w:r>
        <w:rPr>
          <w:sz w:val="19"/>
          <w:vertAlign w:val="subscript"/>
        </w:rPr>
        <w:t>l</w:t>
      </w:r>
      <w:r>
        <w:rPr>
          <w:sz w:val="19"/>
        </w:rPr>
        <w:t xml:space="preserve"> = 6.02 min): integrated gate and cure equations against Eq. (6).</w:t>
      </w:r>
    </w:p>
    <w:tbl>
      <w:tblPr>
        <w:tblStyle w:val="TableGrid"/>
        <w:tblW w:type="auto" w:w="0"/>
        <w:jc w:val="center"/>
        <w:tblLayout w:type="fixed"/>
        <w:tblLook w:firstColumn="1" w:firstRow="1" w:lastColumn="0" w:lastRow="0" w:noHBand="0" w:noVBand="1" w:val="04A0"/>
      </w:tblPr>
      <w:tblGrid>
        <w:gridCol w:w="864"/>
        <w:gridCol w:w="1584"/>
        <w:gridCol w:w="2016"/>
        <w:gridCol w:w="1296"/>
        <w:gridCol w:w="2448"/>
        <w:gridCol w:w="1440"/>
      </w:tblGrid>
      <w:tr>
        <w:trPr>
          <w:tblHeader w:val="true"/>
        </w:trPr>
        <w:tc>
          <w:tcPr>
            <w:tcW w:type="dxa" w:w="864"/>
          </w:tcPr>
          <w:p>
            <w:pPr>
              <w:spacing w:line="240" w:lineRule="auto" w:after="20"/>
            </w:pPr>
            <w:r/>
            <w:r>
              <w:rPr>
                <w:b/>
                <w:i/>
                <w:sz w:val="17"/>
              </w:rPr>
              <w:t>α</w:t>
            </w:r>
          </w:p>
        </w:tc>
        <w:tc>
          <w:tcPr>
            <w:tcW w:type="dxa" w:w="1584"/>
          </w:tcPr>
          <w:p>
            <w:pPr>
              <w:spacing w:line="240" w:lineRule="auto" w:after="20"/>
            </w:pPr>
            <w:r/>
            <w:r>
              <w:rPr>
                <w:b/>
                <w:i/>
                <w:sz w:val="17"/>
              </w:rPr>
              <w:t>t</w:t>
            </w:r>
            <w:r>
              <w:rPr>
                <w:b/>
                <w:sz w:val="17"/>
                <w:vertAlign w:val="subscript"/>
              </w:rPr>
              <w:t>i</w:t>
            </w:r>
            <w:r>
              <w:rPr>
                <w:b/>
                <w:sz w:val="17"/>
                <w:vertAlign w:val="subscript"/>
              </w:rPr>
              <w:t>s</w:t>
            </w:r>
            <w:r>
              <w:rPr>
                <w:b/>
                <w:sz w:val="17"/>
                <w:vertAlign w:val="subscript"/>
              </w:rPr>
              <w:t>o</w:t>
            </w:r>
            <w:r>
              <w:rPr>
                <w:b/>
                <w:sz w:val="17"/>
              </w:rPr>
              <w:t>(</w:t>
            </w:r>
            <w:r>
              <w:rPr>
                <w:b/>
                <w:i/>
                <w:sz w:val="17"/>
              </w:rPr>
              <w:t>α</w:t>
            </w:r>
            <w:r>
              <w:rPr>
                <w:b/>
                <w:sz w:val="17"/>
              </w:rPr>
              <w:t>) (min)</w:t>
            </w:r>
          </w:p>
        </w:tc>
        <w:tc>
          <w:tcPr>
            <w:tcW w:type="dxa" w:w="2016"/>
          </w:tcPr>
          <w:p>
            <w:pPr>
              <w:spacing w:line="240" w:lineRule="auto" w:after="20"/>
            </w:pPr>
            <w:r/>
            <w:r>
              <w:rPr>
                <w:b/>
                <w:i/>
                <w:sz w:val="17"/>
              </w:rPr>
              <w:t>t</w:t>
            </w:r>
            <w:r>
              <w:rPr>
                <w:b/>
                <w:sz w:val="17"/>
                <w:vertAlign w:val="subscript"/>
              </w:rPr>
              <w:t>g</w:t>
            </w:r>
            <w:r>
              <w:rPr>
                <w:b/>
                <w:sz w:val="17"/>
                <w:vertAlign w:val="subscript"/>
              </w:rPr>
              <w:t>a</w:t>
            </w:r>
            <w:r>
              <w:rPr>
                <w:b/>
                <w:sz w:val="17"/>
                <w:vertAlign w:val="subscript"/>
              </w:rPr>
              <w:t>t</w:t>
            </w:r>
            <w:r>
              <w:rPr>
                <w:b/>
                <w:sz w:val="17"/>
                <w:vertAlign w:val="subscript"/>
              </w:rPr>
              <w:t>e</w:t>
            </w:r>
            <w:r>
              <w:rPr>
                <w:b/>
                <w:sz w:val="17"/>
                <w:vertAlign w:val="subscript"/>
              </w:rPr>
              <w:t>d</w:t>
            </w:r>
            <w:r>
              <w:rPr>
                <w:b/>
                <w:sz w:val="17"/>
              </w:rPr>
              <w:t xml:space="preserve"> (min), integrated</w:t>
            </w:r>
          </w:p>
        </w:tc>
        <w:tc>
          <w:tcPr>
            <w:tcW w:type="dxa" w:w="1296"/>
          </w:tcPr>
          <w:p>
            <w:pPr>
              <w:spacing w:line="240" w:lineRule="auto" w:after="20"/>
            </w:pPr>
            <w:r/>
            <w:r>
              <w:rPr>
                <w:b/>
                <w:sz w:val="17"/>
              </w:rPr>
              <w:t>Delay (min)</w:t>
            </w:r>
          </w:p>
        </w:tc>
        <w:tc>
          <w:tcPr>
            <w:tcW w:type="dxa" w:w="2448"/>
          </w:tcPr>
          <w:p>
            <w:pPr>
              <w:spacing w:line="240" w:lineRule="auto" w:after="20"/>
            </w:pPr>
            <w:r/>
            <w:r>
              <w:rPr>
                <w:b/>
                <w:i/>
                <w:sz w:val="17"/>
              </w:rPr>
              <w:t>τ</w:t>
            </w:r>
            <w:r>
              <w:rPr>
                <w:b/>
                <w:sz w:val="17"/>
                <w:vertAlign w:val="subscript"/>
              </w:rPr>
              <w:t>r</w:t>
            </w:r>
            <w:r>
              <w:rPr>
                <w:b/>
                <w:sz w:val="17"/>
                <w:vertAlign w:val="subscript"/>
              </w:rPr>
              <w:t>e</w:t>
            </w:r>
            <w:r>
              <w:rPr>
                <w:b/>
                <w:sz w:val="17"/>
                <w:vertAlign w:val="subscript"/>
              </w:rPr>
              <w:t>l</w:t>
            </w:r>
            <w:r>
              <w:rPr>
                <w:b/>
                <w:sz w:val="17"/>
              </w:rPr>
              <w:t>[1 − exp(−</w:t>
            </w:r>
            <w:r>
              <w:rPr>
                <w:b/>
                <w:i/>
                <w:sz w:val="17"/>
              </w:rPr>
              <w:t>t</w:t>
            </w:r>
            <w:r>
              <w:rPr>
                <w:b/>
                <w:sz w:val="17"/>
                <w:vertAlign w:val="subscript"/>
              </w:rPr>
              <w:t>g</w:t>
            </w:r>
            <w:r>
              <w:rPr>
                <w:b/>
                <w:sz w:val="17"/>
                <w:vertAlign w:val="subscript"/>
              </w:rPr>
              <w:t>a</w:t>
            </w:r>
            <w:r>
              <w:rPr>
                <w:b/>
                <w:sz w:val="17"/>
                <w:vertAlign w:val="subscript"/>
              </w:rPr>
              <w:t>t</w:t>
            </w:r>
            <w:r>
              <w:rPr>
                <w:b/>
                <w:sz w:val="17"/>
                <w:vertAlign w:val="subscript"/>
              </w:rPr>
              <w:t>e</w:t>
            </w:r>
            <w:r>
              <w:rPr>
                <w:b/>
                <w:sz w:val="17"/>
                <w:vertAlign w:val="subscript"/>
              </w:rPr>
              <w:t>d</w:t>
            </w:r>
            <w:r>
              <w:rPr>
                <w:b/>
                <w:sz w:val="17"/>
              </w:rPr>
              <w:t>/</w:t>
            </w:r>
            <w:r>
              <w:rPr>
                <w:b/>
                <w:i/>
                <w:sz w:val="17"/>
              </w:rPr>
              <w:t>τ</w:t>
            </w:r>
            <w:r>
              <w:rPr>
                <w:b/>
                <w:sz w:val="17"/>
                <w:vertAlign w:val="subscript"/>
              </w:rPr>
              <w:t>r</w:t>
            </w:r>
            <w:r>
              <w:rPr>
                <w:b/>
                <w:sz w:val="17"/>
                <w:vertAlign w:val="subscript"/>
              </w:rPr>
              <w:t>e</w:t>
            </w:r>
            <w:r>
              <w:rPr>
                <w:b/>
                <w:sz w:val="17"/>
                <w:vertAlign w:val="subscript"/>
              </w:rPr>
              <w:t>l</w:t>
            </w:r>
            <w:r>
              <w:rPr>
                <w:b/>
                <w:sz w:val="17"/>
              </w:rPr>
              <w:t>)] (min)</w:t>
            </w:r>
          </w:p>
        </w:tc>
        <w:tc>
          <w:tcPr>
            <w:tcW w:type="dxa" w:w="1440"/>
          </w:tcPr>
          <w:p>
            <w:pPr>
              <w:spacing w:line="240" w:lineRule="auto" w:after="20"/>
            </w:pPr>
            <w:r/>
            <w:r>
              <w:rPr>
                <w:b/>
                <w:i/>
                <w:sz w:val="17"/>
              </w:rPr>
              <w:t>t</w:t>
            </w:r>
            <w:r>
              <w:rPr>
                <w:b/>
                <w:sz w:val="17"/>
                <w:vertAlign w:val="subscript"/>
              </w:rPr>
              <w:t>g</w:t>
            </w:r>
            <w:r>
              <w:rPr>
                <w:b/>
                <w:sz w:val="17"/>
                <w:vertAlign w:val="subscript"/>
              </w:rPr>
              <w:t>a</w:t>
            </w:r>
            <w:r>
              <w:rPr>
                <w:b/>
                <w:sz w:val="17"/>
                <w:vertAlign w:val="subscript"/>
              </w:rPr>
              <w:t>t</w:t>
            </w:r>
            <w:r>
              <w:rPr>
                <w:b/>
                <w:sz w:val="17"/>
                <w:vertAlign w:val="subscript"/>
              </w:rPr>
              <w:t>e</w:t>
            </w:r>
            <w:r>
              <w:rPr>
                <w:b/>
                <w:sz w:val="17"/>
                <w:vertAlign w:val="subscript"/>
              </w:rPr>
              <w:t>d</w:t>
            </w:r>
            <w:r>
              <w:rPr>
                <w:b/>
                <w:sz w:val="17"/>
              </w:rPr>
              <w:t>/</w:t>
            </w:r>
            <w:r>
              <w:rPr>
                <w:b/>
                <w:i/>
                <w:sz w:val="17"/>
              </w:rPr>
              <w:t>τ</w:t>
            </w:r>
            <w:r>
              <w:rPr>
                <w:b/>
                <w:sz w:val="17"/>
                <w:vertAlign w:val="subscript"/>
              </w:rPr>
              <w:t>r</w:t>
            </w:r>
            <w:r>
              <w:rPr>
                <w:b/>
                <w:sz w:val="17"/>
                <w:vertAlign w:val="subscript"/>
              </w:rPr>
              <w:t>e</w:t>
            </w:r>
            <w:r>
              <w:rPr>
                <w:b/>
                <w:sz w:val="17"/>
                <w:vertAlign w:val="subscript"/>
              </w:rPr>
              <w:t>l</w:t>
            </w:r>
          </w:p>
        </w:tc>
      </w:tr>
      <w:tr>
        <w:tc>
          <w:tcPr>
            <w:tcW w:type="dxa" w:w="864"/>
          </w:tcPr>
          <w:p>
            <w:pPr>
              <w:spacing w:line="240" w:lineRule="auto" w:after="20"/>
            </w:pPr>
            <w:r/>
            <w:r>
              <w:rPr>
                <w:sz w:val="17"/>
              </w:rPr>
              <w:t>0.001</w:t>
            </w:r>
          </w:p>
        </w:tc>
        <w:tc>
          <w:tcPr>
            <w:tcW w:type="dxa" w:w="1584"/>
          </w:tcPr>
          <w:p>
            <w:pPr>
              <w:spacing w:line="240" w:lineRule="auto" w:after="20"/>
            </w:pPr>
            <w:r/>
            <w:r>
              <w:rPr>
                <w:sz w:val="17"/>
              </w:rPr>
              <w:t>0.97</w:t>
            </w:r>
          </w:p>
        </w:tc>
        <w:tc>
          <w:tcPr>
            <w:tcW w:type="dxa" w:w="2016"/>
          </w:tcPr>
          <w:p>
            <w:pPr>
              <w:spacing w:line="240" w:lineRule="auto" w:after="20"/>
            </w:pPr>
            <w:r/>
            <w:r>
              <w:rPr>
                <w:sz w:val="17"/>
              </w:rPr>
              <w:t>3.78</w:t>
            </w:r>
          </w:p>
        </w:tc>
        <w:tc>
          <w:tcPr>
            <w:tcW w:type="dxa" w:w="1296"/>
          </w:tcPr>
          <w:p>
            <w:pPr>
              <w:spacing w:line="240" w:lineRule="auto" w:after="20"/>
            </w:pPr>
            <w:r/>
            <w:r>
              <w:rPr>
                <w:sz w:val="17"/>
              </w:rPr>
              <w:t>2.81</w:t>
            </w:r>
          </w:p>
        </w:tc>
        <w:tc>
          <w:tcPr>
            <w:tcW w:type="dxa" w:w="2448"/>
          </w:tcPr>
          <w:p>
            <w:pPr>
              <w:spacing w:line="240" w:lineRule="auto" w:after="20"/>
            </w:pPr>
            <w:r/>
            <w:r>
              <w:rPr>
                <w:sz w:val="17"/>
              </w:rPr>
              <w:t>2.81</w:t>
            </w:r>
          </w:p>
        </w:tc>
        <w:tc>
          <w:tcPr>
            <w:tcW w:type="dxa" w:w="1440"/>
          </w:tcPr>
          <w:p>
            <w:pPr>
              <w:spacing w:line="240" w:lineRule="auto" w:after="20"/>
            </w:pPr>
            <w:r/>
            <w:r>
              <w:rPr>
                <w:sz w:val="17"/>
              </w:rPr>
              <w:t>0.63</w:t>
            </w:r>
          </w:p>
        </w:tc>
      </w:tr>
      <w:tr>
        <w:tc>
          <w:tcPr>
            <w:tcW w:type="dxa" w:w="864"/>
          </w:tcPr>
          <w:p>
            <w:pPr>
              <w:spacing w:line="240" w:lineRule="auto" w:after="20"/>
            </w:pPr>
            <w:r/>
            <w:r>
              <w:rPr>
                <w:sz w:val="17"/>
              </w:rPr>
              <w:t>0.01</w:t>
            </w:r>
          </w:p>
        </w:tc>
        <w:tc>
          <w:tcPr>
            <w:tcW w:type="dxa" w:w="1584"/>
          </w:tcPr>
          <w:p>
            <w:pPr>
              <w:spacing w:line="240" w:lineRule="auto" w:after="20"/>
            </w:pPr>
            <w:r/>
            <w:r>
              <w:rPr>
                <w:sz w:val="17"/>
              </w:rPr>
              <w:t>6.32</w:t>
            </w:r>
          </w:p>
        </w:tc>
        <w:tc>
          <w:tcPr>
            <w:tcW w:type="dxa" w:w="2016"/>
          </w:tcPr>
          <w:p>
            <w:pPr>
              <w:spacing w:line="240" w:lineRule="auto" w:after="20"/>
            </w:pPr>
            <w:r/>
            <w:r>
              <w:rPr>
                <w:sz w:val="17"/>
              </w:rPr>
              <w:t>11.45</w:t>
            </w:r>
          </w:p>
        </w:tc>
        <w:tc>
          <w:tcPr>
            <w:tcW w:type="dxa" w:w="1296"/>
          </w:tcPr>
          <w:p>
            <w:pPr>
              <w:spacing w:line="240" w:lineRule="auto" w:after="20"/>
            </w:pPr>
            <w:r/>
            <w:r>
              <w:rPr>
                <w:sz w:val="17"/>
              </w:rPr>
              <w:t>5.12</w:t>
            </w:r>
          </w:p>
        </w:tc>
        <w:tc>
          <w:tcPr>
            <w:tcW w:type="dxa" w:w="2448"/>
          </w:tcPr>
          <w:p>
            <w:pPr>
              <w:spacing w:line="240" w:lineRule="auto" w:after="20"/>
            </w:pPr>
            <w:r/>
            <w:r>
              <w:rPr>
                <w:sz w:val="17"/>
              </w:rPr>
              <w:t>5.12</w:t>
            </w:r>
          </w:p>
        </w:tc>
        <w:tc>
          <w:tcPr>
            <w:tcW w:type="dxa" w:w="1440"/>
          </w:tcPr>
          <w:p>
            <w:pPr>
              <w:spacing w:line="240" w:lineRule="auto" w:after="20"/>
            </w:pPr>
            <w:r/>
            <w:r>
              <w:rPr>
                <w:sz w:val="17"/>
              </w:rPr>
              <w:t>1.90</w:t>
            </w:r>
          </w:p>
        </w:tc>
      </w:tr>
      <w:tr>
        <w:tc>
          <w:tcPr>
            <w:tcW w:type="dxa" w:w="864"/>
          </w:tcPr>
          <w:p>
            <w:pPr>
              <w:spacing w:line="240" w:lineRule="auto" w:after="20"/>
            </w:pPr>
            <w:r/>
            <w:r>
              <w:rPr>
                <w:sz w:val="17"/>
              </w:rPr>
              <w:t>0.1</w:t>
            </w:r>
          </w:p>
        </w:tc>
        <w:tc>
          <w:tcPr>
            <w:tcW w:type="dxa" w:w="1584"/>
          </w:tcPr>
          <w:p>
            <w:pPr>
              <w:spacing w:line="240" w:lineRule="auto" w:after="20"/>
            </w:pPr>
            <w:r/>
            <w:r>
              <w:rPr>
                <w:sz w:val="17"/>
              </w:rPr>
              <w:t>19.55</w:t>
            </w:r>
          </w:p>
        </w:tc>
        <w:tc>
          <w:tcPr>
            <w:tcW w:type="dxa" w:w="2016"/>
          </w:tcPr>
          <w:p>
            <w:pPr>
              <w:spacing w:line="240" w:lineRule="auto" w:after="20"/>
            </w:pPr>
            <w:r/>
            <w:r>
              <w:rPr>
                <w:sz w:val="17"/>
              </w:rPr>
              <w:t>25.49</w:t>
            </w:r>
          </w:p>
        </w:tc>
        <w:tc>
          <w:tcPr>
            <w:tcW w:type="dxa" w:w="1296"/>
          </w:tcPr>
          <w:p>
            <w:pPr>
              <w:spacing w:line="240" w:lineRule="auto" w:after="20"/>
            </w:pPr>
            <w:r/>
            <w:r>
              <w:rPr>
                <w:sz w:val="17"/>
              </w:rPr>
              <w:t>5.94</w:t>
            </w:r>
          </w:p>
        </w:tc>
        <w:tc>
          <w:tcPr>
            <w:tcW w:type="dxa" w:w="2448"/>
          </w:tcPr>
          <w:p>
            <w:pPr>
              <w:spacing w:line="240" w:lineRule="auto" w:after="20"/>
            </w:pPr>
            <w:r/>
            <w:r>
              <w:rPr>
                <w:sz w:val="17"/>
              </w:rPr>
              <w:t>5.94</w:t>
            </w:r>
          </w:p>
        </w:tc>
        <w:tc>
          <w:tcPr>
            <w:tcW w:type="dxa" w:w="1440"/>
          </w:tcPr>
          <w:p>
            <w:pPr>
              <w:spacing w:line="240" w:lineRule="auto" w:after="20"/>
            </w:pPr>
            <w:r/>
            <w:r>
              <w:rPr>
                <w:sz w:val="17"/>
              </w:rPr>
              <w:t>4.23</w:t>
            </w:r>
          </w:p>
        </w:tc>
      </w:tr>
      <w:tr>
        <w:tc>
          <w:tcPr>
            <w:tcW w:type="dxa" w:w="864"/>
          </w:tcPr>
          <w:p>
            <w:pPr>
              <w:spacing w:line="240" w:lineRule="auto" w:after="20"/>
            </w:pPr>
            <w:r/>
            <w:r>
              <w:rPr>
                <w:sz w:val="17"/>
              </w:rPr>
              <w:t>0.5</w:t>
            </w:r>
          </w:p>
        </w:tc>
        <w:tc>
          <w:tcPr>
            <w:tcW w:type="dxa" w:w="1584"/>
          </w:tcPr>
          <w:p>
            <w:pPr>
              <w:spacing w:line="240" w:lineRule="auto" w:after="20"/>
            </w:pPr>
            <w:r/>
            <w:r>
              <w:rPr>
                <w:sz w:val="17"/>
              </w:rPr>
              <w:t>36.24</w:t>
            </w:r>
          </w:p>
        </w:tc>
        <w:tc>
          <w:tcPr>
            <w:tcW w:type="dxa" w:w="2016"/>
          </w:tcPr>
          <w:p>
            <w:pPr>
              <w:spacing w:line="240" w:lineRule="auto" w:after="20"/>
            </w:pPr>
            <w:r/>
            <w:r>
              <w:rPr>
                <w:sz w:val="17"/>
              </w:rPr>
              <w:t>42.26</w:t>
            </w:r>
          </w:p>
        </w:tc>
        <w:tc>
          <w:tcPr>
            <w:tcW w:type="dxa" w:w="1296"/>
          </w:tcPr>
          <w:p>
            <w:pPr>
              <w:spacing w:line="240" w:lineRule="auto" w:after="20"/>
            </w:pPr>
            <w:r/>
            <w:r>
              <w:rPr>
                <w:sz w:val="17"/>
              </w:rPr>
              <w:t>6.02</w:t>
            </w:r>
          </w:p>
        </w:tc>
        <w:tc>
          <w:tcPr>
            <w:tcW w:type="dxa" w:w="2448"/>
          </w:tcPr>
          <w:p>
            <w:pPr>
              <w:spacing w:line="240" w:lineRule="auto" w:after="20"/>
            </w:pPr>
            <w:r/>
            <w:r>
              <w:rPr>
                <w:sz w:val="17"/>
              </w:rPr>
              <w:t>6.02</w:t>
            </w:r>
          </w:p>
        </w:tc>
        <w:tc>
          <w:tcPr>
            <w:tcW w:type="dxa" w:w="1440"/>
          </w:tcPr>
          <w:p>
            <w:pPr>
              <w:spacing w:line="240" w:lineRule="auto" w:after="20"/>
            </w:pPr>
            <w:r/>
            <w:r>
              <w:rPr>
                <w:sz w:val="17"/>
              </w:rPr>
              <w:t>7.01</w:t>
            </w:r>
          </w:p>
        </w:tc>
      </w:tr>
      <w:tr>
        <w:tc>
          <w:tcPr>
            <w:tcW w:type="dxa" w:w="864"/>
          </w:tcPr>
          <w:p>
            <w:pPr>
              <w:spacing w:line="240" w:lineRule="auto" w:after="20"/>
            </w:pPr>
            <w:r/>
            <w:r>
              <w:rPr>
                <w:sz w:val="17"/>
              </w:rPr>
              <w:t>0.9</w:t>
            </w:r>
          </w:p>
        </w:tc>
        <w:tc>
          <w:tcPr>
            <w:tcW w:type="dxa" w:w="1584"/>
          </w:tcPr>
          <w:p>
            <w:pPr>
              <w:spacing w:line="240" w:lineRule="auto" w:after="20"/>
            </w:pPr>
            <w:r/>
            <w:r>
              <w:rPr>
                <w:sz w:val="17"/>
              </w:rPr>
              <w:t>66.42</w:t>
            </w:r>
          </w:p>
        </w:tc>
        <w:tc>
          <w:tcPr>
            <w:tcW w:type="dxa" w:w="2016"/>
          </w:tcPr>
          <w:p>
            <w:pPr>
              <w:spacing w:line="240" w:lineRule="auto" w:after="20"/>
            </w:pPr>
            <w:r/>
            <w:r>
              <w:rPr>
                <w:sz w:val="17"/>
              </w:rPr>
              <w:t>72.45</w:t>
            </w:r>
          </w:p>
        </w:tc>
        <w:tc>
          <w:tcPr>
            <w:tcW w:type="dxa" w:w="1296"/>
          </w:tcPr>
          <w:p>
            <w:pPr>
              <w:spacing w:line="240" w:lineRule="auto" w:after="20"/>
            </w:pPr>
            <w:r/>
            <w:r>
              <w:rPr>
                <w:sz w:val="17"/>
              </w:rPr>
              <w:t>6.02</w:t>
            </w:r>
          </w:p>
        </w:tc>
        <w:tc>
          <w:tcPr>
            <w:tcW w:type="dxa" w:w="2448"/>
          </w:tcPr>
          <w:p>
            <w:pPr>
              <w:spacing w:line="240" w:lineRule="auto" w:after="20"/>
            </w:pPr>
            <w:r/>
            <w:r>
              <w:rPr>
                <w:sz w:val="17"/>
              </w:rPr>
              <w:t>6.02</w:t>
            </w:r>
          </w:p>
        </w:tc>
        <w:tc>
          <w:tcPr>
            <w:tcW w:type="dxa" w:w="1440"/>
          </w:tcPr>
          <w:p>
            <w:pPr>
              <w:spacing w:line="240" w:lineRule="auto" w:after="20"/>
            </w:pPr>
            <w:r/>
            <w:r>
              <w:rPr>
                <w:sz w:val="17"/>
              </w:rPr>
              <w:t>12.03</w:t>
            </w:r>
          </w:p>
        </w:tc>
      </w:tr>
    </w:tbl>
    <w:p>
      <w:pPr>
        <w:spacing w:after="40"/>
      </w:pPr>
    </w:p>
    <w:p>
      <w:pPr>
        <w:pStyle w:val="Heading2"/>
      </w:pPr>
      <w:r>
        <w:rPr>
          <w:rFonts w:ascii="Times New Roman" w:hAnsi="Times New Roman"/>
        </w:rPr>
        <w:t>3.2 Proposition 2: isothermal cure time, induction, and sharpness</w:t>
      </w:r>
    </w:p>
    <w:p>
      <w:pPr>
        <w:keepNext w:val="0"/>
        <w:jc w:val="both"/>
      </w:pPr>
      <w:r>
        <w:rPr>
          <w:b/>
        </w:rPr>
        <w:t>Proposition 2.</w:t>
      </w:r>
      <w:r>
        <w:t xml:space="preserve"> With </w:t>
      </w:r>
      <w:r>
        <w:rPr>
          <w:i/>
        </w:rPr>
        <w:t>a</w:t>
      </w:r>
      <w:r>
        <w:t xml:space="preserve"> = </w:t>
      </w:r>
      <w:r>
        <w:rPr>
          <w:i/>
        </w:rPr>
        <w:t>k</w:t>
      </w:r>
      <w:r>
        <w:rPr>
          <w:vertAlign w:val="subscript"/>
        </w:rPr>
        <w:t>1</w:t>
      </w:r>
      <w:r>
        <w:t xml:space="preserve"> and </w:t>
      </w:r>
      <w:r>
        <w:rPr>
          <w:i/>
        </w:rPr>
        <w:t>b</w:t>
      </w:r>
      <w:r>
        <w:t xml:space="preserve"> = </w:t>
      </w:r>
      <w:r>
        <w:rPr>
          <w:i/>
        </w:rPr>
        <w:t>k</w:t>
      </w:r>
      <w:r>
        <w:rPr>
          <w:vertAlign w:val="subscript"/>
        </w:rPr>
        <w:t>2</w:t>
      </w:r>
      <w:r>
        <w:t xml:space="preserve">, the isothermal time to reach conversion </w:t>
      </w:r>
      <w:r>
        <w:rPr>
          <w:i/>
        </w:rPr>
        <w:t>α</w:t>
      </w:r>
      <w:r>
        <w:t xml:space="preserve"> is, for any </w:t>
      </w:r>
      <w:r>
        <w:rPr>
          <w:i/>
        </w:rPr>
        <w:t>n</w:t>
      </w:r>
      <w:r>
        <w:t xml:space="preserve">, </w:t>
      </w:r>
      <w:r>
        <w:rPr>
          <w:i/>
        </w:rPr>
        <w:t>t</w:t>
      </w:r>
      <w:r>
        <w:rPr>
          <w:vertAlign w:val="subscript"/>
        </w:rPr>
        <w:t>i</w:t>
      </w:r>
      <w:r>
        <w:rPr>
          <w:vertAlign w:val="subscript"/>
        </w:rPr>
        <w:t>s</w:t>
      </w:r>
      <w:r>
        <w:rPr>
          <w:vertAlign w:val="subscript"/>
        </w:rPr>
        <w:t>o</w:t>
      </w:r>
      <w:r>
        <w:t>(</w:t>
      </w:r>
      <w:r>
        <w:rPr>
          <w:i/>
        </w:rPr>
        <w:t>α</w:t>
      </w:r>
      <w:r>
        <w:t>) = ∫</w:t>
      </w:r>
      <w:r>
        <w:rPr>
          <w:vertAlign w:val="subscript"/>
        </w:rPr>
        <w:t>0</w:t>
      </w:r>
      <w:r>
        <w:rPr>
          <w:i/>
          <w:vertAlign w:val="superscript"/>
        </w:rPr>
        <w:t>α</w:t>
      </w:r>
      <w:r>
        <w:t xml:space="preserve"> dx/[(</w:t>
      </w:r>
      <w:r>
        <w:rPr>
          <w:i/>
        </w:rPr>
        <w:t>a</w:t>
      </w:r>
      <w:r>
        <w:t xml:space="preserve"> + </w:t>
      </w:r>
      <w:r>
        <w:rPr>
          <w:i/>
        </w:rPr>
        <w:t>bx</w:t>
      </w:r>
      <w:r>
        <w:t xml:space="preserve">)(1 − </w:t>
      </w:r>
      <w:r>
        <w:rPr>
          <w:i/>
        </w:rPr>
        <w:t>x</w:t>
      </w:r>
      <w:r>
        <w:t>)</w:t>
      </w:r>
      <w:r>
        <w:rPr>
          <w:vertAlign w:val="superscript"/>
        </w:rPr>
        <w:t>n</w:t>
      </w:r>
      <w:r>
        <w:t xml:space="preserve">], and for </w:t>
      </w:r>
      <w:r>
        <w:rPr>
          <w:i/>
        </w:rPr>
        <w:t>n</w:t>
      </w:r>
      <w:r>
        <w:t xml:space="preserve"> = 1</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iso</m:t>
            </m:r>
          </m:sub>
        </m:sSub>
        <m:d>
          <m:dPr>
            <m:begChr m:val="("/>
            <m:endChr m:val=")"/>
            <m:ctrlPr>
              <w:rPr>
                <w:rFonts w:ascii="Cambria Math" w:hAnsi="Cambria Math"/>
                <w:i/>
              </w:rPr>
            </m:ctrlPr>
          </m:dPr>
          <m:e>
            <m:r>
              <m:rPr>
                <m:sty m:val="i"/>
              </m:rPr>
              <w:rPr>
                <w:rFonts w:ascii="Cambria Math" w:hAnsi="Cambria Math"/>
                <w:i/>
              </w:rPr>
              <m:t xml:space="preserve">α</m:t>
            </m:r>
          </m:e>
        </m:d>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a</m:t>
            </m:r>
            <m:r>
              <m:rPr>
                <m:nor/>
              </m:rPr>
              <w:rPr>
                <w:rFonts w:ascii="Cambria Math" w:hAnsi="Cambria Math"/>
                <w:i w:val="0"/>
              </w:rPr>
              <m:t xml:space="preserve"> + </m:t>
            </m:r>
            <m:r>
              <m:rPr>
                <m:sty m:val="i"/>
              </m:rPr>
              <w:rPr>
                <w:rFonts w:ascii="Cambria Math" w:hAnsi="Cambria Math"/>
                <w:i/>
              </w:rPr>
              <m:t xml:space="preserve">b</m:t>
            </m:r>
          </m:den>
        </m:f>
        <m:r>
          <m:rPr>
            <m:nor/>
          </m:rPr>
          <w:rPr>
            <w:rFonts w:ascii="Cambria Math" w:hAnsi="Cambria Math"/>
            <w:i w:val="0"/>
          </w:rPr>
          <m:t xml:space="preserve">ln</m:t>
        </m:r>
        <m:f>
          <m:fPr>
            <m:ctrlPr>
              <w:rPr>
                <w:rFonts w:ascii="Cambria Math" w:hAnsi="Cambria Math"/>
                <w:i/>
              </w:rPr>
            </m:ctrlPr>
          </m:fPr>
          <m:num>
            <m:r>
              <m:rPr>
                <m:sty m:val="i"/>
              </m:rPr>
              <w:rPr>
                <w:rFonts w:ascii="Cambria Math" w:hAnsi="Cambria Math"/>
                <w:i/>
              </w:rPr>
              <m:t xml:space="preserve">a</m:t>
            </m:r>
            <m:r>
              <m:rPr>
                <m:nor/>
              </m:rPr>
              <w:rPr>
                <w:rFonts w:ascii="Cambria Math" w:hAnsi="Cambria Math"/>
                <w:i w:val="0"/>
              </w:rPr>
              <m:t xml:space="preserve"> + </m:t>
            </m:r>
            <m:r>
              <m:rPr>
                <m:sty m:val="i"/>
              </m:rPr>
              <w:rPr>
                <w:rFonts w:ascii="Cambria Math" w:hAnsi="Cambria Math"/>
                <w:i/>
              </w:rPr>
              <m:t xml:space="preserve">b</m:t>
            </m:r>
            <m:r>
              <m:rPr>
                <m:sty m:val="i"/>
              </m:rPr>
              <w:rPr>
                <w:rFonts w:ascii="Cambria Math" w:hAnsi="Cambria Math"/>
                <w:i/>
              </w:rPr>
              <m:t xml:space="preserve">α</m:t>
            </m:r>
          </m:num>
          <m:den>
            <m:r>
              <m:rPr>
                <m:sty m:val="i"/>
              </m:rPr>
              <w:rPr>
                <w:rFonts w:ascii="Cambria Math" w:hAnsi="Cambria Math"/>
                <w:i/>
              </w:rPr>
              <m:t xml:space="preserve">a</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α</m:t>
                </m:r>
              </m:e>
            </m:d>
          </m:den>
        </m:f>
        <m:r>
          <m:rPr>
            <m:nor/>
          </m:rPr>
          <w:rPr>
            <w:rFonts w:ascii="Cambria Math" w:hAnsi="Cambria Math"/>
            <w:i w:val="0"/>
          </w:rPr>
          <m:t xml:space="preserve">.</m:t>
        </m:r>
      </m:oMath>
      <w:r>
        <w:tab/>
        <w:t xml:space="preserve">(7)</w:t>
      </w:r>
    </w:p>
    <w:p>
      <w:pPr>
        <w:keepNext w:val="0"/>
        <w:jc w:val="both"/>
      </w:pPr>
      <w:r>
        <w:rPr>
          <w:i/>
        </w:rPr>
        <w:t>Proof.</w:t>
      </w:r>
      <w:r>
        <w:t xml:space="preserve"> Partial fractions of 1/[(</w:t>
      </w:r>
      <w:r>
        <w:rPr>
          <w:i/>
        </w:rPr>
        <w:t>a</w:t>
      </w:r>
      <w:r>
        <w:t xml:space="preserve"> + </w:t>
      </w:r>
      <w:r>
        <w:rPr>
          <w:i/>
        </w:rPr>
        <w:t>bx</w:t>
      </w:r>
      <w:r>
        <w:t xml:space="preserve">)(1 − </w:t>
      </w:r>
      <w:r>
        <w:rPr>
          <w:i/>
        </w:rPr>
        <w:t>x</w:t>
      </w:r>
      <w:r>
        <w:t>)] give (</w:t>
      </w:r>
      <w:r>
        <w:rPr>
          <w:i/>
        </w:rPr>
        <w:t>a</w:t>
      </w:r>
      <w:r>
        <w:t xml:space="preserve"> + </w:t>
      </w:r>
      <w:r>
        <w:rPr>
          <w:i/>
        </w:rPr>
        <w:t>b</w:t>
      </w:r>
      <w:r>
        <w:t>)</w:t>
      </w:r>
      <w:r>
        <w:rPr>
          <w:vertAlign w:val="superscript"/>
        </w:rPr>
        <w:t>−</w:t>
      </w:r>
      <w:r>
        <w:rPr>
          <w:vertAlign w:val="superscript"/>
        </w:rPr>
        <w:t>1</w:t>
      </w:r>
      <w:r>
        <w:t>[</w:t>
      </w:r>
      <w:r>
        <w:rPr>
          <w:i/>
        </w:rPr>
        <w:t>b</w:t>
      </w:r>
      <w:r>
        <w:t>/(</w:t>
      </w:r>
      <w:r>
        <w:rPr>
          <w:i/>
        </w:rPr>
        <w:t>a</w:t>
      </w:r>
      <w:r>
        <w:t xml:space="preserve"> + </w:t>
      </w:r>
      <w:r>
        <w:rPr>
          <w:i/>
        </w:rPr>
        <w:t>bx</w:t>
      </w:r>
      <w:r>
        <w:t xml:space="preserve">) + 1/(1 − </w:t>
      </w:r>
      <w:r>
        <w:rPr>
          <w:i/>
        </w:rPr>
        <w:t>x</w:t>
      </w:r>
      <w:r>
        <w:t xml:space="preserve">)], and integration gives the logarithm. ∎ For small </w:t>
      </w:r>
      <w:r>
        <w:rPr>
          <w:i/>
        </w:rPr>
        <w:t>α</w:t>
      </w:r>
      <w:r>
        <w:t xml:space="preserve"> the factor (1 − </w:t>
      </w:r>
      <w:r>
        <w:rPr>
          <w:i/>
        </w:rPr>
        <w:t>x</w:t>
      </w:r>
      <w:r>
        <w:t>)</w:t>
      </w:r>
      <w:r>
        <w:rPr>
          <w:vertAlign w:val="superscript"/>
        </w:rPr>
        <w:t>n</w:t>
      </w:r>
      <w:r>
        <w:t xml:space="preserve"> is close to 1, so the induction time (</w:t>
      </w:r>
      <w:r>
        <w:rPr>
          <w:i/>
        </w:rPr>
        <w:t>α</w:t>
      </w:r>
      <w:r>
        <w:t xml:space="preserve"> = 0.1) is almost independent of </w:t>
      </w:r>
      <w:r>
        <w:rPr>
          <w:i/>
        </w:rPr>
        <w:t>n</w:t>
      </w:r>
      <w:r>
        <w:t xml:space="preserve">; the late-time tail is not. For </w:t>
      </w:r>
      <w:r>
        <w:rPr>
          <w:i/>
        </w:rPr>
        <w:t>n</w:t>
      </w:r>
      <w:r>
        <w:t xml:space="preserve"> = 1 the sharpness </w:t>
      </w:r>
      <w:r>
        <w:rPr>
          <w:i/>
        </w:rPr>
        <w:t>S</w:t>
      </w:r>
      <w:r>
        <w:t xml:space="preserve"> = (</w:t>
      </w:r>
      <w:r>
        <w:rPr>
          <w:i/>
        </w:rPr>
        <w:t>t</w:t>
      </w:r>
      <w:r>
        <w:rPr>
          <w:vertAlign w:val="subscript"/>
        </w:rPr>
        <w:t>9</w:t>
      </w:r>
      <w:r>
        <w:rPr>
          <w:vertAlign w:val="subscript"/>
        </w:rPr>
        <w:t>0</w:t>
      </w:r>
      <w:r>
        <w:t xml:space="preserve"> − </w:t>
      </w:r>
      <w:r>
        <w:rPr>
          <w:i/>
        </w:rPr>
        <w:t>t</w:t>
      </w:r>
      <w:r>
        <w:rPr>
          <w:vertAlign w:val="subscript"/>
        </w:rPr>
        <w:t>1</w:t>
      </w:r>
      <w:r>
        <w:rPr>
          <w:vertAlign w:val="subscript"/>
        </w:rPr>
        <w:t>0</w:t>
      </w:r>
      <w:r>
        <w:t>)/</w:t>
      </w:r>
      <w:r>
        <w:rPr>
          <w:i/>
        </w:rPr>
        <w:t>t</w:t>
      </w:r>
      <w:r>
        <w:rPr>
          <w:vertAlign w:val="subscript"/>
        </w:rPr>
        <w:t>1</w:t>
      </w:r>
      <w:r>
        <w:rPr>
          <w:vertAlign w:val="subscript"/>
        </w:rPr>
        <w:t>0</w:t>
      </w:r>
      <w:r>
        <w:t xml:space="preserve"> is exactly</w:t>
      </w:r>
    </w:p>
    <w:p>
      <w:pPr>
        <w:keepLines/>
        <w:tabs>
          <w:tab w:pos="4680" w:val="center"/>
          <w:tab w:pos="9360" w:val="right"/>
        </w:tabs>
        <w:spacing w:before="120" w:after="120"/>
      </w:pPr>
      <w:r>
        <w:tab/>
      </w:r>
      <m:oMath>
        <m:r>
          <m:rPr>
            <m:sty m:val="i"/>
          </m:rPr>
          <w:rPr>
            <w:rFonts w:ascii="Cambria Math" w:hAnsi="Cambria Math"/>
            <w:i/>
          </w:rPr>
          <m:t xml:space="preserve">S</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r>
                      <m:rPr>
                        <m:nor/>
                      </m:rPr>
                      <w:rPr>
                        <w:rFonts w:ascii="Cambria Math" w:hAnsi="Cambria Math"/>
                        <w:i w:val="0"/>
                      </w:rPr>
                      <m:t xml:space="preserve">9</m:t>
                    </m:r>
                    <m:d>
                      <m:dPr>
                        <m:begChr m:val="("/>
                        <m:endChr m:val=")"/>
                        <m:ctrlPr>
                          <w:rPr>
                            <w:rFonts w:ascii="Cambria Math" w:hAnsi="Cambria Math"/>
                            <w:i/>
                          </w:rPr>
                        </m:ctrlPr>
                      </m:dPr>
                      <m:e>
                        <m:r>
                          <m:rPr>
                            <m:sty m:val="i"/>
                          </m:rPr>
                          <w:rPr>
                            <w:rFonts w:ascii="Cambria Math" w:hAnsi="Cambria Math"/>
                            <w:i/>
                          </w:rPr>
                          <m:t xml:space="preserve">a</m:t>
                        </m:r>
                        <m:r>
                          <m:rPr>
                            <m:nor/>
                          </m:rPr>
                          <w:rPr>
                            <w:rFonts w:ascii="Cambria Math" w:hAnsi="Cambria Math"/>
                            <w:i w:val="0"/>
                          </w:rPr>
                          <m:t xml:space="preserve"> + </m:t>
                        </m:r>
                        <m:r>
                          <m:rPr>
                            <m:nor/>
                          </m:rPr>
                          <w:rPr>
                            <w:rFonts w:ascii="Cambria Math" w:hAnsi="Cambria Math"/>
                            <w:i w:val="0"/>
                          </w:rPr>
                          <m:t xml:space="preserve">0.9</m:t>
                        </m:r>
                        <m:r>
                          <m:rPr>
                            <m:sty m:val="i"/>
                          </m:rPr>
                          <w:rPr>
                            <w:rFonts w:ascii="Cambria Math" w:hAnsi="Cambria Math"/>
                            <w:i/>
                          </w:rPr>
                          <m:t xml:space="preserve">b</m:t>
                        </m:r>
                      </m:e>
                    </m:d>
                  </m:num>
                  <m:den>
                    <m:r>
                      <m:rPr>
                        <m:sty m:val="i"/>
                      </m:rPr>
                      <w:rPr>
                        <w:rFonts w:ascii="Cambria Math" w:hAnsi="Cambria Math"/>
                        <w:i/>
                      </w:rPr>
                      <m:t xml:space="preserve">a</m:t>
                    </m:r>
                    <m:r>
                      <m:rPr>
                        <m:nor/>
                      </m:rPr>
                      <w:rPr>
                        <w:rFonts w:ascii="Cambria Math" w:hAnsi="Cambria Math"/>
                        <w:i w:val="0"/>
                      </w:rPr>
                      <m:t xml:space="preserve"> + </m:t>
                    </m:r>
                    <m:r>
                      <m:rPr>
                        <m:nor/>
                      </m:rPr>
                      <w:rPr>
                        <w:rFonts w:ascii="Cambria Math" w:hAnsi="Cambria Math"/>
                        <w:i w:val="0"/>
                      </w:rPr>
                      <m:t xml:space="preserve">0.1</m:t>
                    </m:r>
                    <m:r>
                      <m:rPr>
                        <m:sty m:val="i"/>
                      </m:rPr>
                      <w:rPr>
                        <w:rFonts w:ascii="Cambria Math" w:hAnsi="Cambria Math"/>
                        <w:i/>
                      </w:rPr>
                      <m:t xml:space="preserve">b</m:t>
                    </m:r>
                  </m:den>
                </m:f>
              </m:e>
            </m:d>
          </m:num>
          <m:den>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r>
                      <m:rPr>
                        <m:sty m:val="i"/>
                      </m:rPr>
                      <w:rPr>
                        <w:rFonts w:ascii="Cambria Math" w:hAnsi="Cambria Math"/>
                        <w:i/>
                      </w:rPr>
                      <m:t xml:space="preserve">a</m:t>
                    </m:r>
                    <m:r>
                      <m:rPr>
                        <m:nor/>
                      </m:rPr>
                      <w:rPr>
                        <w:rFonts w:ascii="Cambria Math" w:hAnsi="Cambria Math"/>
                        <w:i w:val="0"/>
                      </w:rPr>
                      <m:t xml:space="preserve"> + </m:t>
                    </m:r>
                    <m:r>
                      <m:rPr>
                        <m:nor/>
                      </m:rPr>
                      <w:rPr>
                        <w:rFonts w:ascii="Cambria Math" w:hAnsi="Cambria Math"/>
                        <w:i w:val="0"/>
                      </w:rPr>
                      <m:t xml:space="preserve">0.1</m:t>
                    </m:r>
                    <m:r>
                      <m:rPr>
                        <m:sty m:val="i"/>
                      </m:rPr>
                      <w:rPr>
                        <w:rFonts w:ascii="Cambria Math" w:hAnsi="Cambria Math"/>
                        <w:i/>
                      </w:rPr>
                      <m:t xml:space="preserve">b</m:t>
                    </m:r>
                  </m:num>
                  <m:den>
                    <m:r>
                      <m:rPr>
                        <m:nor/>
                      </m:rPr>
                      <w:rPr>
                        <w:rFonts w:ascii="Cambria Math" w:hAnsi="Cambria Math"/>
                        <w:i w:val="0"/>
                      </w:rPr>
                      <m:t xml:space="preserve">0.9</m:t>
                    </m:r>
                    <m:r>
                      <m:rPr>
                        <m:sty m:val="i"/>
                      </m:rPr>
                      <w:rPr>
                        <w:rFonts w:ascii="Cambria Math" w:hAnsi="Cambria Math"/>
                        <w:i/>
                      </w:rPr>
                      <m:t xml:space="preserve">a</m:t>
                    </m:r>
                  </m:den>
                </m:f>
              </m:e>
            </m:d>
          </m:den>
        </m:f>
      </m:oMath>
      <w:r>
        <w:tab/>
        <w:t xml:space="preserve">(8)</w:t>
      </w:r>
    </w:p>
    <w:p>
      <w:pPr>
        <w:keepNext w:val="0"/>
        <w:jc w:val="both"/>
      </w:pPr>
      <w:r>
        <w:t xml:space="preserve">and, for </w:t>
      </w:r>
      <w:r>
        <w:rPr>
          <w:i/>
        </w:rPr>
        <w:t>b</w:t>
      </w:r>
      <w:r>
        <w:t xml:space="preserve"> ≫ 9a and </w:t>
      </w:r>
      <w:r>
        <w:rPr>
          <w:i/>
        </w:rPr>
        <w:t>n</w:t>
      </w:r>
      <w:r>
        <w:t xml:space="preserve"> = 1 only, it reduces to the asymptotic law</w:t>
      </w:r>
    </w:p>
    <w:p>
      <w:pPr>
        <w:keepLines/>
        <w:tabs>
          <w:tab w:pos="4680" w:val="center"/>
          <w:tab w:pos="9360" w:val="right"/>
        </w:tabs>
        <w:spacing w:before="120" w:after="120"/>
      </w:pPr>
      <w:r>
        <w:tab/>
      </w:r>
      <m:oMath>
        <m:r>
          <m:rPr>
            <m:sty m:val="i"/>
          </m:rPr>
          <w:rPr>
            <w:rFonts w:ascii="Cambria Math" w:hAnsi="Cambria Math"/>
            <w:i/>
          </w:rPr>
          <m:t xml:space="preserve">S</m:t>
        </m:r>
        <m:r>
          <m:rPr>
            <m:nor/>
          </m:rPr>
          <w:rPr>
            <w:rFonts w:ascii="Cambria Math" w:hAnsi="Cambria Math"/>
            <w:i w:val="0"/>
          </w:rPr>
          <m:t xml:space="preserve">≈</m:t>
        </m:r>
        <m:f>
          <m:fPr>
            <m:ctrlPr>
              <w:rPr>
                <w:rFonts w:ascii="Cambria Math" w:hAnsi="Cambria Math"/>
                <w:i/>
              </w:rPr>
            </m:ctrlPr>
          </m:fPr>
          <m:num>
            <m:r>
              <m:rPr>
                <m:nor/>
              </m:rPr>
              <w:rPr>
                <w:rFonts w:ascii="Cambria Math" w:hAnsi="Cambria Math"/>
                <w:i w:val="0"/>
              </w:rPr>
              <m:t xml:space="preserve">2 ln 9</m:t>
            </m:r>
          </m:num>
          <m:den>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r>
                      <m:rPr>
                        <m:sty m:val="i"/>
                      </m:rPr>
                      <w:rPr>
                        <w:rFonts w:ascii="Cambria Math" w:hAnsi="Cambria Math"/>
                        <w:i/>
                      </w:rPr>
                      <m:t xml:space="preserve">b</m:t>
                    </m:r>
                  </m:num>
                  <m:den>
                    <m:r>
                      <m:rPr>
                        <m:nor/>
                      </m:rPr>
                      <w:rPr>
                        <w:rFonts w:ascii="Cambria Math" w:hAnsi="Cambria Math"/>
                        <w:i w:val="0"/>
                      </w:rPr>
                      <m:t xml:space="preserve">9</m:t>
                    </m:r>
                    <m:r>
                      <m:rPr>
                        <m:sty m:val="i"/>
                      </m:rPr>
                      <w:rPr>
                        <w:rFonts w:ascii="Cambria Math" w:hAnsi="Cambria Math"/>
                        <w:i/>
                      </w:rPr>
                      <m:t xml:space="preserve">a</m:t>
                    </m:r>
                  </m:den>
                </m:f>
              </m:e>
            </m:d>
          </m:den>
        </m:f>
        <m:r>
          <m:rPr>
            <m:nor/>
          </m:rPr>
          <w:rPr>
            <w:rFonts w:ascii="Cambria Math" w:hAnsi="Cambria Math"/>
            <w:i w:val="0"/>
          </w:rPr>
          <m:t xml:space="preserve">.</m:t>
        </m:r>
      </m:oMath>
      <w:r>
        <w:tab/>
        <w:t xml:space="preserve">(9)</w:t>
      </w:r>
    </w:p>
    <w:p>
      <w:pPr>
        <w:keepNext w:val="0"/>
        <w:jc w:val="both"/>
      </w:pPr>
      <w:r>
        <w:t xml:space="preserve">Sharpness is then controlled by the rate-constant ratio alone, and only logarithmically. At 140 °C, </w:t>
      </w:r>
      <w:r>
        <w:rPr>
          <w:i/>
        </w:rPr>
        <w:t>b</w:t>
      </w:r>
      <w:r>
        <w:t>/</w:t>
      </w:r>
      <w:r>
        <w:rPr>
          <w:i/>
        </w:rPr>
        <w:t>a</w:t>
      </w:r>
      <w:r>
        <w:t xml:space="preserve"> = 159 gives </w:t>
      </w:r>
      <w:r>
        <w:rPr>
          <w:i/>
        </w:rPr>
        <w:t>S</w:t>
      </w:r>
      <w:r>
        <w:t xml:space="preserve"> = 1.48 exactly for </w:t>
      </w:r>
      <w:r>
        <w:rPr>
          <w:i/>
        </w:rPr>
        <w:t>n</w:t>
      </w:r>
      <w:r>
        <w:t xml:space="preserve"> = 1 and 1.53 from Eq. (9), with a difference of 3.4 %; the law is accurate to 5 % across 110–155 °C for </w:t>
      </w:r>
      <w:r>
        <w:rPr>
          <w:i/>
        </w:rPr>
        <w:t>n</w:t>
      </w:r>
      <w:r>
        <w:t xml:space="preserve"> = 1. A hundredfold increase of </w:t>
      </w:r>
      <w:r>
        <w:rPr>
          <w:i/>
        </w:rPr>
        <w:t>b</w:t>
      </w:r>
      <w:r>
        <w:t xml:space="preserve">/a, from 159 to 15,900, lowers the exact </w:t>
      </w:r>
      <w:r>
        <w:rPr>
          <w:i/>
        </w:rPr>
        <w:t>S</w:t>
      </w:r>
      <w:r>
        <w:t xml:space="preserve"> from 1.48 to 0.59, a factor of 2.5. For </w:t>
      </w:r>
      <w:r>
        <w:rPr>
          <w:i/>
        </w:rPr>
        <w:t>n</w:t>
      </w:r>
      <w:r>
        <w:t xml:space="preserve"> ≠ 1 the law does not apply: at 140 °C the integrated sharpness rises from 1.48 (</w:t>
      </w:r>
      <w:r>
        <w:rPr>
          <w:i/>
        </w:rPr>
        <w:t>n</w:t>
      </w:r>
      <w:r>
        <w:t xml:space="preserve"> = 1) to 2.40 (</w:t>
      </w:r>
      <w:r>
        <w:rPr>
          <w:i/>
        </w:rPr>
        <w:t>n</w:t>
      </w:r>
      <w:r>
        <w:t xml:space="preserve"> = 3/2) because of the longer tail, and the quadrature should be used. The closed forms and the quadrature reproduce the integrated </w:t>
      </w:r>
      <w:r>
        <w:rPr>
          <w:i/>
        </w:rPr>
        <w:t>t</w:t>
      </w:r>
      <w:r>
        <w:rPr>
          <w:vertAlign w:val="subscript"/>
        </w:rPr>
        <w:t>1</w:t>
      </w:r>
      <w:r>
        <w:rPr>
          <w:vertAlign w:val="subscript"/>
        </w:rPr>
        <w:t>0</w:t>
      </w:r>
      <w:r>
        <w:t xml:space="preserve"> and </w:t>
      </w:r>
      <w:r>
        <w:rPr>
          <w:i/>
        </w:rPr>
        <w:t>t</w:t>
      </w:r>
      <w:r>
        <w:rPr>
          <w:vertAlign w:val="subscript"/>
        </w:rPr>
        <w:t>9</w:t>
      </w:r>
      <w:r>
        <w:rPr>
          <w:vertAlign w:val="subscript"/>
        </w:rPr>
        <w:t>0</w:t>
      </w:r>
      <w:r>
        <w:t xml:space="preserve"> for </w:t>
      </w:r>
      <w:r>
        <w:rPr>
          <w:i/>
        </w:rPr>
        <w:t>T</w:t>
      </w:r>
      <w:r>
        <w:t xml:space="preserve"> = 110–155 °C and </w:t>
      </w:r>
      <w:r>
        <w:rPr>
          <w:i/>
        </w:rPr>
        <w:t>n</w:t>
      </w:r>
      <w:r>
        <w:t xml:space="preserve"> = 1 and 3/2 to within 1.2e-07 (relative).</w:t>
      </w:r>
    </w:p>
    <w:p>
      <w:pPr>
        <w:keepNext/>
        <w:spacing w:before="160" w:after="40"/>
        <w:jc w:val="center"/>
      </w:pPr>
      <w:r>
        <w:drawing>
          <wp:inline xmlns:a="http://schemas.openxmlformats.org/drawingml/2006/main" xmlns:pic="http://schemas.openxmlformats.org/drawingml/2006/picture">
            <wp:extent cx="4297680" cy="4389120"/>
            <wp:docPr id="1" name="Picture 1" descr="Three panels. (a) Conversion against time for the ungated and gated resin with integrated points. (b) Delay against conversion approaching the release time constant. (c) Sharpness against the logarithm of the rate-constant ratio."/>
            <wp:cNvGraphicFramePr>
              <a:graphicFrameLocks noChangeAspect="1"/>
            </wp:cNvGraphicFramePr>
            <a:graphic>
              <a:graphicData uri="http://schemas.openxmlformats.org/drawingml/2006/picture">
                <pic:pic>
                  <pic:nvPicPr>
                    <pic:cNvPr id="0" name="fig1_clock_sharpness.png"/>
                    <pic:cNvPicPr/>
                  </pic:nvPicPr>
                  <pic:blipFill>
                    <a:blip r:embed="rId10"/>
                    <a:stretch>
                      <a:fillRect/>
                    </a:stretch>
                  </pic:blipFill>
                  <pic:spPr>
                    <a:xfrm>
                      <a:off x="0" y="0"/>
                      <a:ext cx="4297680" cy="4389120"/>
                    </a:xfrm>
                    <a:prstGeom prst="rect"/>
                  </pic:spPr>
                </pic:pic>
              </a:graphicData>
            </a:graphic>
          </wp:inline>
        </w:drawing>
      </w:r>
    </w:p>
    <w:p>
      <w:pPr>
        <w:keepNext w:val="0"/>
        <w:spacing w:line="276" w:lineRule="auto" w:after="200"/>
      </w:pPr>
      <w:r>
        <w:rPr>
          <w:b/>
          <w:sz w:val="19"/>
        </w:rPr>
        <w:t>Fig. 1</w:t>
      </w:r>
      <w:r>
        <w:rPr>
          <w:sz w:val="19"/>
        </w:rPr>
        <w:t xml:space="preserve"> (a) Gated and ungated cure at constant temperature (140 °C): the gated curve is the isothermal curve evaluated on the integrated-availability clock, and the integrated ODE (circles) agrees. (b) Delay of the gated cure relative to the ungated resin as a function of the conversion level: integrated (points), Eq. (6) (line), and the limit </w:t>
      </w:r>
      <w:r>
        <w:rPr>
          <w:i/>
          <w:sz w:val="19"/>
        </w:rPr>
        <w:t>τ</w:t>
      </w:r>
      <w:r>
        <w:rPr>
          <w:sz w:val="19"/>
          <w:vertAlign w:val="subscript"/>
        </w:rPr>
        <w:t>r</w:t>
      </w:r>
      <w:r>
        <w:rPr>
          <w:sz w:val="19"/>
          <w:vertAlign w:val="subscript"/>
        </w:rPr>
        <w:t>e</w:t>
      </w:r>
      <w:r>
        <w:rPr>
          <w:sz w:val="19"/>
          <w:vertAlign w:val="subscript"/>
        </w:rPr>
        <w:t>l</w:t>
      </w:r>
      <w:r>
        <w:rPr>
          <w:sz w:val="19"/>
        </w:rPr>
        <w:t xml:space="preserve"> (dashed). (c) Sharpness against the rate-constant ratio: exact </w:t>
      </w:r>
      <w:r>
        <w:rPr>
          <w:i/>
          <w:sz w:val="19"/>
        </w:rPr>
        <w:t>n</w:t>
      </w:r>
      <w:r>
        <w:rPr>
          <w:sz w:val="19"/>
        </w:rPr>
        <w:t xml:space="preserve"> = 1, the asymptotic law Eq. (9), and integrated results for </w:t>
      </w:r>
      <w:r>
        <w:rPr>
          <w:i/>
          <w:sz w:val="19"/>
        </w:rPr>
        <w:t>n</w:t>
      </w:r>
      <w:r>
        <w:rPr>
          <w:sz w:val="19"/>
        </w:rPr>
        <w:t xml:space="preserve"> = 3/2</w:t>
      </w:r>
    </w:p>
    <w:p>
      <w:pPr>
        <w:pStyle w:val="Heading2"/>
      </w:pPr>
      <w:r>
        <w:rPr>
          <w:rFonts w:ascii="Times New Roman" w:hAnsi="Times New Roman"/>
        </w:rPr>
        <w:t>3.3 Proposition 3: storage conversion of a capsule population and a bound on the spread</w:t>
      </w:r>
    </w:p>
    <w:p>
      <w:pPr>
        <w:keepNext w:val="0"/>
        <w:jc w:val="both"/>
      </w:pPr>
      <w:r>
        <w:t xml:space="preserve">A capsule that is open at the storage temperature </w:t>
      </w:r>
      <w:r>
        <w:rPr>
          <w:i/>
        </w:rPr>
        <w:t>T</w:t>
      </w:r>
      <w:r>
        <w:rPr>
          <w:vertAlign w:val="subscript"/>
        </w:rPr>
        <w:t>s</w:t>
      </w:r>
      <w:r>
        <w:t xml:space="preserve"> releases catalyst that drives the cure at </w:t>
      </w:r>
      <w:r>
        <w:rPr>
          <w:i/>
        </w:rPr>
        <w:t>T</w:t>
      </w:r>
      <w:r>
        <w:rPr>
          <w:vertAlign w:val="subscript"/>
        </w:rPr>
        <w:t>s</w:t>
      </w:r>
      <w:r>
        <w:t xml:space="preserve">. For a Gaussian spread </w:t>
      </w:r>
      <w:r>
        <w:rPr>
          <w:i/>
        </w:rPr>
        <w:t>σ</w:t>
      </w:r>
      <w:r>
        <w:t xml:space="preserve"> of melting temperatures and a logistic activation of width </w:t>
      </w:r>
      <w:r>
        <w:rPr>
          <w:i/>
        </w:rPr>
        <w:t>w</w:t>
      </w:r>
      <w:r>
        <w:rPr>
          <w:vertAlign w:val="subscript"/>
        </w:rPr>
        <w:t>0</w:t>
      </w:r>
      <w:r>
        <w:t xml:space="preserve">, the equilibrium open fraction at a margin Δ = </w:t>
      </w:r>
      <w:r>
        <w:rPr>
          <w:i/>
        </w:rPr>
        <w:t>T</w:t>
      </w:r>
      <w:r>
        <w:rPr>
          <w:vertAlign w:val="subscript"/>
        </w:rPr>
        <w:t>m</w:t>
      </w:r>
      <w:r>
        <w:t xml:space="preserve"> − </w:t>
      </w:r>
      <w:r>
        <w:rPr>
          <w:i/>
        </w:rPr>
        <w:t>T</w:t>
      </w:r>
      <w:r>
        <w:rPr>
          <w:vertAlign w:val="subscript"/>
        </w:rPr>
        <w:t>s</w:t>
      </w:r>
      <w:r>
        <w:t xml:space="preserve"> is the Gaussian–logistic convolution, which the probit approximation (matching the variance π²</w:t>
      </w:r>
      <w:r>
        <w:rPr>
          <w:i/>
        </w:rPr>
        <w:t>w</w:t>
      </w:r>
      <w:r>
        <w:rPr>
          <w:vertAlign w:val="subscript"/>
        </w:rPr>
        <w:t>0</w:t>
      </w:r>
      <w:r>
        <w:t>²/3 of the logistic) writes as</w:t>
      </w:r>
    </w:p>
    <w:p>
      <w:pPr>
        <w:keepLines/>
        <w:tabs>
          <w:tab w:pos="4680" w:val="center"/>
          <w:tab w:pos="9360" w:val="right"/>
        </w:tabs>
        <w:spacing w:before="120" w:after="120"/>
      </w:pPr>
      <w:r>
        <w:tab/>
      </w:r>
      <m:oMath>
        <m:r>
          <m:rPr>
            <m:sty m:val="i"/>
          </m:rPr>
          <w:rPr>
            <w:rFonts w:ascii="Cambria Math" w:hAnsi="Cambria Math"/>
            <w:i/>
          </w:rPr>
          <m:t xml:space="preserve">f</m:t>
        </m:r>
        <m:r>
          <m:rPr>
            <m:nor/>
          </m:rPr>
          <w:rPr>
            <w:rFonts w:ascii="Cambria Math" w:hAnsi="Cambria Math"/>
            <w:i w:val="0"/>
          </w:rPr>
          <m:t xml:space="preserve"> = </m:t>
        </m:r>
        <m:r>
          <m:rPr>
            <m:nor/>
          </m:rPr>
          <w:rPr>
            <w:rFonts w:ascii="Cambria Math" w:hAnsi="Cambria Math"/>
            <w:i w:val="0"/>
          </w:rPr>
          <m:t xml:space="preserve">Φ</m:t>
        </m:r>
        <m:d>
          <m:dPr>
            <m:begChr m:val="("/>
            <m:endChr m:val=")"/>
            <m:ctrlPr>
              <w:rPr>
                <w:rFonts w:ascii="Cambria Math" w:hAnsi="Cambria Math"/>
                <w:i/>
              </w:rPr>
            </m:ctrlPr>
          </m:dPr>
          <m:e>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Δ</m:t>
                </m:r>
              </m:num>
              <m:den>
                <m:sSub>
                  <m:sSubPr>
                    <m:ctrlPr>
                      <w:rPr>
                        <w:rFonts w:ascii="Cambria Math" w:hAnsi="Cambria Math"/>
                        <w:i/>
                      </w:rPr>
                    </m:ctrlPr>
                  </m:sSubPr>
                  <m:e>
                    <m:r>
                      <m:rPr>
                        <m:sty m:val="i"/>
                      </m:rPr>
                      <w:rPr>
                        <w:rFonts w:ascii="Cambria Math" w:hAnsi="Cambria Math"/>
                        <w:i/>
                      </w:rPr>
                      <m:t xml:space="preserve">σ</m:t>
                    </m:r>
                  </m:e>
                  <m:sub>
                    <m:r>
                      <m:rPr>
                        <m:nor/>
                      </m:rPr>
                      <w:rPr>
                        <w:rFonts w:ascii="Cambria Math" w:hAnsi="Cambria Math"/>
                        <w:i w:val="0"/>
                      </w:rPr>
                      <m:t xml:space="preserve">eff</m:t>
                    </m:r>
                  </m:sub>
                </m:sSub>
              </m:den>
            </m:f>
          </m:e>
        </m:d>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σ</m:t>
            </m:r>
          </m:e>
          <m:sub>
            <m:r>
              <m:rPr>
                <m:nor/>
              </m:rPr>
              <w:rPr>
                <w:rFonts w:ascii="Cambria Math" w:hAnsi="Cambria Math"/>
                <w:i w:val="0"/>
              </w:rPr>
              <m:t xml:space="preserve">eff</m:t>
            </m:r>
          </m:sub>
        </m:sSub>
        <m:r>
          <m:rPr>
            <m:nor/>
          </m:rPr>
          <w:rPr>
            <w:rFonts w:ascii="Cambria Math" w:hAnsi="Cambria Math"/>
            <w:i w:val="0"/>
          </w:rPr>
          <m:t xml:space="preserve">²</m:t>
        </m:r>
        <m:r>
          <m:rPr>
            <m:nor/>
          </m:rPr>
          <w:rPr>
            <w:rFonts w:ascii="Cambria Math" w:hAnsi="Cambria Math"/>
            <w:i w:val="0"/>
          </w:rPr>
          <m:t xml:space="preserve"> = </m:t>
        </m:r>
        <m:sSup>
          <m:sSupPr>
            <m:ctrlPr>
              <w:rPr>
                <w:rFonts w:ascii="Cambria Math" w:hAnsi="Cambria Math"/>
                <w:i/>
              </w:rPr>
            </m:ctrlPr>
          </m:sSupPr>
          <m:e>
            <m:r>
              <m:rPr>
                <m:sty m:val="i"/>
              </m:rPr>
              <w:rPr>
                <w:rFonts w:ascii="Cambria Math" w:hAnsi="Cambria Math"/>
                <w:i/>
              </w:rPr>
              <m:t xml:space="preserve">σ</m:t>
            </m:r>
          </m:e>
          <m:sup>
            <m:r>
              <m:rPr>
                <m:nor/>
              </m:rPr>
              <w:rPr>
                <w:rFonts w:ascii="Cambria Math" w:hAnsi="Cambria Math"/>
                <w:i w:val="0"/>
              </w:rPr>
              <m:t xml:space="preserve">2</m:t>
            </m:r>
          </m:sup>
        </m:sSup>
        <m:r>
          <m:rPr>
            <m:nor/>
          </m:rPr>
          <w:rPr>
            <w:rFonts w:ascii="Cambria Math" w:hAnsi="Cambria Math"/>
            <w:i w:val="0"/>
          </w:rPr>
          <m:t xml:space="preserve"> + </m:t>
        </m:r>
        <m:f>
          <m:fPr>
            <m:ctrlPr>
              <w:rPr>
                <w:rFonts w:ascii="Cambria Math" w:hAnsi="Cambria Math"/>
                <w:i/>
              </w:rPr>
            </m:ctrlPr>
          </m:fPr>
          <m:num>
            <m:sSup>
              <m:sSupPr>
                <m:ctrlPr>
                  <w:rPr>
                    <w:rFonts w:ascii="Cambria Math" w:hAnsi="Cambria Math"/>
                    <w:i/>
                  </w:rPr>
                </m:ctrlPr>
              </m:sSupPr>
              <m:e>
                <m:r>
                  <m:rPr>
                    <m:nor/>
                  </m:rPr>
                  <w:rPr>
                    <w:rFonts w:ascii="Cambria Math" w:hAnsi="Cambria Math"/>
                    <w:i w:val="0"/>
                  </w:rPr>
                  <m:t xml:space="preserve">π</m:t>
                </m:r>
              </m:e>
              <m:sup>
                <m:r>
                  <m:rPr>
                    <m:nor/>
                  </m:rPr>
                  <w:rPr>
                    <w:rFonts w:ascii="Cambria Math" w:hAnsi="Cambria Math"/>
                    <w:i w:val="0"/>
                  </w:rPr>
                  <m:t xml:space="preserve">2</m:t>
                </m:r>
              </m:sup>
            </m:sSup>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0</m:t>
                    </m:r>
                  </m:sub>
                </m:sSub>
              </m:e>
              <m:sup>
                <m:r>
                  <m:rPr>
                    <m:nor/>
                  </m:rPr>
                  <w:rPr>
                    <w:rFonts w:ascii="Cambria Math" w:hAnsi="Cambria Math"/>
                    <w:i w:val="0"/>
                  </w:rPr>
                  <m:t xml:space="preserve">2</m:t>
                </m:r>
              </m:sup>
            </m:sSup>
          </m:num>
          <m:den>
            <m:r>
              <m:rPr>
                <m:nor/>
              </m:rPr>
              <w:rPr>
                <w:rFonts w:ascii="Cambria Math" w:hAnsi="Cambria Math"/>
                <w:i w:val="0"/>
              </w:rPr>
              <m:t xml:space="preserve">3</m:t>
            </m:r>
          </m:den>
        </m:f>
        <m:r>
          <m:rPr>
            <m:nor/>
          </m:rPr>
          <w:rPr>
            <w:rFonts w:ascii="Cambria Math" w:hAnsi="Cambria Math"/>
            <w:i w:val="0"/>
          </w:rPr>
          <m:t xml:space="preserve">.</m:t>
        </m:r>
      </m:oMath>
      <w:r>
        <w:tab/>
        <w:t xml:space="preserve">(10)</w:t>
      </w:r>
    </w:p>
    <w:p>
      <w:pPr>
        <w:keepNext w:val="0"/>
        <w:jc w:val="both"/>
      </w:pPr>
      <w:r>
        <w:t xml:space="preserve">The approximation, not the identity, carries the error of this step; it is tested below. </w:t>
      </w:r>
      <w:r>
        <w:rPr>
          <w:b/>
        </w:rPr>
        <w:t>Proposition 3.</w:t>
      </w:r>
      <w:r>
        <w:t xml:space="preserve"> If every capsule relaxes toward its own activation with the common rate constant </w:t>
      </w:r>
      <w:r>
        <w:rPr>
          <w:i/>
        </w:rPr>
        <w:t>k</w:t>
      </w:r>
      <w:r>
        <w:rPr>
          <w:vertAlign w:val="subscript"/>
        </w:rPr>
        <w:t>r</w:t>
      </w:r>
      <w:r>
        <w:rPr>
          <w:vertAlign w:val="subscript"/>
        </w:rPr>
        <w:t>e</w:t>
      </w:r>
      <w:r>
        <w:rPr>
          <w:vertAlign w:val="subscript"/>
        </w:rPr>
        <w:t>l</w:t>
      </w:r>
      <w:r>
        <w:t>(</w:t>
      </w:r>
      <w:r>
        <w:rPr>
          <w:i/>
        </w:rPr>
        <w:t>T</w:t>
      </w:r>
      <w:r>
        <w:rPr>
          <w:vertAlign w:val="subscript"/>
        </w:rPr>
        <w:t>s</w:t>
      </w:r>
      <w:r>
        <w:t>), then ⟨</w:t>
      </w:r>
      <w:r>
        <w:rPr>
          <w:i/>
        </w:rPr>
        <w:t>C</w:t>
      </w:r>
      <w:r>
        <w:t>⟩(</w:t>
      </w:r>
      <w:r>
        <w:rPr>
          <w:i/>
        </w:rPr>
        <w:t>t</w:t>
      </w:r>
      <w:r>
        <w:t xml:space="preserve">) = </w:t>
      </w:r>
      <w:r>
        <w:rPr>
          <w:i/>
        </w:rPr>
        <w:t>f</w:t>
      </w:r>
      <w:r>
        <w:t>[1 − exp(−</w:t>
      </w:r>
      <w:r>
        <w:rPr>
          <w:i/>
        </w:rPr>
        <w:t>k</w:t>
      </w:r>
      <w:r>
        <w:rPr>
          <w:vertAlign w:val="subscript"/>
        </w:rPr>
        <w:t>r</w:t>
      </w:r>
      <w:r>
        <w:rPr>
          <w:vertAlign w:val="subscript"/>
        </w:rPr>
        <w:t>e</w:t>
      </w:r>
      <w:r>
        <w:rPr>
          <w:vertAlign w:val="subscript"/>
        </w:rPr>
        <w:t>l</w:t>
      </w:r>
      <w:r>
        <w:rPr>
          <w:i/>
        </w:rPr>
        <w:t>t</w:t>
      </w:r>
      <w:r>
        <w:t>)] and, in the small-conversion limit (</w:t>
      </w:r>
      <w:r>
        <w:rPr>
          <w:i/>
        </w:rPr>
        <w:t>α</w:t>
      </w:r>
      <w:r>
        <w:t xml:space="preserve"> ≪ 1, (1 − </w:t>
      </w:r>
      <w:r>
        <w:rPr>
          <w:i/>
        </w:rPr>
        <w:t>α</w:t>
      </w:r>
      <w:r>
        <w:t>)</w:t>
      </w:r>
      <w:r>
        <w:rPr>
          <w:vertAlign w:val="superscript"/>
        </w:rPr>
        <w:t>n</w:t>
      </w:r>
      <w:r>
        <w:t xml:space="preserve"> ≈ 1), the storage conversion after a time </w:t>
      </w:r>
      <w:r>
        <w:rPr>
          <w:i/>
        </w:rPr>
        <w:t>t</w:t>
      </w:r>
      <w:r>
        <w:t xml:space="preserve">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α</m:t>
            </m:r>
          </m:e>
          <m:sub>
            <m:r>
              <m:rPr>
                <m:nor/>
              </m:rPr>
              <w:rPr>
                <w:rFonts w:ascii="Cambria Math" w:hAnsi="Cambria Math"/>
                <w:i w:val="0"/>
              </w:rPr>
              <m:t xml:space="preserve">s</m:t>
            </m:r>
          </m:sub>
        </m:sSub>
        <m:d>
          <m:dPr>
            <m:begChr m:val="("/>
            <m:endChr m:val=")"/>
            <m:ctrlPr>
              <w:rPr>
                <w:rFonts w:ascii="Cambria Math" w:hAnsi="Cambria Math"/>
                <w:i/>
              </w:rPr>
            </m:ctrlPr>
          </m:dPr>
          <m:e>
            <m:r>
              <m:rPr>
                <m:sty m:val="i"/>
              </m:rPr>
              <w:rPr>
                <w:rFonts w:ascii="Cambria Math" w:hAnsi="Cambria Math"/>
                <w:i/>
              </w:rPr>
              <m:t xml:space="preserve">t</m:t>
            </m:r>
          </m:e>
        </m:d>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a</m:t>
            </m:r>
          </m:num>
          <m:den>
            <m:r>
              <m:rPr>
                <m:sty m:val="i"/>
              </m:rPr>
              <w:rPr>
                <w:rFonts w:ascii="Cambria Math" w:hAnsi="Cambria Math"/>
                <w:i/>
              </w:rPr>
              <m:t xml:space="preserve">b</m:t>
            </m:r>
          </m:den>
        </m:f>
        <m:d>
          <m:dPr>
            <m:begChr m:val="["/>
            <m:endChr m:val="]"/>
            <m:ctrlPr>
              <w:rPr>
                <w:rFonts w:ascii="Cambria Math" w:hAnsi="Cambria Math"/>
                <w:i/>
              </w:rPr>
            </m:ctrlPr>
          </m:dPr>
          <m:e>
            <m:r>
              <m:rPr>
                <m:nor/>
              </m:rPr>
              <w:rPr>
                <w:rFonts w:ascii="Cambria Math" w:hAnsi="Cambria Math"/>
                <w:i w:val="0"/>
              </w:rPr>
              <m:t xml:space="preserve">exp</m:t>
            </m:r>
            <m:d>
              <m:dPr>
                <m:begChr m:val="("/>
                <m:endChr m:val=")"/>
                <m:ctrlPr>
                  <w:rPr>
                    <w:rFonts w:ascii="Cambria Math" w:hAnsi="Cambria Math"/>
                    <w:i/>
                  </w:rPr>
                </m:ctrlPr>
              </m:dPr>
              <m:e>
                <m:r>
                  <m:rPr>
                    <m:sty m:val="i"/>
                  </m:rPr>
                  <w:rPr>
                    <w:rFonts w:ascii="Cambria Math" w:hAnsi="Cambria Math"/>
                    <w:i/>
                  </w:rPr>
                  <m:t xml:space="preserve">b</m:t>
                </m:r>
                <m:r>
                  <m:rPr>
                    <m:sty m:val="i"/>
                  </m:rPr>
                  <w:rPr>
                    <w:rFonts w:ascii="Cambria Math" w:hAnsi="Cambria Math"/>
                    <w:i/>
                  </w:rPr>
                  <m:t xml:space="preserve">f</m:t>
                </m:r>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eff</m:t>
                    </m:r>
                  </m:sub>
                </m:sSub>
              </m:e>
            </m:d>
            <m:r>
              <m:rPr>
                <m:nor/>
              </m:rPr>
              <w:rPr>
                <w:rFonts w:ascii="Cambria Math" w:hAnsi="Cambria Math"/>
                <w:i w:val="0"/>
              </w:rPr>
              <m:t xml:space="preserve"> − </m:t>
            </m:r>
            <m:r>
              <m:rPr>
                <m:nor/>
              </m:rPr>
              <w:rPr>
                <w:rFonts w:ascii="Cambria Math" w:hAnsi="Cambria Math"/>
                <w:i w:val="0"/>
              </w:rPr>
              <m:t xml:space="preserve">1</m:t>
            </m:r>
          </m:e>
        </m:d>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t</m:t>
            </m:r>
          </m:e>
          <m:sub>
            <m:r>
              <m:rPr>
                <m:nor/>
              </m:rPr>
              <w:rPr>
                <w:rFonts w:ascii="Cambria Math" w:hAnsi="Cambria Math"/>
                <w:i w:val="0"/>
              </w:rPr>
              <m:t xml:space="preserve">eff</m:t>
            </m:r>
          </m:sub>
        </m:sSub>
        <m:r>
          <m:rPr>
            <m:nor/>
          </m:rPr>
          <w:rPr>
            <w:rFonts w:ascii="Cambria Math" w:hAnsi="Cambria Math"/>
            <w:i w:val="0"/>
          </w:rPr>
          <m:t xml:space="preserve"> = </m:t>
        </m:r>
        <m:r>
          <m:rPr>
            <m:sty m:val="i"/>
          </m:rPr>
          <w:rPr>
            <w:rFonts w:ascii="Cambria Math" w:hAnsi="Cambria Math"/>
            <w:i/>
          </w:rPr>
          <m:t xml:space="preserve">t</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rel</m:t>
            </m:r>
          </m:sub>
        </m:sSub>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nor/>
              </m:rPr>
              <w:rPr>
                <w:rFonts w:ascii="Cambria Math" w:hAnsi="Cambria Math"/>
                <w:i w:val="0"/>
              </w:rPr>
              <m:t xml:space="preserve">exp</m:t>
            </m:r>
            <m:d>
              <m:dPr>
                <m:begChr m:val="("/>
                <m:endChr m:val=")"/>
                <m:ctrlPr>
                  <w:rPr>
                    <w:rFonts w:ascii="Cambria Math" w:hAnsi="Cambria Math"/>
                    <w:i/>
                  </w:rPr>
                </m:ctrlPr>
              </m:dPr>
              <m:e>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t</m:t>
                    </m:r>
                  </m:num>
                  <m:den>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rel</m:t>
                        </m:r>
                      </m:sub>
                    </m:sSub>
                  </m:den>
                </m:f>
              </m:e>
            </m:d>
          </m:e>
        </m:d>
        <m:r>
          <m:rPr>
            <m:nor/>
          </m:rPr>
          <w:rPr>
            <w:rFonts w:ascii="Cambria Math" w:hAnsi="Cambria Math"/>
            <w:i w:val="0"/>
          </w:rPr>
          <m:t xml:space="preserve">.</m:t>
        </m:r>
      </m:oMath>
      <w:r>
        <w:tab/>
        <w:t xml:space="preserve">(11)</w:t>
      </w:r>
    </w:p>
    <w:p>
      <w:pPr>
        <w:keepNext w:val="0"/>
        <w:jc w:val="both"/>
      </w:pPr>
      <w:r>
        <w:rPr>
          <w:i/>
        </w:rPr>
        <w:t>Proof.</w:t>
      </w:r>
      <w:r>
        <w:t xml:space="preserve"> In the small-conversion limit the rate law is linear, </w:t>
      </w:r>
      <w:r>
        <w:rPr>
          <w:i/>
        </w:rPr>
        <w:t>dα</w:t>
      </w:r>
      <w:r>
        <w:t>/dt = ⟨</w:t>
      </w:r>
      <w:r>
        <w:rPr>
          <w:i/>
        </w:rPr>
        <w:t>C</w:t>
      </w:r>
      <w:r>
        <w:t>⟩(</w:t>
      </w:r>
      <w:r>
        <w:rPr>
          <w:i/>
        </w:rPr>
        <w:t>a</w:t>
      </w:r>
      <w:r>
        <w:t xml:space="preserve"> + </w:t>
      </w:r>
      <w:r>
        <w:rPr>
          <w:i/>
        </w:rPr>
        <w:t>bα</w:t>
      </w:r>
      <w:r>
        <w:t xml:space="preserve">), so that </w:t>
      </w:r>
      <w:r>
        <w:rPr>
          <w:i/>
        </w:rPr>
        <w:t>α</w:t>
      </w:r>
      <w:r>
        <w:t xml:space="preserve"> = (</w:t>
      </w:r>
      <w:r>
        <w:rPr>
          <w:i/>
        </w:rPr>
        <w:t>a</w:t>
      </w:r>
      <w:r>
        <w:t>/</w:t>
      </w:r>
      <w:r>
        <w:rPr>
          <w:i/>
        </w:rPr>
        <w:t>b</w:t>
      </w:r>
      <w:r>
        <w:t>)[exp(</w:t>
      </w:r>
      <w:r>
        <w:rPr>
          <w:i/>
        </w:rPr>
        <w:t>b</w:t>
      </w:r>
      <w:r>
        <w:t xml:space="preserve"> </w:t>
      </w:r>
      <w:r>
        <w:rPr>
          <w:i/>
        </w:rPr>
        <w:t>s</w:t>
      </w:r>
      <w:r>
        <w:t>(</w:t>
      </w:r>
      <w:r>
        <w:rPr>
          <w:i/>
        </w:rPr>
        <w:t>t</w:t>
      </w:r>
      <w:r>
        <w:t xml:space="preserve">)) − 1] with </w:t>
      </w:r>
      <w:r>
        <w:rPr>
          <w:i/>
        </w:rPr>
        <w:t>s</w:t>
      </w:r>
      <w:r>
        <w:t>(</w:t>
      </w:r>
      <w:r>
        <w:rPr>
          <w:i/>
        </w:rPr>
        <w:t>t</w:t>
      </w:r>
      <w:r>
        <w:t>) = ∫⟨</w:t>
      </w:r>
      <w:r>
        <w:rPr>
          <w:i/>
        </w:rPr>
        <w:t>C</w:t>
      </w:r>
      <w:r>
        <w:t xml:space="preserve">⟩dt = </w:t>
      </w:r>
      <w:r>
        <w:rPr>
          <w:i/>
        </w:rPr>
        <w:t>f</w:t>
      </w:r>
      <w:r>
        <w:t xml:space="preserve"> </w:t>
      </w:r>
      <w:r>
        <w:rPr>
          <w:i/>
        </w:rPr>
        <w:t>t</w:t>
      </w:r>
      <w:r>
        <w:rPr>
          <w:vertAlign w:val="subscript"/>
        </w:rPr>
        <w:t>e</w:t>
      </w:r>
      <w:r>
        <w:rPr>
          <w:vertAlign w:val="subscript"/>
        </w:rPr>
        <w:t>f</w:t>
      </w:r>
      <w:r>
        <w:rPr>
          <w:vertAlign w:val="subscript"/>
        </w:rPr>
        <w:t>f</w:t>
      </w:r>
      <w:r>
        <w:t xml:space="preserve">. ∎ The tolerance </w:t>
      </w:r>
      <w:r>
        <w:rPr>
          <w:i/>
        </w:rPr>
        <w:t>η</w:t>
      </w:r>
      <w:r>
        <w:t xml:space="preserve"> on the storage conversion (a symbol distinct from </w:t>
      </w:r>
      <w:r>
        <w:rPr>
          <w:i/>
        </w:rPr>
        <w:t>ε</w:t>
      </w:r>
      <w:r>
        <w:t xml:space="preserve"> = </w:t>
      </w:r>
      <w:r>
        <w:rPr>
          <w:i/>
        </w:rPr>
        <w:t>k</w:t>
      </w:r>
      <w:r>
        <w:rPr>
          <w:vertAlign w:val="subscript"/>
        </w:rPr>
        <w:t>1</w:t>
      </w:r>
      <w:r>
        <w:t>/</w:t>
      </w:r>
      <w:r>
        <w:rPr>
          <w:i/>
        </w:rPr>
        <w:t>k</w:t>
      </w:r>
      <w:r>
        <w:rPr>
          <w:vertAlign w:val="subscript"/>
        </w:rPr>
        <w:t>2</w:t>
      </w:r>
      <w:r>
        <w:t xml:space="preserve">) then fixes the largest admissible open fraction, </w:t>
      </w:r>
      <w:r>
        <w:rPr>
          <w:i/>
        </w:rPr>
        <w:t>f</w:t>
      </w:r>
      <w:r>
        <w:rPr>
          <w:vertAlign w:val="superscript"/>
        </w:rPr>
        <w:t>*</w:t>
      </w:r>
      <w:r>
        <w:t xml:space="preserve"> = ln(1 + </w:t>
      </w:r>
      <w:r>
        <w:rPr>
          <w:i/>
        </w:rPr>
        <w:t>ηb</w:t>
      </w:r>
      <w:r>
        <w:t>/</w:t>
      </w:r>
      <w:r>
        <w:rPr>
          <w:i/>
        </w:rPr>
        <w:t>a</w:t>
      </w:r>
      <w:r>
        <w:t>)/(</w:t>
      </w:r>
      <w:r>
        <w:rPr>
          <w:i/>
        </w:rPr>
        <w:t>b</w:t>
      </w:r>
      <w:r>
        <w:t xml:space="preserve"> </w:t>
      </w:r>
      <w:r>
        <w:rPr>
          <w:i/>
        </w:rPr>
        <w:t>t</w:t>
      </w:r>
      <w:r>
        <w:rPr>
          <w:vertAlign w:val="subscript"/>
        </w:rPr>
        <w:t>e</w:t>
      </w:r>
      <w:r>
        <w:rPr>
          <w:vertAlign w:val="subscript"/>
        </w:rPr>
        <w:t>f</w:t>
      </w:r>
      <w:r>
        <w:rPr>
          <w:vertAlign w:val="subscript"/>
        </w:rPr>
        <w:t>f</w:t>
      </w:r>
      <w:r>
        <w:t xml:space="preserve">), which is exact for Eq. (10) as stated (that is, within the small-conversion linear response and the Gaussian–logistic description of the open fraction), and the bound on the spread follows by inverting Eq. (10), including </w:t>
      </w:r>
      <w:r>
        <w:rPr>
          <w:i/>
        </w:rPr>
        <w:t>w</w:t>
      </w:r>
      <w:r>
        <w:rPr>
          <w:vertAlign w:val="subscript"/>
        </w:rPr>
        <w:t>0</w:t>
      </w:r>
      <w:r>
        <w:t>:</w:t>
      </w:r>
    </w:p>
    <w:p>
      <w:pPr>
        <w:keepLines/>
        <w:tabs>
          <w:tab w:pos="4680" w:val="center"/>
          <w:tab w:pos="9360" w:val="right"/>
        </w:tabs>
        <w:spacing w:before="120" w:after="120"/>
      </w:pPr>
      <w:r>
        <w:tab/>
      </w:r>
      <m:oMath>
        <m:sSup>
          <m:sSupPr>
            <m:ctrlPr>
              <w:rPr>
                <w:rFonts w:ascii="Cambria Math" w:hAnsi="Cambria Math"/>
                <w:i/>
              </w:rPr>
            </m:ctrlPr>
          </m:sSupPr>
          <m:e>
            <m:r>
              <m:rPr>
                <m:sty m:val="i"/>
              </m:rPr>
              <w:rPr>
                <w:rFonts w:ascii="Cambria Math" w:hAnsi="Cambria Math"/>
                <w:i/>
              </w:rPr>
              <m:t xml:space="preserve">σ</m:t>
            </m:r>
          </m:e>
          <m:sup>
            <m:r>
              <m:rPr>
                <m:nor/>
              </m:rPr>
              <w:rPr>
                <w:rFonts w:ascii="Cambria Math" w:hAnsi="Cambria Math"/>
                <w:i w:val="0"/>
              </w:rPr>
              <m:t xml:space="preserve">*</m:t>
            </m:r>
          </m:sup>
        </m:sSup>
        <m:r>
          <m:rPr>
            <m:nor/>
          </m:rPr>
          <w:rPr>
            <w:rFonts w:ascii="Cambria Math" w:hAnsi="Cambria Math"/>
            <w:i w:val="0"/>
          </w:rPr>
          <m:t xml:space="preserve"> = </m:t>
        </m:r>
        <m:r>
          <m:rPr>
            <m:nor/>
          </m:rPr>
          <w:rPr>
            <w:rFonts w:ascii="Cambria Math" w:hAnsi="Cambria Math"/>
            <w:i w:val="0"/>
          </w:rPr>
          <m:t xml:space="preserve">√</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m:rPr>
                        <m:sty m:val="i"/>
                      </m:rPr>
                      <w:rPr>
                        <w:rFonts w:ascii="Cambria Math" w:hAnsi="Cambria Math"/>
                        <w:i/>
                      </w:rPr>
                      <m:t xml:space="preserve">Δ</m:t>
                    </m:r>
                  </m:num>
                  <m:den>
                    <m:sSup>
                      <m:sSupPr>
                        <m:ctrlPr>
                          <w:rPr>
                            <w:rFonts w:ascii="Cambria Math" w:hAnsi="Cambria Math"/>
                            <w:i/>
                          </w:rPr>
                        </m:ctrlPr>
                      </m:sSupPr>
                      <m:e>
                        <m:r>
                          <m:rPr>
                            <m:sty m:val="i"/>
                          </m:rPr>
                          <w:rPr>
                            <w:rFonts w:ascii="Cambria Math" w:hAnsi="Cambria Math"/>
                            <w:i/>
                          </w:rPr>
                          <m:t xml:space="preserve">z</m:t>
                        </m:r>
                      </m:e>
                      <m:sup>
                        <m:r>
                          <m:rPr>
                            <m:nor/>
                          </m:rPr>
                          <w:rPr>
                            <w:rFonts w:ascii="Cambria Math" w:hAnsi="Cambria Math"/>
                            <w:i w:val="0"/>
                          </w:rPr>
                          <m:t xml:space="preserve">*</m:t>
                        </m:r>
                      </m:sup>
                    </m:sSup>
                  </m:den>
                </m:f>
              </m:e>
            </m:d>
            <m:r>
              <m:rPr>
                <m:nor/>
              </m:rPr>
              <w:rPr>
                <w:rFonts w:ascii="Cambria Math" w:hAnsi="Cambria Math"/>
                <w:i w:val="0"/>
              </w:rPr>
              <m:t xml:space="preserve">²</m:t>
            </m:r>
            <m:r>
              <m:rPr>
                <m:nor/>
              </m:rPr>
              <w:rPr>
                <w:rFonts w:ascii="Cambria Math" w:hAnsi="Cambria Math"/>
                <w:i w:val="0"/>
              </w:rPr>
              <m:t xml:space="preserve"> − </m:t>
            </m:r>
            <m:f>
              <m:fPr>
                <m:ctrlPr>
                  <w:rPr>
                    <w:rFonts w:ascii="Cambria Math" w:hAnsi="Cambria Math"/>
                    <w:i/>
                  </w:rPr>
                </m:ctrlPr>
              </m:fPr>
              <m:num>
                <m:sSup>
                  <m:sSupPr>
                    <m:ctrlPr>
                      <w:rPr>
                        <w:rFonts w:ascii="Cambria Math" w:hAnsi="Cambria Math"/>
                        <w:i/>
                      </w:rPr>
                    </m:ctrlPr>
                  </m:sSupPr>
                  <m:e>
                    <m:r>
                      <m:rPr>
                        <m:nor/>
                      </m:rPr>
                      <w:rPr>
                        <w:rFonts w:ascii="Cambria Math" w:hAnsi="Cambria Math"/>
                        <w:i w:val="0"/>
                      </w:rPr>
                      <m:t xml:space="preserve">π</m:t>
                    </m:r>
                  </m:e>
                  <m:sup>
                    <m:r>
                      <m:rPr>
                        <m:nor/>
                      </m:rPr>
                      <w:rPr>
                        <w:rFonts w:ascii="Cambria Math" w:hAnsi="Cambria Math"/>
                        <w:i w:val="0"/>
                      </w:rPr>
                      <m:t xml:space="preserve">2</m:t>
                    </m:r>
                  </m:sup>
                </m:sSup>
                <m:sSup>
                  <m:sSupPr>
                    <m:ctrlPr>
                      <w:rPr>
                        <w:rFonts w:ascii="Cambria Math" w:hAnsi="Cambria Math"/>
                        <w:i/>
                      </w:rPr>
                    </m:ctrlPr>
                  </m:sSupPr>
                  <m:e>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0</m:t>
                        </m:r>
                      </m:sub>
                    </m:sSub>
                  </m:e>
                  <m:sup>
                    <m:r>
                      <m:rPr>
                        <m:nor/>
                      </m:rPr>
                      <w:rPr>
                        <w:rFonts w:ascii="Cambria Math" w:hAnsi="Cambria Math"/>
                        <w:i w:val="0"/>
                      </w:rPr>
                      <m:t xml:space="preserve">2</m:t>
                    </m:r>
                  </m:sup>
                </m:sSup>
              </m:num>
              <m:den>
                <m:r>
                  <m:rPr>
                    <m:nor/>
                  </m:rPr>
                  <w:rPr>
                    <w:rFonts w:ascii="Cambria Math" w:hAnsi="Cambria Math"/>
                    <w:i w:val="0"/>
                  </w:rPr>
                  <m:t xml:space="preserve">3</m:t>
                </m:r>
              </m:den>
            </m:f>
          </m:e>
        </m:d>
        <m:r>
          <m:rPr>
            <m:nor/>
          </m:rPr>
          <w:rPr>
            <w:rFonts w:ascii="Cambria Math" w:hAnsi="Cambria Math"/>
            <w:i w:val="0"/>
          </w:rPr>
          <m:t xml:space="preserve">,   </m:t>
        </m:r>
        <m:sSup>
          <m:sSupPr>
            <m:ctrlPr>
              <w:rPr>
                <w:rFonts w:ascii="Cambria Math" w:hAnsi="Cambria Math"/>
                <w:i/>
              </w:rPr>
            </m:ctrlPr>
          </m:sSupPr>
          <m:e>
            <m:r>
              <m:rPr>
                <m:sty m:val="i"/>
              </m:rPr>
              <w:rPr>
                <w:rFonts w:ascii="Cambria Math" w:hAnsi="Cambria Math"/>
                <w:i/>
              </w:rPr>
              <m:t xml:space="preserve">z</m:t>
            </m:r>
          </m:e>
          <m:sup>
            <m:r>
              <m:rPr>
                <m:nor/>
              </m:rPr>
              <w:rPr>
                <w:rFonts w:ascii="Cambria Math" w:hAnsi="Cambria Math"/>
                <w:i w:val="0"/>
              </w:rPr>
              <m:t xml:space="preserve">*</m:t>
            </m:r>
          </m:sup>
        </m:sSup>
        <m:r>
          <m:rPr>
            <m:nor/>
          </m:rPr>
          <w:rPr>
            <w:rFonts w:ascii="Cambria Math" w:hAnsi="Cambria Math"/>
            <w:i w:val="0"/>
          </w:rPr>
          <m:t xml:space="preserve"> = </m:t>
        </m:r>
        <m:r>
          <m:rPr>
            <m:nor/>
          </m:rPr>
          <w:rPr>
            <w:rFonts w:ascii="Cambria Math" w:hAnsi="Cambria Math"/>
            <w:i w:val="0"/>
          </w:rPr>
          <m:t xml:space="preserve"> − </m:t>
        </m:r>
        <m:sSup>
          <m:sSupPr>
            <m:ctrlPr>
              <w:rPr>
                <w:rFonts w:ascii="Cambria Math" w:hAnsi="Cambria Math"/>
                <w:i/>
              </w:rPr>
            </m:ctrlPr>
          </m:sSupPr>
          <m:e>
            <m:r>
              <m:rPr>
                <m:nor/>
              </m:rPr>
              <w:rPr>
                <w:rFonts w:ascii="Cambria Math" w:hAnsi="Cambria Math"/>
                <w:i w:val="0"/>
              </w:rPr>
              <m:t xml:space="preserve">Φ</m:t>
            </m:r>
          </m:e>
          <m:sup>
            <m:r>
              <m:rPr>
                <m:nor/>
              </m:rPr>
              <w:rPr>
                <w:rFonts w:ascii="Cambria Math" w:hAnsi="Cambria Math"/>
                <w:i w:val="0"/>
              </w:rPr>
              <m:t xml:space="preserve">−1</m:t>
            </m:r>
          </m:sup>
        </m:sSup>
        <m:d>
          <m:dPr>
            <m:begChr m:val="("/>
            <m:endChr m:val=")"/>
            <m:ctrlPr>
              <w:rPr>
                <w:rFonts w:ascii="Cambria Math" w:hAnsi="Cambria Math"/>
                <w:i/>
              </w:rPr>
            </m:ctrlPr>
          </m:dPr>
          <m:e>
            <m:sSup>
              <m:sSupPr>
                <m:ctrlPr>
                  <w:rPr>
                    <w:rFonts w:ascii="Cambria Math" w:hAnsi="Cambria Math"/>
                    <w:i/>
                  </w:rPr>
                </m:ctrlPr>
              </m:sSupPr>
              <m:e>
                <m:r>
                  <m:rPr>
                    <m:sty m:val="i"/>
                  </m:rPr>
                  <w:rPr>
                    <w:rFonts w:ascii="Cambria Math" w:hAnsi="Cambria Math"/>
                    <w:i/>
                  </w:rPr>
                  <m:t xml:space="preserve">f</m:t>
                </m:r>
              </m:e>
              <m:sup>
                <m:r>
                  <m:rPr>
                    <m:nor/>
                  </m:rPr>
                  <w:rPr>
                    <w:rFonts w:ascii="Cambria Math" w:hAnsi="Cambria Math"/>
                    <w:i w:val="0"/>
                  </w:rPr>
                  <m:t xml:space="preserve">*</m:t>
                </m:r>
              </m:sup>
            </m:sSup>
          </m:e>
        </m:d>
        <m:r>
          <m:rPr>
            <m:nor/>
          </m:rPr>
          <w:rPr>
            <w:rFonts w:ascii="Cambria Math" w:hAnsi="Cambria Math"/>
            <w:i w:val="0"/>
          </w:rPr>
          <m:t xml:space="preserve">.</m:t>
        </m:r>
      </m:oMath>
      <w:r>
        <w:tab/>
        <w:t xml:space="preserve">(12)</w:t>
      </w:r>
    </w:p>
    <w:p>
      <w:pPr>
        <w:keepNext w:val="0"/>
        <w:jc w:val="both"/>
      </w:pPr>
      <w:r>
        <w:t xml:space="preserve">This is defined for 0 &lt; </w:t>
      </w:r>
      <w:r>
        <w:rPr>
          <w:i/>
        </w:rPr>
        <w:t>f</w:t>
      </w:r>
      <w:r>
        <w:rPr>
          <w:vertAlign w:val="superscript"/>
        </w:rPr>
        <w:t>*</w:t>
      </w:r>
      <w:r>
        <w:t xml:space="preserve"> &lt; 1/2 (a finite positive bound). If </w:t>
      </w:r>
      <w:r>
        <w:rPr>
          <w:i/>
        </w:rPr>
        <w:t>f</w:t>
      </w:r>
      <w:r>
        <w:rPr>
          <w:vertAlign w:val="superscript"/>
        </w:rPr>
        <w:t>*</w:t>
      </w:r>
      <w:r>
        <w:t xml:space="preserve"> ≥ 1/2 no finite upper bound on the spread is imposed, because even a population centered at the margin Δ above the storage temperature cannot exceed the tolerance; if the radicand is negative, even </w:t>
      </w:r>
      <w:r>
        <w:rPr>
          <w:i/>
        </w:rPr>
        <w:t>σ</w:t>
      </w:r>
      <w:r>
        <w:t xml:space="preserve"> = 0 violates the tolerance because the logistic width alone opens too large a fraction. Eq. (12) with </w:t>
      </w:r>
      <w:r>
        <w:rPr>
          <w:i/>
        </w:rPr>
        <w:t>w</w:t>
      </w:r>
      <w:r>
        <w:rPr>
          <w:vertAlign w:val="subscript"/>
        </w:rPr>
        <w:t>0</w:t>
      </w:r>
      <w:r>
        <w:t xml:space="preserve"> = 0.5 °C generated Table 4; the column for </w:t>
      </w:r>
      <w:r>
        <w:rPr>
          <w:i/>
        </w:rPr>
        <w:t>w</w:t>
      </w:r>
      <w:r>
        <w:rPr>
          <w:vertAlign w:val="subscript"/>
        </w:rPr>
        <w:t>0</w:t>
      </w:r>
      <w:r>
        <w:t xml:space="preserve"> → 0 shows the limit, which differs from it most for the narrowest widths. We tested the closed forms against the capsule-population equations (</w:t>
      </w:r>
      <w:r>
        <w:rPr>
          <w:i/>
        </w:rPr>
        <w:t>K</w:t>
      </w:r>
      <w:r>
        <w:t xml:space="preserve"> = 3201 deterministic Gaussian quantiles of the melting temperature, constant temperature, </w:t>
      </w:r>
      <w:r>
        <w:rPr>
          <w:i/>
        </w:rPr>
        <w:t>t</w:t>
      </w:r>
      <w:r>
        <w:t xml:space="preserve"> = 150 min; the discretization error of this population is at most 0.05 %, Appendix A, and is therefore not part of the quoted deviations) for margins of 3, 6 and 10 °C and spreads of 2–10 °C: the storage conversions agree within 5 % (difference = closed form/numerical − 1; median ratio 0.992), the closed form agrees with the defining integral to 4e-16, and the spread </w:t>
      </w:r>
      <w:r>
        <w:rPr>
          <w:i/>
        </w:rPr>
        <w:t>σ</w:t>
      </w:r>
      <w:r>
        <w:rPr>
          <w:vertAlign w:val="superscript"/>
        </w:rPr>
        <w:t>*</w:t>
      </w:r>
      <w:r>
        <w:t xml:space="preserve"> that solves </w:t>
      </w:r>
      <w:r>
        <w:rPr>
          <w:i/>
        </w:rPr>
        <w:t>α</w:t>
      </w:r>
      <w:r>
        <w:rPr>
          <w:vertAlign w:val="subscript"/>
        </w:rPr>
        <w:t>s</w:t>
      </w:r>
      <w:r>
        <w:t xml:space="preserve"> = </w:t>
      </w:r>
      <w:r>
        <w:rPr>
          <w:i/>
        </w:rPr>
        <w:t>η</w:t>
      </w:r>
      <w:r>
        <w:t xml:space="preserve"> agrees with the root of the population equations within 3 % for all 8 cases in which the ODE reaches </w:t>
      </w:r>
      <w:r>
        <w:rPr>
          <w:i/>
        </w:rPr>
        <w:t>η</w:t>
      </w:r>
      <w:r>
        <w:t xml:space="preserve"> (Table 4). For </w:t>
      </w:r>
      <w:r>
        <w:rPr>
          <w:i/>
        </w:rPr>
        <w:t>η</w:t>
      </w:r>
      <w:r>
        <w:t xml:space="preserve"> = 0.01 and a 6 °C margin the bound is </w:t>
      </w:r>
      <w:r>
        <w:rPr>
          <w:i/>
        </w:rPr>
        <w:t>σ</w:t>
      </w:r>
      <w:r>
        <w:rPr>
          <w:vertAlign w:val="superscript"/>
        </w:rPr>
        <w:t>*</w:t>
      </w:r>
      <w:r>
        <w:t xml:space="preserve"> = 5.9 °C.</w:t>
      </w:r>
    </w:p>
    <w:p>
      <w:pPr>
        <w:keepNext/>
        <w:spacing w:line="276" w:lineRule="auto" w:after="200"/>
      </w:pPr>
      <w:r>
        <w:rPr>
          <w:b/>
          <w:sz w:val="19"/>
        </w:rPr>
        <w:t>Table 4</w:t>
      </w:r>
      <w:r>
        <w:rPr>
          <w:sz w:val="19"/>
        </w:rPr>
        <w:t xml:space="preserve"> Largest admissible melting-temperature spread </w:t>
      </w:r>
      <w:r>
        <w:rPr>
          <w:i/>
          <w:sz w:val="19"/>
        </w:rPr>
        <w:t>σ</w:t>
      </w:r>
      <w:r>
        <w:rPr>
          <w:sz w:val="19"/>
          <w:vertAlign w:val="superscript"/>
        </w:rPr>
        <w:t>*</w:t>
      </w:r>
      <w:r>
        <w:rPr>
          <w:sz w:val="19"/>
        </w:rPr>
        <w:t xml:space="preserve"> for a storage time of 150 min and </w:t>
      </w:r>
      <w:r>
        <w:rPr>
          <w:i/>
          <w:sz w:val="19"/>
        </w:rPr>
        <w:t>w</w:t>
      </w:r>
      <w:r>
        <w:rPr>
          <w:sz w:val="19"/>
          <w:vertAlign w:val="subscript"/>
        </w:rPr>
        <w:t>0</w:t>
      </w:r>
      <w:r>
        <w:rPr>
          <w:sz w:val="19"/>
        </w:rPr>
        <w:t xml:space="preserve"> = 0.5 °C: Eq. (12), its </w:t>
      </w:r>
      <w:r>
        <w:rPr>
          <w:i/>
          <w:sz w:val="19"/>
        </w:rPr>
        <w:t>w</w:t>
      </w:r>
      <w:r>
        <w:rPr>
          <w:sz w:val="19"/>
          <w:vertAlign w:val="subscript"/>
        </w:rPr>
        <w:t>0</w:t>
      </w:r>
      <w:r>
        <w:rPr>
          <w:sz w:val="19"/>
        </w:rPr>
        <w:t xml:space="preserve"> → 0 limit, and root-finding on the population equations (difference = closed form/ODE − 1).</w:t>
      </w:r>
    </w:p>
    <w:tbl>
      <w:tblPr>
        <w:tblStyle w:val="TableGrid"/>
        <w:tblW w:type="auto" w:w="0"/>
        <w:jc w:val="center"/>
        <w:tblLayout w:type="fixed"/>
        <w:tblLook w:firstColumn="1" w:firstRow="1" w:lastColumn="0" w:lastRow="0" w:noHBand="0" w:noVBand="1" w:val="04A0"/>
      </w:tblPr>
      <w:tblGrid>
        <w:gridCol w:w="1296"/>
        <w:gridCol w:w="1152"/>
        <w:gridCol w:w="1008"/>
        <w:gridCol w:w="2016"/>
        <w:gridCol w:w="1584"/>
        <w:gridCol w:w="1872"/>
        <w:gridCol w:w="1152"/>
      </w:tblGrid>
      <w:tr>
        <w:trPr>
          <w:tblHeader w:val="true"/>
        </w:trPr>
        <w:tc>
          <w:tcPr>
            <w:tcW w:type="dxa" w:w="1296"/>
          </w:tcPr>
          <w:p>
            <w:pPr>
              <w:spacing w:line="240" w:lineRule="auto" w:after="20"/>
            </w:pPr>
            <w:r/>
            <w:r>
              <w:rPr>
                <w:b/>
                <w:sz w:val="16"/>
              </w:rPr>
              <w:t>Margin Δ (°C)</w:t>
            </w:r>
          </w:p>
        </w:tc>
        <w:tc>
          <w:tcPr>
            <w:tcW w:type="dxa" w:w="1152"/>
          </w:tcPr>
          <w:p>
            <w:pPr>
              <w:spacing w:line="240" w:lineRule="auto" w:after="20"/>
            </w:pPr>
            <w:r/>
            <w:r>
              <w:rPr>
                <w:b/>
                <w:sz w:val="16"/>
              </w:rPr>
              <w:t xml:space="preserve">Tolerance </w:t>
            </w:r>
            <w:r>
              <w:rPr>
                <w:b/>
                <w:i/>
                <w:sz w:val="16"/>
              </w:rPr>
              <w:t>η</w:t>
            </w:r>
          </w:p>
        </w:tc>
        <w:tc>
          <w:tcPr>
            <w:tcW w:type="dxa" w:w="1008"/>
          </w:tcPr>
          <w:p>
            <w:pPr>
              <w:spacing w:line="240" w:lineRule="auto" w:after="20"/>
            </w:pPr>
            <w:r/>
            <w:r>
              <w:rPr>
                <w:b/>
                <w:i/>
                <w:sz w:val="16"/>
              </w:rPr>
              <w:t>f</w:t>
            </w:r>
            <w:r>
              <w:rPr>
                <w:b/>
                <w:sz w:val="16"/>
                <w:vertAlign w:val="superscript"/>
              </w:rPr>
              <w:t>*</w:t>
            </w:r>
          </w:p>
        </w:tc>
        <w:tc>
          <w:tcPr>
            <w:tcW w:type="dxa" w:w="2016"/>
          </w:tcPr>
          <w:p>
            <w:pPr>
              <w:spacing w:line="240" w:lineRule="auto" w:after="20"/>
            </w:pPr>
            <w:r/>
            <w:r>
              <w:rPr>
                <w:b/>
                <w:i/>
                <w:sz w:val="16"/>
              </w:rPr>
              <w:t>σ</w:t>
            </w:r>
            <w:r>
              <w:rPr>
                <w:b/>
                <w:sz w:val="16"/>
                <w:vertAlign w:val="superscript"/>
              </w:rPr>
              <w:t>*</w:t>
            </w:r>
            <w:r>
              <w:rPr>
                <w:b/>
                <w:sz w:val="16"/>
              </w:rPr>
              <w:t xml:space="preserve"> Eq. (12) (°C)</w:t>
            </w:r>
          </w:p>
        </w:tc>
        <w:tc>
          <w:tcPr>
            <w:tcW w:type="dxa" w:w="1584"/>
          </w:tcPr>
          <w:p>
            <w:pPr>
              <w:spacing w:line="240" w:lineRule="auto" w:after="20"/>
            </w:pPr>
            <w:r/>
            <w:r>
              <w:rPr>
                <w:b/>
                <w:i/>
                <w:sz w:val="16"/>
              </w:rPr>
              <w:t>σ</w:t>
            </w:r>
            <w:r>
              <w:rPr>
                <w:b/>
                <w:sz w:val="16"/>
                <w:vertAlign w:val="superscript"/>
              </w:rPr>
              <w:t>*</w:t>
            </w:r>
            <w:r>
              <w:rPr>
                <w:b/>
                <w:sz w:val="16"/>
              </w:rPr>
              <w:t xml:space="preserve">, </w:t>
            </w:r>
            <w:r>
              <w:rPr>
                <w:b/>
                <w:i/>
                <w:sz w:val="16"/>
              </w:rPr>
              <w:t>w</w:t>
            </w:r>
            <w:r>
              <w:rPr>
                <w:b/>
                <w:sz w:val="16"/>
                <w:vertAlign w:val="subscript"/>
              </w:rPr>
              <w:t>0</w:t>
            </w:r>
            <w:r>
              <w:rPr>
                <w:b/>
                <w:sz w:val="16"/>
              </w:rPr>
              <w:t xml:space="preserve"> → 0 (°C)</w:t>
            </w:r>
          </w:p>
        </w:tc>
        <w:tc>
          <w:tcPr>
            <w:tcW w:type="dxa" w:w="1872"/>
          </w:tcPr>
          <w:p>
            <w:pPr>
              <w:spacing w:line="240" w:lineRule="auto" w:after="20"/>
            </w:pPr>
            <w:r/>
            <w:r>
              <w:rPr>
                <w:b/>
                <w:i/>
                <w:sz w:val="16"/>
              </w:rPr>
              <w:t>σ</w:t>
            </w:r>
            <w:r>
              <w:rPr>
                <w:b/>
                <w:sz w:val="16"/>
                <w:vertAlign w:val="superscript"/>
              </w:rPr>
              <w:t>*</w:t>
            </w:r>
            <w:r>
              <w:rPr>
                <w:b/>
                <w:sz w:val="16"/>
              </w:rPr>
              <w:t xml:space="preserve"> population ODE (°C)</w:t>
            </w:r>
          </w:p>
        </w:tc>
        <w:tc>
          <w:tcPr>
            <w:tcW w:type="dxa" w:w="1152"/>
          </w:tcPr>
          <w:p>
            <w:pPr>
              <w:spacing w:line="240" w:lineRule="auto" w:after="20"/>
            </w:pPr>
            <w:r/>
            <w:r>
              <w:rPr>
                <w:b/>
                <w:sz w:val="16"/>
              </w:rPr>
              <w:t>Difference</w:t>
            </w:r>
          </w:p>
        </w:tc>
      </w:tr>
      <w:tr>
        <w:tc>
          <w:tcPr>
            <w:tcW w:type="dxa" w:w="1296"/>
          </w:tcPr>
          <w:p>
            <w:pPr>
              <w:spacing w:line="240" w:lineRule="auto" w:after="20"/>
            </w:pPr>
            <w:r/>
            <w:r>
              <w:rPr>
                <w:sz w:val="16"/>
              </w:rPr>
              <w:t>3</w:t>
            </w:r>
          </w:p>
        </w:tc>
        <w:tc>
          <w:tcPr>
            <w:tcW w:type="dxa" w:w="1152"/>
          </w:tcPr>
          <w:p>
            <w:pPr>
              <w:spacing w:line="240" w:lineRule="auto" w:after="20"/>
            </w:pPr>
            <w:r/>
            <w:r>
              <w:rPr>
                <w:sz w:val="16"/>
              </w:rPr>
              <w:t>0.001</w:t>
            </w:r>
          </w:p>
        </w:tc>
        <w:tc>
          <w:tcPr>
            <w:tcW w:type="dxa" w:w="1008"/>
          </w:tcPr>
          <w:p>
            <w:pPr>
              <w:spacing w:line="240" w:lineRule="auto" w:after="20"/>
            </w:pPr>
            <w:r/>
            <w:r>
              <w:rPr>
                <w:sz w:val="16"/>
              </w:rPr>
              <w:t>0.019</w:t>
            </w:r>
          </w:p>
        </w:tc>
        <w:tc>
          <w:tcPr>
            <w:tcW w:type="dxa" w:w="2016"/>
          </w:tcPr>
          <w:p>
            <w:pPr>
              <w:spacing w:line="240" w:lineRule="auto" w:after="20"/>
            </w:pPr>
            <w:r/>
            <w:r>
              <w:rPr>
                <w:sz w:val="16"/>
              </w:rPr>
              <w:t>1.13</w:t>
            </w:r>
          </w:p>
        </w:tc>
        <w:tc>
          <w:tcPr>
            <w:tcW w:type="dxa" w:w="1584"/>
          </w:tcPr>
          <w:p>
            <w:pPr>
              <w:spacing w:line="240" w:lineRule="auto" w:after="20"/>
            </w:pPr>
            <w:r/>
            <w:r>
              <w:rPr>
                <w:sz w:val="16"/>
              </w:rPr>
              <w:t>1.45</w:t>
            </w:r>
          </w:p>
        </w:tc>
        <w:tc>
          <w:tcPr>
            <w:tcW w:type="dxa" w:w="1872"/>
          </w:tcPr>
          <w:p>
            <w:pPr>
              <w:spacing w:line="240" w:lineRule="auto" w:after="20"/>
            </w:pPr>
            <w:r/>
            <w:r>
              <w:rPr>
                <w:sz w:val="16"/>
              </w:rPr>
              <w:t>1.12</w:t>
            </w:r>
          </w:p>
        </w:tc>
        <w:tc>
          <w:tcPr>
            <w:tcW w:type="dxa" w:w="1152"/>
          </w:tcPr>
          <w:p>
            <w:pPr>
              <w:spacing w:line="240" w:lineRule="auto" w:after="20"/>
            </w:pPr>
            <w:r/>
            <w:r>
              <w:rPr>
                <w:sz w:val="16"/>
              </w:rPr>
              <w:t>+1.4 %</w:t>
            </w:r>
          </w:p>
        </w:tc>
      </w:tr>
      <w:tr>
        <w:tc>
          <w:tcPr>
            <w:tcW w:type="dxa" w:w="1296"/>
          </w:tcPr>
          <w:p>
            <w:pPr>
              <w:spacing w:line="240" w:lineRule="auto" w:after="20"/>
            </w:pPr>
            <w:r/>
            <w:r>
              <w:rPr>
                <w:sz w:val="16"/>
              </w:rPr>
              <w:t>3</w:t>
            </w:r>
          </w:p>
        </w:tc>
        <w:tc>
          <w:tcPr>
            <w:tcW w:type="dxa" w:w="1152"/>
          </w:tcPr>
          <w:p>
            <w:pPr>
              <w:spacing w:line="240" w:lineRule="auto" w:after="20"/>
            </w:pPr>
            <w:r/>
            <w:r>
              <w:rPr>
                <w:sz w:val="16"/>
              </w:rPr>
              <w:t>0.01</w:t>
            </w:r>
          </w:p>
        </w:tc>
        <w:tc>
          <w:tcPr>
            <w:tcW w:type="dxa" w:w="1008"/>
          </w:tcPr>
          <w:p>
            <w:pPr>
              <w:spacing w:line="240" w:lineRule="auto" w:after="20"/>
            </w:pPr>
            <w:r/>
            <w:r>
              <w:rPr>
                <w:sz w:val="16"/>
              </w:rPr>
              <w:t>0.134</w:t>
            </w:r>
          </w:p>
        </w:tc>
        <w:tc>
          <w:tcPr>
            <w:tcW w:type="dxa" w:w="2016"/>
          </w:tcPr>
          <w:p>
            <w:pPr>
              <w:spacing w:line="240" w:lineRule="auto" w:after="20"/>
            </w:pPr>
            <w:r/>
            <w:r>
              <w:rPr>
                <w:sz w:val="16"/>
              </w:rPr>
              <w:t>2.55</w:t>
            </w:r>
          </w:p>
        </w:tc>
        <w:tc>
          <w:tcPr>
            <w:tcW w:type="dxa" w:w="1584"/>
          </w:tcPr>
          <w:p>
            <w:pPr>
              <w:spacing w:line="240" w:lineRule="auto" w:after="20"/>
            </w:pPr>
            <w:r/>
            <w:r>
              <w:rPr>
                <w:sz w:val="16"/>
              </w:rPr>
              <w:t>2.71</w:t>
            </w:r>
          </w:p>
        </w:tc>
        <w:tc>
          <w:tcPr>
            <w:tcW w:type="dxa" w:w="1872"/>
          </w:tcPr>
          <w:p>
            <w:pPr>
              <w:spacing w:line="240" w:lineRule="auto" w:after="20"/>
            </w:pPr>
            <w:r/>
            <w:r>
              <w:rPr>
                <w:sz w:val="16"/>
              </w:rPr>
              <w:t>2.52</w:t>
            </w:r>
          </w:p>
        </w:tc>
        <w:tc>
          <w:tcPr>
            <w:tcW w:type="dxa" w:w="1152"/>
          </w:tcPr>
          <w:p>
            <w:pPr>
              <w:spacing w:line="240" w:lineRule="auto" w:after="20"/>
            </w:pPr>
            <w:r/>
            <w:r>
              <w:rPr>
                <w:sz w:val="16"/>
              </w:rPr>
              <w:t>+1.1 %</w:t>
            </w:r>
          </w:p>
        </w:tc>
      </w:tr>
      <w:tr>
        <w:tc>
          <w:tcPr>
            <w:tcW w:type="dxa" w:w="1296"/>
          </w:tcPr>
          <w:p>
            <w:pPr>
              <w:spacing w:line="240" w:lineRule="auto" w:after="20"/>
            </w:pPr>
            <w:r/>
            <w:r>
              <w:rPr>
                <w:sz w:val="16"/>
              </w:rPr>
              <w:t>3</w:t>
            </w:r>
          </w:p>
        </w:tc>
        <w:tc>
          <w:tcPr>
            <w:tcW w:type="dxa" w:w="1152"/>
          </w:tcPr>
          <w:p>
            <w:pPr>
              <w:spacing w:line="240" w:lineRule="auto" w:after="20"/>
            </w:pPr>
            <w:r/>
            <w:r>
              <w:rPr>
                <w:sz w:val="16"/>
              </w:rPr>
              <w:t>0.05</w:t>
            </w:r>
          </w:p>
        </w:tc>
        <w:tc>
          <w:tcPr>
            <w:tcW w:type="dxa" w:w="1008"/>
          </w:tcPr>
          <w:p>
            <w:pPr>
              <w:spacing w:line="240" w:lineRule="auto" w:after="20"/>
            </w:pPr>
            <w:r/>
            <w:r>
              <w:rPr>
                <w:sz w:val="16"/>
              </w:rPr>
              <w:t>0.331</w:t>
            </w:r>
          </w:p>
        </w:tc>
        <w:tc>
          <w:tcPr>
            <w:tcW w:type="dxa" w:w="2016"/>
          </w:tcPr>
          <w:p>
            <w:pPr>
              <w:spacing w:line="240" w:lineRule="auto" w:after="20"/>
            </w:pPr>
            <w:r/>
            <w:r>
              <w:rPr>
                <w:sz w:val="16"/>
              </w:rPr>
              <w:t>6.79</w:t>
            </w:r>
          </w:p>
        </w:tc>
        <w:tc>
          <w:tcPr>
            <w:tcW w:type="dxa" w:w="1584"/>
          </w:tcPr>
          <w:p>
            <w:pPr>
              <w:spacing w:line="240" w:lineRule="auto" w:after="20"/>
            </w:pPr>
            <w:r/>
            <w:r>
              <w:rPr>
                <w:sz w:val="16"/>
              </w:rPr>
              <w:t>6.85</w:t>
            </w:r>
          </w:p>
        </w:tc>
        <w:tc>
          <w:tcPr>
            <w:tcW w:type="dxa" w:w="1872"/>
          </w:tcPr>
          <w:p>
            <w:pPr>
              <w:spacing w:line="240" w:lineRule="auto" w:after="20"/>
            </w:pPr>
            <w:r/>
            <w:r>
              <w:rPr>
                <w:sz w:val="16"/>
              </w:rPr>
              <w:t>6.59</w:t>
            </w:r>
          </w:p>
        </w:tc>
        <w:tc>
          <w:tcPr>
            <w:tcW w:type="dxa" w:w="1152"/>
          </w:tcPr>
          <w:p>
            <w:pPr>
              <w:spacing w:line="240" w:lineRule="auto" w:after="20"/>
            </w:pPr>
            <w:r/>
            <w:r>
              <w:rPr>
                <w:sz w:val="16"/>
              </w:rPr>
              <w:t>+3.0 %</w:t>
            </w:r>
          </w:p>
        </w:tc>
      </w:tr>
      <w:tr>
        <w:tc>
          <w:tcPr>
            <w:tcW w:type="dxa" w:w="1296"/>
          </w:tcPr>
          <w:p>
            <w:pPr>
              <w:spacing w:line="240" w:lineRule="auto" w:after="20"/>
            </w:pPr>
            <w:r/>
            <w:r>
              <w:rPr>
                <w:sz w:val="16"/>
              </w:rPr>
              <w:t>6</w:t>
            </w:r>
          </w:p>
        </w:tc>
        <w:tc>
          <w:tcPr>
            <w:tcW w:type="dxa" w:w="1152"/>
          </w:tcPr>
          <w:p>
            <w:pPr>
              <w:spacing w:line="240" w:lineRule="auto" w:after="20"/>
            </w:pPr>
            <w:r/>
            <w:r>
              <w:rPr>
                <w:sz w:val="16"/>
              </w:rPr>
              <w:t>0.001</w:t>
            </w:r>
          </w:p>
        </w:tc>
        <w:tc>
          <w:tcPr>
            <w:tcW w:type="dxa" w:w="1008"/>
          </w:tcPr>
          <w:p>
            <w:pPr>
              <w:spacing w:line="240" w:lineRule="auto" w:after="20"/>
            </w:pPr>
            <w:r/>
            <w:r>
              <w:rPr>
                <w:sz w:val="16"/>
              </w:rPr>
              <w:t>0.022</w:t>
            </w:r>
          </w:p>
        </w:tc>
        <w:tc>
          <w:tcPr>
            <w:tcW w:type="dxa" w:w="2016"/>
          </w:tcPr>
          <w:p>
            <w:pPr>
              <w:spacing w:line="240" w:lineRule="auto" w:after="20"/>
            </w:pPr>
            <w:r/>
            <w:r>
              <w:rPr>
                <w:sz w:val="16"/>
              </w:rPr>
              <w:t>2.84</w:t>
            </w:r>
          </w:p>
        </w:tc>
        <w:tc>
          <w:tcPr>
            <w:tcW w:type="dxa" w:w="1584"/>
          </w:tcPr>
          <w:p>
            <w:pPr>
              <w:spacing w:line="240" w:lineRule="auto" w:after="20"/>
            </w:pPr>
            <w:r/>
            <w:r>
              <w:rPr>
                <w:sz w:val="16"/>
              </w:rPr>
              <w:t>2.99</w:t>
            </w:r>
          </w:p>
        </w:tc>
        <w:tc>
          <w:tcPr>
            <w:tcW w:type="dxa" w:w="1872"/>
          </w:tcPr>
          <w:p>
            <w:pPr>
              <w:spacing w:line="240" w:lineRule="auto" w:after="20"/>
            </w:pPr>
            <w:r/>
            <w:r>
              <w:rPr>
                <w:sz w:val="16"/>
              </w:rPr>
              <w:t>2.84</w:t>
            </w:r>
          </w:p>
        </w:tc>
        <w:tc>
          <w:tcPr>
            <w:tcW w:type="dxa" w:w="1152"/>
          </w:tcPr>
          <w:p>
            <w:pPr>
              <w:spacing w:line="240" w:lineRule="auto" w:after="20"/>
            </w:pPr>
            <w:r/>
            <w:r>
              <w:rPr>
                <w:sz w:val="16"/>
              </w:rPr>
              <w:t>+0.1 %</w:t>
            </w:r>
          </w:p>
        </w:tc>
      </w:tr>
      <w:tr>
        <w:tc>
          <w:tcPr>
            <w:tcW w:type="dxa" w:w="1296"/>
          </w:tcPr>
          <w:p>
            <w:pPr>
              <w:spacing w:line="240" w:lineRule="auto" w:after="20"/>
            </w:pPr>
            <w:r/>
            <w:r>
              <w:rPr>
                <w:sz w:val="16"/>
              </w:rPr>
              <w:t>6</w:t>
            </w:r>
          </w:p>
        </w:tc>
        <w:tc>
          <w:tcPr>
            <w:tcW w:type="dxa" w:w="1152"/>
          </w:tcPr>
          <w:p>
            <w:pPr>
              <w:spacing w:line="240" w:lineRule="auto" w:after="20"/>
            </w:pPr>
            <w:r/>
            <w:r>
              <w:rPr>
                <w:sz w:val="16"/>
              </w:rPr>
              <w:t>0.01</w:t>
            </w:r>
          </w:p>
        </w:tc>
        <w:tc>
          <w:tcPr>
            <w:tcW w:type="dxa" w:w="1008"/>
          </w:tcPr>
          <w:p>
            <w:pPr>
              <w:spacing w:line="240" w:lineRule="auto" w:after="20"/>
            </w:pPr>
            <w:r/>
            <w:r>
              <w:rPr>
                <w:sz w:val="16"/>
              </w:rPr>
              <w:t>0.156</w:t>
            </w:r>
          </w:p>
        </w:tc>
        <w:tc>
          <w:tcPr>
            <w:tcW w:type="dxa" w:w="2016"/>
          </w:tcPr>
          <w:p>
            <w:pPr>
              <w:spacing w:line="240" w:lineRule="auto" w:after="20"/>
            </w:pPr>
            <w:r/>
            <w:r>
              <w:rPr>
                <w:sz w:val="16"/>
              </w:rPr>
              <w:t>5.87</w:t>
            </w:r>
          </w:p>
        </w:tc>
        <w:tc>
          <w:tcPr>
            <w:tcW w:type="dxa" w:w="1584"/>
          </w:tcPr>
          <w:p>
            <w:pPr>
              <w:spacing w:line="240" w:lineRule="auto" w:after="20"/>
            </w:pPr>
            <w:r/>
            <w:r>
              <w:rPr>
                <w:sz w:val="16"/>
              </w:rPr>
              <w:t>5.94</w:t>
            </w:r>
          </w:p>
        </w:tc>
        <w:tc>
          <w:tcPr>
            <w:tcW w:type="dxa" w:w="1872"/>
          </w:tcPr>
          <w:p>
            <w:pPr>
              <w:spacing w:line="240" w:lineRule="auto" w:after="20"/>
            </w:pPr>
            <w:r/>
            <w:r>
              <w:rPr>
                <w:sz w:val="16"/>
              </w:rPr>
              <w:t>5.85</w:t>
            </w:r>
          </w:p>
        </w:tc>
        <w:tc>
          <w:tcPr>
            <w:tcW w:type="dxa" w:w="1152"/>
          </w:tcPr>
          <w:p>
            <w:pPr>
              <w:spacing w:line="240" w:lineRule="auto" w:after="20"/>
            </w:pPr>
            <w:r/>
            <w:r>
              <w:rPr>
                <w:sz w:val="16"/>
              </w:rPr>
              <w:t>+0.4 %</w:t>
            </w:r>
          </w:p>
        </w:tc>
      </w:tr>
      <w:tr>
        <w:tc>
          <w:tcPr>
            <w:tcW w:type="dxa" w:w="1296"/>
          </w:tcPr>
          <w:p>
            <w:pPr>
              <w:spacing w:line="240" w:lineRule="auto" w:after="20"/>
            </w:pPr>
            <w:r/>
            <w:r>
              <w:rPr>
                <w:sz w:val="16"/>
              </w:rPr>
              <w:t>6</w:t>
            </w:r>
          </w:p>
        </w:tc>
        <w:tc>
          <w:tcPr>
            <w:tcW w:type="dxa" w:w="1152"/>
          </w:tcPr>
          <w:p>
            <w:pPr>
              <w:spacing w:line="240" w:lineRule="auto" w:after="20"/>
            </w:pPr>
            <w:r/>
            <w:r>
              <w:rPr>
                <w:sz w:val="16"/>
              </w:rPr>
              <w:t>0.05</w:t>
            </w:r>
          </w:p>
        </w:tc>
        <w:tc>
          <w:tcPr>
            <w:tcW w:type="dxa" w:w="1008"/>
          </w:tcPr>
          <w:p>
            <w:pPr>
              <w:spacing w:line="240" w:lineRule="auto" w:after="20"/>
            </w:pPr>
            <w:r/>
            <w:r>
              <w:rPr>
                <w:sz w:val="16"/>
              </w:rPr>
              <w:t>0.389</w:t>
            </w:r>
          </w:p>
        </w:tc>
        <w:tc>
          <w:tcPr>
            <w:tcW w:type="dxa" w:w="2016"/>
          </w:tcPr>
          <w:p>
            <w:pPr>
              <w:spacing w:line="240" w:lineRule="auto" w:after="20"/>
            </w:pPr>
            <w:r/>
            <w:r>
              <w:rPr>
                <w:sz w:val="16"/>
              </w:rPr>
              <w:t>21.34</w:t>
            </w:r>
          </w:p>
        </w:tc>
        <w:tc>
          <w:tcPr>
            <w:tcW w:type="dxa" w:w="1584"/>
          </w:tcPr>
          <w:p>
            <w:pPr>
              <w:spacing w:line="240" w:lineRule="auto" w:after="20"/>
            </w:pPr>
            <w:r/>
            <w:r>
              <w:rPr>
                <w:sz w:val="16"/>
              </w:rPr>
              <w:t>21.36</w:t>
            </w:r>
          </w:p>
        </w:tc>
        <w:tc>
          <w:tcPr>
            <w:tcW w:type="dxa" w:w="1872"/>
          </w:tcPr>
          <w:p>
            <w:pPr>
              <w:spacing w:line="240" w:lineRule="auto" w:after="20"/>
            </w:pPr>
            <w:r/>
            <w:r>
              <w:rPr>
                <w:sz w:val="16"/>
              </w:rPr>
              <w:t>21.90</w:t>
            </w:r>
          </w:p>
        </w:tc>
        <w:tc>
          <w:tcPr>
            <w:tcW w:type="dxa" w:w="1152"/>
          </w:tcPr>
          <w:p>
            <w:pPr>
              <w:spacing w:line="240" w:lineRule="auto" w:after="20"/>
            </w:pPr>
            <w:r/>
            <w:r>
              <w:rPr>
                <w:sz w:val="16"/>
              </w:rPr>
              <w:t>-2.5 %</w:t>
            </w:r>
          </w:p>
        </w:tc>
      </w:tr>
      <w:tr>
        <w:tc>
          <w:tcPr>
            <w:tcW w:type="dxa" w:w="1296"/>
          </w:tcPr>
          <w:p>
            <w:pPr>
              <w:spacing w:line="240" w:lineRule="auto" w:after="20"/>
            </w:pPr>
            <w:r/>
            <w:r>
              <w:rPr>
                <w:sz w:val="16"/>
              </w:rPr>
              <w:t>10</w:t>
            </w:r>
          </w:p>
        </w:tc>
        <w:tc>
          <w:tcPr>
            <w:tcW w:type="dxa" w:w="1152"/>
          </w:tcPr>
          <w:p>
            <w:pPr>
              <w:spacing w:line="240" w:lineRule="auto" w:after="20"/>
            </w:pPr>
            <w:r/>
            <w:r>
              <w:rPr>
                <w:sz w:val="16"/>
              </w:rPr>
              <w:t>0.001</w:t>
            </w:r>
          </w:p>
        </w:tc>
        <w:tc>
          <w:tcPr>
            <w:tcW w:type="dxa" w:w="1008"/>
          </w:tcPr>
          <w:p>
            <w:pPr>
              <w:spacing w:line="240" w:lineRule="auto" w:after="20"/>
            </w:pPr>
            <w:r/>
            <w:r>
              <w:rPr>
                <w:sz w:val="16"/>
              </w:rPr>
              <w:t>0.027</w:t>
            </w:r>
          </w:p>
        </w:tc>
        <w:tc>
          <w:tcPr>
            <w:tcW w:type="dxa" w:w="2016"/>
          </w:tcPr>
          <w:p>
            <w:pPr>
              <w:spacing w:line="240" w:lineRule="auto" w:after="20"/>
            </w:pPr>
            <w:r/>
            <w:r>
              <w:rPr>
                <w:sz w:val="16"/>
              </w:rPr>
              <w:t>5.12</w:t>
            </w:r>
          </w:p>
        </w:tc>
        <w:tc>
          <w:tcPr>
            <w:tcW w:type="dxa" w:w="1584"/>
          </w:tcPr>
          <w:p>
            <w:pPr>
              <w:spacing w:line="240" w:lineRule="auto" w:after="20"/>
            </w:pPr>
            <w:r/>
            <w:r>
              <w:rPr>
                <w:sz w:val="16"/>
              </w:rPr>
              <w:t>5.20</w:t>
            </w:r>
          </w:p>
        </w:tc>
        <w:tc>
          <w:tcPr>
            <w:tcW w:type="dxa" w:w="1872"/>
          </w:tcPr>
          <w:p>
            <w:pPr>
              <w:spacing w:line="240" w:lineRule="auto" w:after="20"/>
            </w:pPr>
            <w:r/>
            <w:r>
              <w:rPr>
                <w:sz w:val="16"/>
              </w:rPr>
              <w:t>5.12</w:t>
            </w:r>
          </w:p>
        </w:tc>
        <w:tc>
          <w:tcPr>
            <w:tcW w:type="dxa" w:w="1152"/>
          </w:tcPr>
          <w:p>
            <w:pPr>
              <w:spacing w:line="240" w:lineRule="auto" w:after="20"/>
            </w:pPr>
            <w:r/>
            <w:r>
              <w:rPr>
                <w:sz w:val="16"/>
              </w:rPr>
              <w:t>+0.0 %</w:t>
            </w:r>
          </w:p>
        </w:tc>
      </w:tr>
      <w:tr>
        <w:tc>
          <w:tcPr>
            <w:tcW w:type="dxa" w:w="1296"/>
          </w:tcPr>
          <w:p>
            <w:pPr>
              <w:spacing w:line="240" w:lineRule="auto" w:after="20"/>
            </w:pPr>
            <w:r/>
            <w:r>
              <w:rPr>
                <w:sz w:val="16"/>
              </w:rPr>
              <w:t>10</w:t>
            </w:r>
          </w:p>
        </w:tc>
        <w:tc>
          <w:tcPr>
            <w:tcW w:type="dxa" w:w="1152"/>
          </w:tcPr>
          <w:p>
            <w:pPr>
              <w:spacing w:line="240" w:lineRule="auto" w:after="20"/>
            </w:pPr>
            <w:r/>
            <w:r>
              <w:rPr>
                <w:sz w:val="16"/>
              </w:rPr>
              <w:t>0.01</w:t>
            </w:r>
          </w:p>
        </w:tc>
        <w:tc>
          <w:tcPr>
            <w:tcW w:type="dxa" w:w="1008"/>
          </w:tcPr>
          <w:p>
            <w:pPr>
              <w:spacing w:line="240" w:lineRule="auto" w:after="20"/>
            </w:pPr>
            <w:r/>
            <w:r>
              <w:rPr>
                <w:sz w:val="16"/>
              </w:rPr>
              <w:t>0.194</w:t>
            </w:r>
          </w:p>
        </w:tc>
        <w:tc>
          <w:tcPr>
            <w:tcW w:type="dxa" w:w="2016"/>
          </w:tcPr>
          <w:p>
            <w:pPr>
              <w:spacing w:line="240" w:lineRule="auto" w:after="20"/>
            </w:pPr>
            <w:r/>
            <w:r>
              <w:rPr>
                <w:sz w:val="16"/>
              </w:rPr>
              <w:t>11.53</w:t>
            </w:r>
          </w:p>
        </w:tc>
        <w:tc>
          <w:tcPr>
            <w:tcW w:type="dxa" w:w="1584"/>
          </w:tcPr>
          <w:p>
            <w:pPr>
              <w:spacing w:line="240" w:lineRule="auto" w:after="20"/>
            </w:pPr>
            <w:r/>
            <w:r>
              <w:rPr>
                <w:sz w:val="16"/>
              </w:rPr>
              <w:t>11.57</w:t>
            </w:r>
          </w:p>
        </w:tc>
        <w:tc>
          <w:tcPr>
            <w:tcW w:type="dxa" w:w="1872"/>
          </w:tcPr>
          <w:p>
            <w:pPr>
              <w:spacing w:line="240" w:lineRule="auto" w:after="20"/>
            </w:pPr>
            <w:r/>
            <w:r>
              <w:rPr>
                <w:sz w:val="16"/>
              </w:rPr>
              <w:t>11.53</w:t>
            </w:r>
          </w:p>
        </w:tc>
        <w:tc>
          <w:tcPr>
            <w:tcW w:type="dxa" w:w="1152"/>
          </w:tcPr>
          <w:p>
            <w:pPr>
              <w:spacing w:line="240" w:lineRule="auto" w:after="20"/>
            </w:pPr>
            <w:r/>
            <w:r>
              <w:rPr>
                <w:sz w:val="16"/>
              </w:rPr>
              <w:t>+0.0 %</w:t>
            </w:r>
          </w:p>
        </w:tc>
      </w:tr>
      <w:tr>
        <w:tc>
          <w:tcPr>
            <w:tcW w:type="dxa" w:w="1296"/>
          </w:tcPr>
          <w:p>
            <w:pPr>
              <w:spacing w:line="240" w:lineRule="auto" w:after="20"/>
            </w:pPr>
            <w:r/>
            <w:r>
              <w:rPr>
                <w:sz w:val="16"/>
              </w:rPr>
              <w:t>10</w:t>
            </w:r>
          </w:p>
        </w:tc>
        <w:tc>
          <w:tcPr>
            <w:tcW w:type="dxa" w:w="1152"/>
          </w:tcPr>
          <w:p>
            <w:pPr>
              <w:spacing w:line="240" w:lineRule="auto" w:after="20"/>
            </w:pPr>
            <w:r/>
            <w:r>
              <w:rPr>
                <w:sz w:val="16"/>
              </w:rPr>
              <w:t>0.05</w:t>
            </w:r>
          </w:p>
        </w:tc>
        <w:tc>
          <w:tcPr>
            <w:tcW w:type="dxa" w:w="1008"/>
          </w:tcPr>
          <w:p>
            <w:pPr>
              <w:spacing w:line="240" w:lineRule="auto" w:after="20"/>
            </w:pPr>
            <w:r/>
            <w:r>
              <w:rPr>
                <w:sz w:val="16"/>
              </w:rPr>
              <w:t>0.489</w:t>
            </w:r>
          </w:p>
        </w:tc>
        <w:tc>
          <w:tcPr>
            <w:tcW w:type="dxa" w:w="2016"/>
          </w:tcPr>
          <w:p>
            <w:pPr>
              <w:spacing w:line="240" w:lineRule="auto" w:after="20"/>
            </w:pPr>
            <w:r/>
            <w:r>
              <w:rPr>
                <w:sz w:val="16"/>
              </w:rPr>
              <w:t>&gt; 40</w:t>
            </w:r>
          </w:p>
        </w:tc>
        <w:tc>
          <w:tcPr>
            <w:tcW w:type="dxa" w:w="1584"/>
          </w:tcPr>
          <w:p>
            <w:pPr>
              <w:spacing w:line="240" w:lineRule="auto" w:after="20"/>
            </w:pPr>
            <w:r/>
            <w:r>
              <w:rPr>
                <w:sz w:val="16"/>
              </w:rPr>
              <w:t>&gt; 40</w:t>
            </w:r>
          </w:p>
        </w:tc>
        <w:tc>
          <w:tcPr>
            <w:tcW w:type="dxa" w:w="1872"/>
          </w:tcPr>
          <w:p>
            <w:pPr>
              <w:spacing w:line="240" w:lineRule="auto" w:after="20"/>
            </w:pPr>
            <w:r/>
            <w:r>
              <w:rPr>
                <w:sz w:val="16"/>
              </w:rPr>
              <w:t>&gt; 40</w:t>
            </w:r>
          </w:p>
        </w:tc>
        <w:tc>
          <w:tcPr>
            <w:tcW w:type="dxa" w:w="1152"/>
          </w:tcPr>
          <w:p>
            <w:pPr>
              <w:spacing w:line="240" w:lineRule="auto" w:after="20"/>
            </w:pPr>
            <w:r/>
            <w:r>
              <w:rPr>
                <w:sz w:val="16"/>
              </w:rPr>
              <w:t>–</w:t>
            </w:r>
          </w:p>
        </w:tc>
      </w:tr>
    </w:tbl>
    <w:p>
      <w:pPr>
        <w:spacing w:after="40"/>
      </w:pPr>
    </w:p>
    <w:p>
      <w:pPr>
        <w:keepNext/>
        <w:spacing w:before="160" w:after="40"/>
        <w:jc w:val="center"/>
      </w:pPr>
      <w:r>
        <w:drawing>
          <wp:inline xmlns:a="http://schemas.openxmlformats.org/drawingml/2006/main" xmlns:pic="http://schemas.openxmlformats.org/drawingml/2006/picture">
            <wp:extent cx="4297680" cy="2286000"/>
            <wp:docPr id="2" name="Picture 2" descr="Two panels. (a) Log-log scatter of closed-form against ODE storage conversion lying on the identity line. (b) Largest admissible spread against tolerance for three margins with ODE roots."/>
            <wp:cNvGraphicFramePr>
              <a:graphicFrameLocks noChangeAspect="1"/>
            </wp:cNvGraphicFramePr>
            <a:graphic>
              <a:graphicData uri="http://schemas.openxmlformats.org/drawingml/2006/picture">
                <pic:pic>
                  <pic:nvPicPr>
                    <pic:cNvPr id="0" name="fig2_storage.png"/>
                    <pic:cNvPicPr/>
                  </pic:nvPicPr>
                  <pic:blipFill>
                    <a:blip r:embed="rId11"/>
                    <a:stretch>
                      <a:fillRect/>
                    </a:stretch>
                  </pic:blipFill>
                  <pic:spPr>
                    <a:xfrm>
                      <a:off x="0" y="0"/>
                      <a:ext cx="4297680" cy="2286000"/>
                    </a:xfrm>
                    <a:prstGeom prst="rect"/>
                  </pic:spPr>
                </pic:pic>
              </a:graphicData>
            </a:graphic>
          </wp:inline>
        </w:drawing>
      </w:r>
    </w:p>
    <w:p>
      <w:pPr>
        <w:keepNext w:val="0"/>
        <w:spacing w:line="276" w:lineRule="auto" w:after="200"/>
      </w:pPr>
      <w:r>
        <w:rPr>
          <w:b/>
          <w:sz w:val="19"/>
        </w:rPr>
        <w:t>Fig. 2</w:t>
      </w:r>
      <w:r>
        <w:rPr>
          <w:sz w:val="19"/>
        </w:rPr>
        <w:t xml:space="preserve"> (a) Closed-form storage conversion Eq. (11) against the population ODE for margins of 3, 6 and 10 °C. (b) Largest admissible spread </w:t>
      </w:r>
      <w:r>
        <w:rPr>
          <w:i/>
          <w:sz w:val="19"/>
        </w:rPr>
        <w:t>σ</w:t>
      </w:r>
      <w:r>
        <w:rPr>
          <w:sz w:val="19"/>
          <w:vertAlign w:val="superscript"/>
        </w:rPr>
        <w:t>*</w:t>
      </w:r>
      <w:r>
        <w:rPr>
          <w:sz w:val="19"/>
        </w:rPr>
        <w:t xml:space="preserve"> (Eq. (12)) as a function of the tolerance </w:t>
      </w:r>
      <w:r>
        <w:rPr>
          <w:i/>
          <w:sz w:val="19"/>
        </w:rPr>
        <w:t>η</w:t>
      </w:r>
      <w:r>
        <w:rPr>
          <w:sz w:val="19"/>
        </w:rPr>
        <w:t>; open symbols are roots of the population ODE</w:t>
      </w:r>
    </w:p>
    <w:p>
      <w:pPr>
        <w:pStyle w:val="Heading2"/>
      </w:pPr>
      <w:r>
        <w:rPr>
          <w:rFonts w:ascii="Times New Roman" w:hAnsi="Times New Roman"/>
        </w:rPr>
        <w:t>3.4 Proposition 4: thermal-feedback criticality, overshoot, and Arrhenius correction</w:t>
      </w:r>
    </w:p>
    <w:p>
      <w:pPr>
        <w:keepNext w:val="0"/>
        <w:jc w:val="both"/>
      </w:pPr>
      <w:r>
        <w:t>When the thermal time constant is short compared with the reaction time (</w:t>
      </w:r>
      <w:r>
        <w:rPr>
          <w:i/>
        </w:rPr>
        <w:t>Θ</w:t>
      </w:r>
      <w:r>
        <w:t xml:space="preserve"> ≪ 1), the temperature rise </w:t>
      </w:r>
      <w:r>
        <w:rPr>
          <w:i/>
        </w:rPr>
        <w:t>θ</w:t>
      </w:r>
      <w:r>
        <w:t xml:space="preserve"> = (</w:t>
      </w:r>
      <w:r>
        <w:rPr>
          <w:i/>
        </w:rPr>
        <w:t>T</w:t>
      </w:r>
      <w:r>
        <w:t xml:space="preserve"> − </w:t>
      </w:r>
      <w:r>
        <w:rPr>
          <w:i/>
        </w:rPr>
        <w:t>T</w:t>
      </w:r>
      <w:r>
        <w:rPr>
          <w:vertAlign w:val="subscript"/>
        </w:rPr>
        <w:t>∞</w:t>
      </w:r>
      <w:r>
        <w:t>)/Δ</w:t>
      </w:r>
      <w:r>
        <w:rPr>
          <w:i/>
        </w:rPr>
        <w:t>T</w:t>
      </w:r>
      <w:r>
        <w:rPr>
          <w:vertAlign w:val="subscript"/>
        </w:rPr>
        <w:t>a</w:t>
      </w:r>
      <w:r>
        <w:rPr>
          <w:vertAlign w:val="subscript"/>
        </w:rPr>
        <w:t>d</w:t>
      </w:r>
      <w:r>
        <w:t xml:space="preserve"> of the exponential comparison model follows the reaction quasi-statically with the conversion frozen, </w:t>
      </w:r>
      <w:r>
        <w:rPr>
          <w:i/>
        </w:rPr>
        <w:t>θ</w:t>
      </w:r>
      <w:r>
        <w:t xml:space="preserve"> = </w:t>
      </w:r>
      <w:r>
        <w:rPr>
          <w:i/>
        </w:rPr>
        <w:t>Θ</w:t>
      </w:r>
      <w:r>
        <w:t xml:space="preserve"> </w:t>
      </w:r>
      <w:r>
        <w:rPr>
          <w:i/>
        </w:rPr>
        <w:t>r</w:t>
      </w:r>
      <w:r>
        <w:t>(</w:t>
      </w:r>
      <w:r>
        <w:rPr>
          <w:i/>
        </w:rPr>
        <w:t>α</w:t>
      </w:r>
      <w:r>
        <w:t>) exp(</w:t>
      </w:r>
      <w:r>
        <w:rPr>
          <w:i/>
        </w:rPr>
        <w:t>ψθ</w:t>
      </w:r>
      <w:r>
        <w:t xml:space="preserve">), where </w:t>
      </w:r>
      <w:r>
        <w:rPr>
          <w:i/>
        </w:rPr>
        <w:t>r</w:t>
      </w:r>
      <w:r>
        <w:t>(</w:t>
      </w:r>
      <w:r>
        <w:rPr>
          <w:i/>
        </w:rPr>
        <w:t>α</w:t>
      </w:r>
      <w:r>
        <w:t>) = (</w:t>
      </w:r>
      <w:r>
        <w:rPr>
          <w:i/>
        </w:rPr>
        <w:t>ε</w:t>
      </w:r>
      <w:r>
        <w:t xml:space="preserve"> + </w:t>
      </w:r>
      <w:r>
        <w:rPr>
          <w:i/>
        </w:rPr>
        <w:t>α</w:t>
      </w:r>
      <w:r>
        <w:t xml:space="preserve">)(1 − </w:t>
      </w:r>
      <w:r>
        <w:rPr>
          <w:i/>
        </w:rPr>
        <w:t>α</w:t>
      </w:r>
      <w:r>
        <w:t>)</w:t>
      </w:r>
      <w:r>
        <w:rPr>
          <w:vertAlign w:val="superscript"/>
        </w:rPr>
        <w:t>n</w:t>
      </w:r>
      <w:r>
        <w:t xml:space="preserve"> is the isothermal rate in units of </w:t>
      </w:r>
      <w:r>
        <w:rPr>
          <w:i/>
        </w:rPr>
        <w:t>k</w:t>
      </w:r>
      <w:r>
        <w:rPr>
          <w:vertAlign w:val="subscript"/>
        </w:rPr>
        <w:t>2</w:t>
      </w:r>
      <w:r>
        <w:t xml:space="preserve">. Multiplying by </w:t>
      </w:r>
      <w:r>
        <w:rPr>
          <w:i/>
        </w:rPr>
        <w:t>ψ</w:t>
      </w:r>
      <w:r>
        <w:t xml:space="preserve"> gives </w:t>
      </w:r>
      <w:r>
        <w:rPr>
          <w:i/>
        </w:rPr>
        <w:t>ψθ</w:t>
      </w:r>
      <w:r>
        <w:t xml:space="preserve"> exp(−</w:t>
      </w:r>
      <w:r>
        <w:rPr>
          <w:i/>
        </w:rPr>
        <w:t>ψθ</w:t>
      </w:r>
      <w:r>
        <w:t xml:space="preserve">) = </w:t>
      </w:r>
      <w:r>
        <w:rPr>
          <w:i/>
        </w:rPr>
        <w:t>Πr</w:t>
      </w:r>
      <w:r>
        <w:t xml:space="preserve">, whose solution, if </w:t>
      </w:r>
      <w:r>
        <w:rPr>
          <w:i/>
        </w:rPr>
        <w:t>Πr</w:t>
      </w:r>
      <w:r>
        <w:t xml:space="preserve"> ≤ 1/e, is</w:t>
      </w:r>
    </w:p>
    <w:p>
      <w:pPr>
        <w:keepLines/>
        <w:tabs>
          <w:tab w:pos="4680" w:val="center"/>
          <w:tab w:pos="9360" w:val="right"/>
        </w:tabs>
        <w:spacing w:before="120" w:after="120"/>
      </w:pPr>
      <w:r>
        <w:tab/>
      </w:r>
      <m:oMath>
        <m:r>
          <m:rPr>
            <m:sty m:val="i"/>
          </m:rPr>
          <w:rPr>
            <w:rFonts w:ascii="Cambria Math" w:hAnsi="Cambria Math"/>
            <w:i/>
          </w:rPr>
          <m:t xml:space="preserve">ψθ</m:t>
        </m:r>
        <m:r>
          <m:rPr>
            <m:nor/>
          </m:rPr>
          <w:rPr>
            <w:rFonts w:ascii="Cambria Math" w:hAnsi="Cambria Math"/>
            <w:i w:val="0"/>
          </w:rPr>
          <m:t xml:space="preserve"> = </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0</m:t>
            </m:r>
          </m:sub>
        </m:sSub>
        <m:d>
          <m:dPr>
            <m:begChr m:val="("/>
            <m:endChr m:val=")"/>
            <m:ctrlPr>
              <w:rPr>
                <w:rFonts w:ascii="Cambria Math" w:hAnsi="Cambria Math"/>
                <w:i/>
              </w:rPr>
            </m:ctrlPr>
          </m:dPr>
          <m:e>
            <m:r>
              <m:rPr>
                <m:nor/>
              </m:rPr>
              <w:rPr>
                <w:rFonts w:ascii="Cambria Math" w:hAnsi="Cambria Math"/>
                <w:i w:val="0"/>
              </w:rPr>
              <m:t xml:space="preserve"> − </m:t>
            </m:r>
            <m:r>
              <m:rPr>
                <m:sty m:val="i"/>
              </m:rPr>
              <w:rPr>
                <w:rFonts w:ascii="Cambria Math" w:hAnsi="Cambria Math"/>
                <w:i/>
              </w:rPr>
              <m:t xml:space="preserve">Π</m:t>
            </m:r>
            <m:r>
              <m:rPr>
                <m:sty m:val="i"/>
              </m:rPr>
              <w:rPr>
                <w:rFonts w:ascii="Cambria Math" w:hAnsi="Cambria Math"/>
                <w:i/>
              </w:rPr>
              <m:t xml:space="preserve">r</m:t>
            </m:r>
            <m:d>
              <m:dPr>
                <m:begChr m:val="("/>
                <m:endChr m:val=")"/>
                <m:ctrlPr>
                  <w:rPr>
                    <w:rFonts w:ascii="Cambria Math" w:hAnsi="Cambria Math"/>
                    <w:i/>
                  </w:rPr>
                </m:ctrlPr>
              </m:dPr>
              <m:e>
                <m:r>
                  <m:rPr>
                    <m:sty m:val="i"/>
                  </m:rPr>
                  <w:rPr>
                    <w:rFonts w:ascii="Cambria Math" w:hAnsi="Cambria Math"/>
                    <w:i/>
                  </w:rPr>
                  <m:t xml:space="preserve">α</m:t>
                </m:r>
              </m:e>
            </m:d>
          </m:e>
        </m:d>
        <m:r>
          <m:rPr>
            <m:nor/>
          </m:rPr>
          <w:rPr>
            <w:rFonts w:ascii="Cambria Math" w:hAnsi="Cambria Math"/>
            <w:i w:val="0"/>
          </w:rPr>
          <m:t xml:space="preserve">.</m:t>
        </m:r>
      </m:oMath>
      <w:r>
        <w:tab/>
        <w:t xml:space="preserve">(13)</w:t>
      </w:r>
    </w:p>
    <w:p>
      <w:pPr>
        <w:keepNext w:val="0"/>
        <w:jc w:val="both"/>
      </w:pPr>
      <w:r>
        <w:rPr>
          <w:b/>
        </w:rPr>
        <w:t>Proposition 4.</w:t>
      </w:r>
      <w:r>
        <w:t xml:space="preserve"> For the ungated exponential model in the quasi-steady limit with frozen conversion, the low-temperature algebraic branch of Eq. (13) ceases to exist when </w:t>
      </w:r>
      <w:r>
        <w:rPr>
          <w:i/>
        </w:rPr>
        <w:t>Πr</w:t>
      </w:r>
      <w:r>
        <w:t>(</w:t>
      </w:r>
      <w:r>
        <w:rPr>
          <w:i/>
        </w:rPr>
        <w:t>α</w:t>
      </w:r>
      <w:r>
        <w:t xml:space="preserve">) = 1/e. Maximizing </w:t>
      </w:r>
      <w:r>
        <w:rPr>
          <w:i/>
        </w:rPr>
        <w:t>r</w:t>
      </w:r>
      <w:r>
        <w:t xml:space="preserve"> over </w:t>
      </w:r>
      <w:r>
        <w:rPr>
          <w:i/>
        </w:rPr>
        <w:t>α</w:t>
      </w:r>
      <w:r>
        <w:t xml:space="preserve"> gives the limiting fold criterion. For </w:t>
      </w:r>
      <w:r>
        <w:rPr>
          <w:i/>
        </w:rPr>
        <w:t>r</w:t>
      </w:r>
      <w:r>
        <w:t xml:space="preserve"> = (</w:t>
      </w:r>
      <w:r>
        <w:rPr>
          <w:i/>
        </w:rPr>
        <w:t>ε</w:t>
      </w:r>
      <w:r>
        <w:t xml:space="preserve"> + </w:t>
      </w:r>
      <w:r>
        <w:rPr>
          <w:i/>
        </w:rPr>
        <w:t>α</w:t>
      </w:r>
      <w:r>
        <w:t xml:space="preserve">)(1 − </w:t>
      </w:r>
      <w:r>
        <w:rPr>
          <w:i/>
        </w:rPr>
        <w:t>α</w:t>
      </w:r>
      <w:r>
        <w:t>)</w:t>
      </w:r>
      <w:r>
        <w:rPr>
          <w:vertAlign w:val="superscript"/>
        </w:rPr>
        <w:t>n</w:t>
      </w:r>
      <w:r>
        <w:t xml:space="preserve"> the interior maximum is at </w:t>
      </w:r>
      <w:r>
        <w:rPr>
          <w:i/>
        </w:rPr>
        <w:t>α</w:t>
      </w:r>
      <w:r>
        <w:rPr>
          <w:vertAlign w:val="superscript"/>
        </w:rPr>
        <w:t>*</w:t>
      </w:r>
      <w:r>
        <w:t xml:space="preserve"> = (1 − </w:t>
      </w:r>
      <w:r>
        <w:rPr>
          <w:i/>
        </w:rPr>
        <w:t>nε</w:t>
      </w:r>
      <w:r>
        <w:t xml:space="preserve">)/(1 + </w:t>
      </w:r>
      <w:r>
        <w:rPr>
          <w:i/>
        </w:rPr>
        <w:t>n</w:t>
      </w:r>
      <w:r>
        <w:t xml:space="preserve">), provided </w:t>
      </w:r>
      <w:r>
        <w:rPr>
          <w:i/>
        </w:rPr>
        <w:t>nε</w:t>
      </w:r>
      <w:r>
        <w:t xml:space="preserve"> &lt; 1, with </w:t>
      </w:r>
      <w:r>
        <w:rPr>
          <w:i/>
        </w:rPr>
        <w:t>r</w:t>
      </w:r>
      <w:r>
        <w:rPr>
          <w:vertAlign w:val="subscript"/>
        </w:rPr>
        <w:t>m</w:t>
      </w:r>
      <w:r>
        <w:rPr>
          <w:vertAlign w:val="subscript"/>
        </w:rPr>
        <w:t>a</w:t>
      </w:r>
      <w:r>
        <w:rPr>
          <w:vertAlign w:val="subscript"/>
        </w:rPr>
        <w:t>x</w:t>
      </w:r>
      <w:r>
        <w:t xml:space="preserve"> = </w:t>
      </w:r>
      <w:r>
        <w:rPr>
          <w:i/>
        </w:rPr>
        <w:t>n</w:t>
      </w:r>
      <w:r>
        <w:rPr>
          <w:vertAlign w:val="superscript"/>
        </w:rPr>
        <w:t>n</w:t>
      </w:r>
      <w:r>
        <w:t xml:space="preserve">(1 + </w:t>
      </w:r>
      <w:r>
        <w:rPr>
          <w:i/>
        </w:rPr>
        <w:t>ε</w:t>
      </w:r>
      <w:r>
        <w:t>)</w:t>
      </w:r>
      <w:r>
        <w:rPr>
          <w:i/>
          <w:vertAlign w:val="superscript"/>
        </w:rPr>
        <w:t>n</w:t>
      </w:r>
      <w:r>
        <w:rPr>
          <w:vertAlign w:val="superscript"/>
        </w:rPr>
        <w:t>+</w:t>
      </w:r>
      <w:r>
        <w:rPr>
          <w:vertAlign w:val="superscript"/>
        </w:rPr>
        <w:t>1</w:t>
      </w:r>
      <w:r>
        <w:t xml:space="preserve">/(1 + </w:t>
      </w:r>
      <w:r>
        <w:rPr>
          <w:i/>
        </w:rPr>
        <w:t>n</w:t>
      </w:r>
      <w:r>
        <w:t>)</w:t>
      </w:r>
      <w:r>
        <w:rPr>
          <w:i/>
          <w:vertAlign w:val="superscript"/>
        </w:rPr>
        <w:t>n</w:t>
      </w:r>
      <w:r>
        <w:rPr>
          <w:vertAlign w:val="superscript"/>
        </w:rPr>
        <w:t>+</w:t>
      </w:r>
      <w:r>
        <w:rPr>
          <w:vertAlign w:val="superscript"/>
        </w:rPr>
        <w:t>1</w:t>
      </w:r>
      <w:r>
        <w:t>, so</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c</m:t>
            </m:r>
          </m:sub>
        </m:sSub>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e</m:t>
            </m:r>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max</m:t>
                </m:r>
              </m:sub>
            </m:sSub>
          </m:den>
        </m:f>
        <m:r>
          <m:rPr>
            <m:nor/>
          </m:rPr>
          <w:rPr>
            <w:rFonts w:ascii="Cambria Math" w:hAnsi="Cambria Math"/>
            <w:i w:val="0"/>
          </w:rPr>
          <m:t xml:space="preserve"> = </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n</m:t>
                    </m:r>
                  </m:e>
                </m:d>
              </m:e>
              <m:sup>
                <m:r>
                  <m:rPr>
                    <m:nor/>
                  </m:rPr>
                  <w:rPr>
                    <w:rFonts w:ascii="Cambria Math" w:hAnsi="Cambria Math"/>
                    <w:i w:val="0"/>
                  </w:rPr>
                  <m:t xml:space="preserve">1+</m:t>
                </m:r>
                <m:r>
                  <m:rPr>
                    <m:sty m:val="i"/>
                  </m:rPr>
                  <w:rPr>
                    <w:rFonts w:ascii="Cambria Math" w:hAnsi="Cambria Math"/>
                    <w:i/>
                  </w:rPr>
                  <m:t xml:space="preserve">n</m:t>
                </m:r>
              </m:sup>
            </m:sSup>
          </m:num>
          <m:den>
            <m:r>
              <m:rPr>
                <m:nor/>
              </m:rPr>
              <w:rPr>
                <w:rFonts w:ascii="Cambria Math" w:hAnsi="Cambria Math"/>
                <w:i w:val="0"/>
              </w:rPr>
              <m:t xml:space="preserve">e</m:t>
            </m:r>
            <m:sSup>
              <m:sSupPr>
                <m:ctrlPr>
                  <w:rPr>
                    <w:rFonts w:ascii="Cambria Math" w:hAnsi="Cambria Math"/>
                    <w:i/>
                  </w:rPr>
                </m:ctrlPr>
              </m:sSupPr>
              <m:e>
                <m:r>
                  <m:rPr>
                    <m:sty m:val="i"/>
                  </m:rPr>
                  <w:rPr>
                    <w:rFonts w:ascii="Cambria Math" w:hAnsi="Cambria Math"/>
                    <w:i/>
                  </w:rPr>
                  <m:t xml:space="preserve">n</m:t>
                </m:r>
              </m:e>
              <m:sup>
                <m:r>
                  <m:rPr>
                    <m:sty m:val="i"/>
                  </m:rPr>
                  <w:rPr>
                    <w:rFonts w:ascii="Cambria Math" w:hAnsi="Cambria Math"/>
                    <w:i/>
                  </w:rPr>
                  <m:t xml:space="preserve">n</m:t>
                </m:r>
              </m:sup>
            </m:sSup>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ε</m:t>
                    </m:r>
                  </m:e>
                </m:d>
              </m:e>
              <m:sup>
                <m:r>
                  <m:rPr>
                    <m:nor/>
                  </m:rPr>
                  <w:rPr>
                    <w:rFonts w:ascii="Cambria Math" w:hAnsi="Cambria Math"/>
                    <w:i w:val="0"/>
                  </w:rPr>
                  <m:t xml:space="preserve">1+</m:t>
                </m:r>
                <m:r>
                  <m:rPr>
                    <m:sty m:val="i"/>
                  </m:rPr>
                  <w:rPr>
                    <w:rFonts w:ascii="Cambria Math" w:hAnsi="Cambria Math"/>
                    <w:i/>
                  </w:rPr>
                  <m:t xml:space="preserve">n</m:t>
                </m:r>
              </m:sup>
            </m:sSup>
          </m:den>
        </m:f>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c</m:t>
            </m:r>
          </m:sub>
        </m:sSub>
        <m:r>
          <m:rPr>
            <m:nor/>
          </m:rPr>
          <w:rPr>
            <w:rFonts w:ascii="Cambria Math" w:hAnsi="Cambria Math"/>
            <w:i w:val="0"/>
          </w:rPr>
          <m:t xml:space="preserve">→</m:t>
        </m:r>
        <m:sSup>
          <m:sSupPr>
            <m:ctrlPr>
              <w:rPr>
                <w:rFonts w:ascii="Cambria Math" w:hAnsi="Cambria Math"/>
                <w:i/>
              </w:rPr>
            </m:ctrlPr>
          </m:sSupPr>
          <m:e>
            <m:r>
              <m:rPr>
                <m:nor/>
              </m:rPr>
              <w:rPr>
                <w:rFonts w:ascii="Cambria Math" w:hAnsi="Cambria Math"/>
                <w:i w:val="0"/>
              </w:rPr>
              <m:t xml:space="preserve">e</m:t>
            </m:r>
          </m:e>
          <m:sup>
            <m:r>
              <m:rPr>
                <m:nor/>
              </m:rPr>
              <w:rPr>
                <w:rFonts w:ascii="Cambria Math" w:hAnsi="Cambria Math"/>
                <w:i w:val="0"/>
              </w:rPr>
              <m:t xml:space="preserve">−1</m:t>
            </m:r>
          </m:sup>
        </m:sSup>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n</m:t>
                    </m:r>
                  </m:e>
                </m:d>
              </m:e>
              <m:sup>
                <m:r>
                  <m:rPr>
                    <m:nor/>
                  </m:rPr>
                  <w:rPr>
                    <w:rFonts w:ascii="Cambria Math" w:hAnsi="Cambria Math"/>
                    <w:i w:val="0"/>
                  </w:rPr>
                  <m:t xml:space="preserve">1+</m:t>
                </m:r>
                <m:r>
                  <m:rPr>
                    <m:sty m:val="i"/>
                  </m:rPr>
                  <w:rPr>
                    <w:rFonts w:ascii="Cambria Math" w:hAnsi="Cambria Math"/>
                    <w:i/>
                  </w:rPr>
                  <m:t xml:space="preserve">n</m:t>
                </m:r>
              </m:sup>
            </m:sSup>
          </m:num>
          <m:den>
            <m:sSup>
              <m:sSupPr>
                <m:ctrlPr>
                  <w:rPr>
                    <w:rFonts w:ascii="Cambria Math" w:hAnsi="Cambria Math"/>
                    <w:i/>
                  </w:rPr>
                </m:ctrlPr>
              </m:sSupPr>
              <m:e>
                <m:r>
                  <m:rPr>
                    <m:sty m:val="i"/>
                  </m:rPr>
                  <w:rPr>
                    <w:rFonts w:ascii="Cambria Math" w:hAnsi="Cambria Math"/>
                    <w:i/>
                  </w:rPr>
                  <m:t xml:space="preserve">n</m:t>
                </m:r>
              </m:e>
              <m:sup>
                <m:r>
                  <m:rPr>
                    <m:sty m:val="i"/>
                  </m:rPr>
                  <w:rPr>
                    <w:rFonts w:ascii="Cambria Math" w:hAnsi="Cambria Math"/>
                    <w:i/>
                  </w:rPr>
                  <m:t xml:space="preserve">n</m:t>
                </m:r>
              </m:sup>
            </m:sSup>
          </m:den>
        </m:f>
        <m:r>
          <m:rPr>
            <m:nor/>
          </m:rPr>
          <w:rPr>
            <w:rFonts w:ascii="Cambria Math" w:hAnsi="Cambria Math"/>
            <w:i w:val="0"/>
          </w:rPr>
          <m:t xml:space="preserve">   (</m:t>
        </m:r>
        <m:r>
          <m:rPr>
            <m:sty m:val="i"/>
          </m:rPr>
          <w:rPr>
            <w:rFonts w:ascii="Cambria Math" w:hAnsi="Cambria Math"/>
            <w:i/>
          </w:rPr>
          <m:t xml:space="preserve">ε</m:t>
        </m:r>
        <m:r>
          <m:rPr>
            <m:nor/>
          </m:rPr>
          <w:rPr>
            <w:rFonts w:ascii="Cambria Math" w:hAnsi="Cambria Math"/>
            <w:i w:val="0"/>
          </w:rPr>
          <m:t xml:space="preserve"> → 0).</m:t>
        </m:r>
      </m:oMath>
      <w:r>
        <w:tab/>
        <w:t xml:space="preserve">(14)</w:t>
      </w:r>
    </w:p>
    <w:p>
      <w:pPr>
        <w:keepNext w:val="0"/>
        <w:jc w:val="both"/>
      </w:pPr>
      <w:r>
        <w:t>The finite-</w:t>
      </w:r>
      <w:r>
        <w:rPr>
          <w:i/>
        </w:rPr>
        <w:t>ε</w:t>
      </w:r>
      <w:r>
        <w:t xml:space="preserve"> value is 1.4627, 1.9641 and 2.4610 for </w:t>
      </w:r>
      <w:r>
        <w:rPr>
          <w:i/>
        </w:rPr>
        <w:t>n</w:t>
      </w:r>
      <w:r>
        <w:t xml:space="preserve"> = 1, 3/2 and 2 at </w:t>
      </w:r>
      <w:r>
        <w:rPr>
          <w:i/>
        </w:rPr>
        <w:t>ε</w:t>
      </w:r>
      <w:r>
        <w:t xml:space="preserve"> = 3 × 10</w:t>
      </w:r>
      <w:r>
        <w:rPr>
          <w:vertAlign w:val="superscript"/>
        </w:rPr>
        <w:t>−</w:t>
      </w:r>
      <w:r>
        <w:rPr>
          <w:vertAlign w:val="superscript"/>
        </w:rPr>
        <w:t>3</w:t>
      </w:r>
      <w:r>
        <w:t xml:space="preserve">, against the </w:t>
      </w:r>
      <w:r>
        <w:rPr>
          <w:i/>
        </w:rPr>
        <w:t>ε</w:t>
      </w:r>
      <w:r>
        <w:t xml:space="preserve"> → 0 limits 1.4715, 1.9789 and 2.4832; the finite-</w:t>
      </w:r>
      <w:r>
        <w:rPr>
          <w:i/>
        </w:rPr>
        <w:t>ε</w:t>
      </w:r>
      <w:r>
        <w:t xml:space="preserve"> formula explains why the integrated values of Table 5 at small </w:t>
      </w:r>
      <w:r>
        <w:rPr>
          <w:i/>
        </w:rPr>
        <w:t>Θ</w:t>
      </w:r>
      <w:r>
        <w:t xml:space="preserve"> lie slightly below the limits. Below </w:t>
      </w:r>
      <w:r>
        <w:rPr>
          <w:i/>
        </w:rPr>
        <w:t>Π</w:t>
      </w:r>
      <w:r>
        <w:rPr>
          <w:vertAlign w:val="subscript"/>
        </w:rPr>
        <w:t>c</w:t>
      </w:r>
      <w:r>
        <w:t xml:space="preserve"> the quasi-steady peak is </w:t>
      </w:r>
      <w:r>
        <w:rPr>
          <w:i/>
        </w:rPr>
        <w:t>ψθ</w:t>
      </w:r>
      <w:r>
        <w:rPr>
          <w:vertAlign w:val="subscript"/>
        </w:rPr>
        <w:t>p</w:t>
      </w:r>
      <w:r>
        <w:rPr>
          <w:vertAlign w:val="subscript"/>
        </w:rPr>
        <w:t>e</w:t>
      </w:r>
      <w:r>
        <w:rPr>
          <w:vertAlign w:val="subscript"/>
        </w:rPr>
        <w:t>a</w:t>
      </w:r>
      <w:r>
        <w:rPr>
          <w:vertAlign w:val="subscript"/>
        </w:rPr>
        <w:t>k</w:t>
      </w:r>
      <w:r>
        <w:t xml:space="preserve"> = −</w:t>
      </w:r>
      <w:r>
        <w:rPr>
          <w:i/>
        </w:rPr>
        <w:t>W</w:t>
      </w:r>
      <w:r>
        <w:rPr>
          <w:vertAlign w:val="subscript"/>
        </w:rPr>
        <w:t>0</w:t>
      </w:r>
      <w:r>
        <w:t>(−</w:t>
      </w:r>
      <w:r>
        <w:rPr>
          <w:i/>
        </w:rPr>
        <w:t>Π</w:t>
      </w:r>
      <w:r>
        <w:t>/(e</w:t>
      </w:r>
      <w:r>
        <w:rPr>
          <w:i/>
        </w:rPr>
        <w:t>Π</w:t>
      </w:r>
      <w:r>
        <w:rPr>
          <w:vertAlign w:val="subscript"/>
        </w:rPr>
        <w:t>c</w:t>
      </w:r>
      <w:r>
        <w:t xml:space="preserve">)), and close to the fold it follows </w:t>
      </w:r>
      <w:r>
        <w:rPr>
          <w:i/>
        </w:rPr>
        <w:t>ψθ</w:t>
      </w:r>
      <w:r>
        <w:rPr>
          <w:vertAlign w:val="subscript"/>
        </w:rPr>
        <w:t>p</w:t>
      </w:r>
      <w:r>
        <w:rPr>
          <w:vertAlign w:val="subscript"/>
        </w:rPr>
        <w:t>e</w:t>
      </w:r>
      <w:r>
        <w:rPr>
          <w:vertAlign w:val="subscript"/>
        </w:rPr>
        <w:t>a</w:t>
      </w:r>
      <w:r>
        <w:rPr>
          <w:vertAlign w:val="subscript"/>
        </w:rPr>
        <w:t>k</w:t>
      </w:r>
      <w:r>
        <w:t xml:space="preserve"> ≈ 1 − [2(1 − </w:t>
      </w:r>
      <w:r>
        <w:rPr>
          <w:i/>
        </w:rPr>
        <w:t>Π</w:t>
      </w:r>
      <w:r>
        <w:t>/</w:t>
      </w:r>
      <w:r>
        <w:rPr>
          <w:i/>
        </w:rPr>
        <w:t>Π</w:t>
      </w:r>
      <w:r>
        <w:rPr>
          <w:vertAlign w:val="subscript"/>
        </w:rPr>
        <w:t>c</w:t>
      </w:r>
      <w:r>
        <w:t>)]</w:t>
      </w:r>
      <w:r>
        <w:rPr>
          <w:vertAlign w:val="superscript"/>
        </w:rPr>
        <w:t>1</w:t>
      </w:r>
      <w:r>
        <w:rPr>
          <w:vertAlign w:val="superscript"/>
        </w:rPr>
        <w:t>/</w:t>
      </w:r>
      <w:r>
        <w:rPr>
          <w:vertAlign w:val="superscript"/>
        </w:rPr>
        <w:t>2</w:t>
      </w:r>
      <w:r>
        <w:t xml:space="preserve">, the normal form of a saddle-node bifurcation of the algebraic equation [20, 21]. This is a statement about the frozen-conversion algebraic manifold. For a finite batch the reactant is consumed and the temperature rise is bounded by the available reaction heat, so whether the fold marks ignition must be tested by integration. We therefore define an </w:t>
      </w:r>
      <w:r>
        <w:rPr>
          <w:i/>
        </w:rPr>
        <w:t>operational</w:t>
      </w:r>
      <w:r>
        <w:t xml:space="preserve"> threshold as the </w:t>
      </w:r>
      <w:r>
        <w:rPr>
          <w:i/>
        </w:rPr>
        <w:t>Π</w:t>
      </w:r>
      <w:r>
        <w:t xml:space="preserve"> (or Δ</w:t>
      </w:r>
      <w:r>
        <w:rPr>
          <w:i/>
        </w:rPr>
        <w:t>T</w:t>
      </w:r>
      <w:r>
        <w:rPr>
          <w:vertAlign w:val="subscript"/>
        </w:rPr>
        <w:t>a</w:t>
      </w:r>
      <w:r>
        <w:rPr>
          <w:vertAlign w:val="subscript"/>
        </w:rPr>
        <w:t>d</w:t>
      </w:r>
      <w:r>
        <w:t>) at which the integrated peak rise exceeds 0.3Δ</w:t>
      </w:r>
      <w:r>
        <w:rPr>
          <w:i/>
        </w:rPr>
        <w:t>T</w:t>
      </w:r>
      <w:r>
        <w:rPr>
          <w:vertAlign w:val="subscript"/>
        </w:rPr>
        <w:t>a</w:t>
      </w:r>
      <w:r>
        <w:rPr>
          <w:vertAlign w:val="subscript"/>
        </w:rPr>
        <w:t>d</w:t>
      </w:r>
      <w:r>
        <w:t xml:space="preserve">, and the conclusions about overshoot below are numerical. For comparison, the classical Semenov criterion for a source without consumption, </w:t>
      </w:r>
      <w:r>
        <w:rPr>
          <w:i/>
        </w:rPr>
        <w:t>r</w:t>
      </w:r>
      <w:r>
        <w:t xml:space="preserve"> = 1 in the same units, gives 1/e = 0.37; consumption and autocatalysis raise the frozen-conversion critical number by the factor 1/</w:t>
      </w:r>
      <w:r>
        <w:rPr>
          <w:i/>
        </w:rPr>
        <w:t>r</w:t>
      </w:r>
      <w:r>
        <w:rPr>
          <w:vertAlign w:val="subscript"/>
        </w:rPr>
        <w:t>m</w:t>
      </w:r>
      <w:r>
        <w:rPr>
          <w:vertAlign w:val="subscript"/>
        </w:rPr>
        <w:t>a</w:t>
      </w:r>
      <w:r>
        <w:rPr>
          <w:vertAlign w:val="subscript"/>
        </w:rPr>
        <w:t>x</w:t>
      </w:r>
      <w:r>
        <w:t xml:space="preserve"> ≈ 5.4 for </w:t>
      </w:r>
      <w:r>
        <w:rPr>
          <w:i/>
        </w:rPr>
        <w:t>n</w:t>
      </w:r>
      <w:r>
        <w:t xml:space="preserve"> = 3/2 (reactant consumption in the Semenov problem was treated in Ref. [9]).</w:t>
      </w:r>
    </w:p>
    <w:p>
      <w:pPr>
        <w:keepNext w:val="0"/>
        <w:jc w:val="both"/>
      </w:pPr>
      <w:r>
        <w:rPr>
          <w:i/>
        </w:rPr>
        <w:t>Verification in the exponential model.</w:t>
      </w:r>
      <w:r>
        <w:t xml:space="preserve"> We integrated the exponential-form equations with isothermal start and bisected the operational threshold (</w:t>
      </w:r>
      <w:r>
        <w:rPr>
          <w:i/>
        </w:rPr>
        <w:t>ε</w:t>
      </w:r>
      <w:r>
        <w:t xml:space="preserve"> = 3 × 10</w:t>
      </w:r>
      <w:r>
        <w:rPr>
          <w:vertAlign w:val="superscript"/>
        </w:rPr>
        <w:t>−</w:t>
      </w:r>
      <w:r>
        <w:rPr>
          <w:vertAlign w:val="superscript"/>
        </w:rPr>
        <w:t>3</w:t>
      </w:r>
      <w:r>
        <w:t xml:space="preserve">; Table 5). As </w:t>
      </w:r>
      <w:r>
        <w:rPr>
          <w:i/>
        </w:rPr>
        <w:t>Θ</w:t>
      </w:r>
      <w:r>
        <w:t xml:space="preserve"> → 0 the operational </w:t>
      </w:r>
      <w:r>
        <w:rPr>
          <w:i/>
        </w:rPr>
        <w:t>Π</w:t>
      </w:r>
      <w:r>
        <w:rPr>
          <w:vertAlign w:val="subscript"/>
        </w:rPr>
        <w:t>c</w:t>
      </w:r>
      <w:r>
        <w:t xml:space="preserve"> converges to Eq. (14) with finite </w:t>
      </w:r>
      <w:r>
        <w:rPr>
          <w:i/>
        </w:rPr>
        <w:t>ε</w:t>
      </w:r>
      <w:r>
        <w:t xml:space="preserve">: at </w:t>
      </w:r>
      <w:r>
        <w:rPr>
          <w:i/>
        </w:rPr>
        <w:t>Θ</w:t>
      </w:r>
      <w:r>
        <w:t xml:space="preserve"> = 0.003 the values are 1.471, 1.974 and 2.472 against 1.463, 1.964 and 2.461 (differences 0.4–0.6 %). The threshold definition matters little (</w:t>
      </w:r>
      <w:r>
        <w:rPr>
          <w:i/>
        </w:rPr>
        <w:t>Π</w:t>
      </w:r>
      <w:r>
        <w:rPr>
          <w:vertAlign w:val="subscript"/>
        </w:rPr>
        <w:t>c</w:t>
      </w:r>
      <w:r>
        <w:t xml:space="preserve"> = 1.974, 1.974, 1.992 for 0.15, 0.3 and 0.6 of Δ</w:t>
      </w:r>
      <w:r>
        <w:rPr>
          <w:i/>
        </w:rPr>
        <w:t>T</w:t>
      </w:r>
      <w:r>
        <w:rPr>
          <w:vertAlign w:val="subscript"/>
        </w:rPr>
        <w:t>a</w:t>
      </w:r>
      <w:r>
        <w:rPr>
          <w:vertAlign w:val="subscript"/>
        </w:rPr>
        <w:t>d</w:t>
      </w:r>
      <w:r>
        <w:t>). The finite-</w:t>
      </w:r>
      <w:r>
        <w:rPr>
          <w:i/>
        </w:rPr>
        <w:t>Θ</w:t>
      </w:r>
      <w:r>
        <w:t xml:space="preserve"> shift is upward (</w:t>
      </w:r>
      <w:r>
        <w:rPr>
          <w:i/>
        </w:rPr>
        <w:t>Π</w:t>
      </w:r>
      <w:r>
        <w:rPr>
          <w:vertAlign w:val="subscript"/>
        </w:rPr>
        <w:t>c</w:t>
      </w:r>
      <w:r>
        <w:t xml:space="preserve"> = 2.33 at </w:t>
      </w:r>
      <w:r>
        <w:rPr>
          <w:i/>
        </w:rPr>
        <w:t>Θ</w:t>
      </w:r>
      <w:r>
        <w:t xml:space="preserve"> = 0.1 for </w:t>
      </w:r>
      <w:r>
        <w:rPr>
          <w:i/>
        </w:rPr>
        <w:t>n</w:t>
      </w:r>
      <w:r>
        <w:t xml:space="preserve"> = 3/2); it is computed, not given in closed form. At </w:t>
      </w:r>
      <w:r>
        <w:rPr>
          <w:i/>
        </w:rPr>
        <w:t>Θ</w:t>
      </w:r>
      <w:r>
        <w:t xml:space="preserve"> = 0.002 the integrated peak at 0.5–0.98 </w:t>
      </w:r>
      <w:r>
        <w:rPr>
          <w:i/>
        </w:rPr>
        <w:t>Π</w:t>
      </w:r>
      <w:r>
        <w:rPr>
          <w:vertAlign w:val="subscript"/>
        </w:rPr>
        <w:t>c</w:t>
      </w:r>
      <w:r>
        <w:t xml:space="preserve"> follows the Lambert-</w:t>
      </w:r>
      <w:r>
        <w:rPr>
          <w:i/>
        </w:rPr>
        <w:t>W</w:t>
      </w:r>
      <w:r>
        <w:t xml:space="preserve"> formula and approaches the square-root form (Fig. 3b).</w:t>
      </w:r>
    </w:p>
    <w:p>
      <w:pPr>
        <w:keepNext/>
        <w:spacing w:line="276" w:lineRule="auto" w:after="200"/>
      </w:pPr>
      <w:r>
        <w:rPr>
          <w:b/>
          <w:sz w:val="19"/>
        </w:rPr>
        <w:t>Table 5</w:t>
      </w:r>
      <w:r>
        <w:rPr>
          <w:sz w:val="19"/>
        </w:rPr>
        <w:t xml:space="preserve"> Critical thermal-feedback number in the exponential (Frank-Kamenetskii) model: operational thresholds from integrations (peak rise 0.3Δ</w:t>
      </w:r>
      <w:r>
        <w:rPr>
          <w:i/>
          <w:sz w:val="19"/>
        </w:rPr>
        <w:t>T</w:t>
      </w:r>
      <w:r>
        <w:rPr>
          <w:sz w:val="19"/>
          <w:vertAlign w:val="subscript"/>
        </w:rPr>
        <w:t>a</w:t>
      </w:r>
      <w:r>
        <w:rPr>
          <w:sz w:val="19"/>
          <w:vertAlign w:val="subscript"/>
        </w:rPr>
        <w:t>d</w:t>
      </w:r>
      <w:r>
        <w:rPr>
          <w:sz w:val="19"/>
        </w:rPr>
        <w:t xml:space="preserve">, </w:t>
      </w:r>
      <w:r>
        <w:rPr>
          <w:i/>
          <w:sz w:val="19"/>
        </w:rPr>
        <w:t>ε</w:t>
      </w:r>
      <w:r>
        <w:rPr>
          <w:sz w:val="19"/>
        </w:rPr>
        <w:t xml:space="preserve"> = 3 × 10</w:t>
      </w:r>
      <w:r>
        <w:rPr>
          <w:sz w:val="19"/>
          <w:vertAlign w:val="superscript"/>
        </w:rPr>
        <w:t>−</w:t>
      </w:r>
      <w:r>
        <w:rPr>
          <w:sz w:val="19"/>
          <w:vertAlign w:val="superscript"/>
        </w:rPr>
        <w:t>3</w:t>
      </w:r>
      <w:r>
        <w:rPr>
          <w:sz w:val="19"/>
        </w:rPr>
        <w:t xml:space="preserve">) against Eq. (14) with finite </w:t>
      </w:r>
      <w:r>
        <w:rPr>
          <w:i/>
          <w:sz w:val="19"/>
        </w:rPr>
        <w:t>ε</w:t>
      </w:r>
      <w:r>
        <w:rPr>
          <w:sz w:val="19"/>
        </w:rPr>
        <w:t xml:space="preserve"> and its </w:t>
      </w:r>
      <w:r>
        <w:rPr>
          <w:i/>
          <w:sz w:val="19"/>
        </w:rPr>
        <w:t>ε</w:t>
      </w:r>
      <w:r>
        <w:rPr>
          <w:sz w:val="19"/>
        </w:rPr>
        <w:t xml:space="preserve"> → 0 limit.</w:t>
      </w:r>
    </w:p>
    <w:tbl>
      <w:tblPr>
        <w:tblStyle w:val="TableGrid"/>
        <w:tblW w:type="auto" w:w="0"/>
        <w:jc w:val="center"/>
        <w:tblLayout w:type="fixed"/>
        <w:tblLook w:firstColumn="1" w:firstRow="1" w:lastColumn="0" w:lastRow="0" w:noHBand="0" w:noVBand="1" w:val="04A0"/>
      </w:tblPr>
      <w:tblGrid>
        <w:gridCol w:w="864"/>
        <w:gridCol w:w="1008"/>
        <w:gridCol w:w="2880"/>
        <w:gridCol w:w="2880"/>
        <w:gridCol w:w="1872"/>
      </w:tblGrid>
      <w:tr>
        <w:trPr>
          <w:tblHeader w:val="true"/>
        </w:trPr>
        <w:tc>
          <w:tcPr>
            <w:tcW w:type="dxa" w:w="864"/>
          </w:tcPr>
          <w:p>
            <w:pPr>
              <w:spacing w:line="240" w:lineRule="auto" w:after="20"/>
            </w:pPr>
            <w:r/>
            <w:r>
              <w:rPr>
                <w:b/>
                <w:i/>
                <w:sz w:val="17"/>
              </w:rPr>
              <w:t>n</w:t>
            </w:r>
          </w:p>
        </w:tc>
        <w:tc>
          <w:tcPr>
            <w:tcW w:type="dxa" w:w="1008"/>
          </w:tcPr>
          <w:p>
            <w:pPr>
              <w:spacing w:line="240" w:lineRule="auto" w:after="20"/>
            </w:pPr>
            <w:r/>
            <w:r>
              <w:rPr>
                <w:b/>
                <w:i/>
                <w:sz w:val="17"/>
              </w:rPr>
              <w:t>Θ</w:t>
            </w:r>
          </w:p>
        </w:tc>
        <w:tc>
          <w:tcPr>
            <w:tcW w:type="dxa" w:w="2880"/>
          </w:tcPr>
          <w:p>
            <w:pPr>
              <w:spacing w:line="240" w:lineRule="auto" w:after="20"/>
            </w:pPr>
            <w:r/>
            <w:r>
              <w:rPr>
                <w:b/>
                <w:i/>
                <w:sz w:val="17"/>
              </w:rPr>
              <w:t>Π</w:t>
            </w:r>
            <w:r>
              <w:rPr>
                <w:b/>
                <w:sz w:val="17"/>
                <w:vertAlign w:val="subscript"/>
              </w:rPr>
              <w:t>c</w:t>
            </w:r>
            <w:r>
              <w:rPr>
                <w:b/>
                <w:sz w:val="17"/>
              </w:rPr>
              <w:t>, integrated (operational)</w:t>
            </w:r>
          </w:p>
        </w:tc>
        <w:tc>
          <w:tcPr>
            <w:tcW w:type="dxa" w:w="2880"/>
          </w:tcPr>
          <w:p>
            <w:pPr>
              <w:spacing w:line="240" w:lineRule="auto" w:after="20"/>
            </w:pPr>
            <w:r/>
            <w:r>
              <w:rPr>
                <w:b/>
                <w:i/>
                <w:sz w:val="17"/>
              </w:rPr>
              <w:t>Π</w:t>
            </w:r>
            <w:r>
              <w:rPr>
                <w:b/>
                <w:sz w:val="17"/>
                <w:vertAlign w:val="subscript"/>
              </w:rPr>
              <w:t>c</w:t>
            </w:r>
            <w:r>
              <w:rPr>
                <w:b/>
                <w:sz w:val="17"/>
              </w:rPr>
              <w:t xml:space="preserve">, Eq. (14) finite </w:t>
            </w:r>
            <w:r>
              <w:rPr>
                <w:b/>
                <w:i/>
                <w:sz w:val="17"/>
              </w:rPr>
              <w:t>ε</w:t>
            </w:r>
          </w:p>
        </w:tc>
        <w:tc>
          <w:tcPr>
            <w:tcW w:type="dxa" w:w="1872"/>
          </w:tcPr>
          <w:p>
            <w:pPr>
              <w:spacing w:line="240" w:lineRule="auto" w:after="20"/>
            </w:pPr>
            <w:r/>
            <w:r>
              <w:rPr>
                <w:b/>
                <w:i/>
                <w:sz w:val="17"/>
              </w:rPr>
              <w:t>Π</w:t>
            </w:r>
            <w:r>
              <w:rPr>
                <w:b/>
                <w:sz w:val="17"/>
                <w:vertAlign w:val="subscript"/>
              </w:rPr>
              <w:t>c</w:t>
            </w:r>
            <w:r>
              <w:rPr>
                <w:b/>
                <w:sz w:val="17"/>
              </w:rPr>
              <w:t xml:space="preserve">, </w:t>
            </w:r>
            <w:r>
              <w:rPr>
                <w:b/>
                <w:i/>
                <w:sz w:val="17"/>
              </w:rPr>
              <w:t>ε</w:t>
            </w:r>
            <w:r>
              <w:rPr>
                <w:b/>
                <w:sz w:val="17"/>
              </w:rPr>
              <w:t xml:space="preserve"> → 0</w:t>
            </w:r>
          </w:p>
        </w:tc>
      </w:tr>
      <w:tr>
        <w:tc>
          <w:tcPr>
            <w:tcW w:type="dxa" w:w="864"/>
          </w:tcPr>
          <w:p>
            <w:pPr>
              <w:spacing w:line="240" w:lineRule="auto" w:after="20"/>
            </w:pPr>
            <w:r/>
            <w:r>
              <w:rPr>
                <w:sz w:val="17"/>
              </w:rPr>
              <w:t>1.0</w:t>
            </w:r>
          </w:p>
        </w:tc>
        <w:tc>
          <w:tcPr>
            <w:tcW w:type="dxa" w:w="1008"/>
          </w:tcPr>
          <w:p>
            <w:pPr>
              <w:spacing w:line="240" w:lineRule="auto" w:after="20"/>
            </w:pPr>
            <w:r/>
            <w:r>
              <w:rPr>
                <w:sz w:val="17"/>
              </w:rPr>
              <w:t>0.1</w:t>
            </w:r>
          </w:p>
        </w:tc>
        <w:tc>
          <w:tcPr>
            <w:tcW w:type="dxa" w:w="2880"/>
          </w:tcPr>
          <w:p>
            <w:pPr>
              <w:spacing w:line="240" w:lineRule="auto" w:after="20"/>
            </w:pPr>
            <w:r/>
            <w:r>
              <w:rPr>
                <w:sz w:val="17"/>
              </w:rPr>
              <w:t>1.826</w:t>
            </w:r>
          </w:p>
        </w:tc>
        <w:tc>
          <w:tcPr>
            <w:tcW w:type="dxa" w:w="2880"/>
          </w:tcPr>
          <w:p>
            <w:pPr>
              <w:spacing w:line="240" w:lineRule="auto" w:after="20"/>
            </w:pPr>
            <w:r/>
            <w:r>
              <w:rPr>
                <w:sz w:val="17"/>
              </w:rPr>
              <w:t>1.463</w:t>
            </w:r>
          </w:p>
        </w:tc>
        <w:tc>
          <w:tcPr>
            <w:tcW w:type="dxa" w:w="1872"/>
          </w:tcPr>
          <w:p>
            <w:pPr>
              <w:spacing w:line="240" w:lineRule="auto" w:after="20"/>
            </w:pPr>
            <w:r/>
            <w:r>
              <w:rPr>
                <w:sz w:val="17"/>
              </w:rPr>
              <w:t>1.472</w:t>
            </w:r>
          </w:p>
        </w:tc>
      </w:tr>
      <w:tr>
        <w:tc>
          <w:tcPr>
            <w:tcW w:type="dxa" w:w="864"/>
          </w:tcPr>
          <w:p>
            <w:pPr>
              <w:spacing w:line="240" w:lineRule="auto" w:after="20"/>
            </w:pPr>
            <w:r/>
            <w:r>
              <w:rPr>
                <w:sz w:val="17"/>
              </w:rPr>
              <w:t>1.0</w:t>
            </w:r>
          </w:p>
        </w:tc>
        <w:tc>
          <w:tcPr>
            <w:tcW w:type="dxa" w:w="1008"/>
          </w:tcPr>
          <w:p>
            <w:pPr>
              <w:spacing w:line="240" w:lineRule="auto" w:after="20"/>
            </w:pPr>
            <w:r/>
            <w:r>
              <w:rPr>
                <w:sz w:val="17"/>
              </w:rPr>
              <w:t>0.03</w:t>
            </w:r>
          </w:p>
        </w:tc>
        <w:tc>
          <w:tcPr>
            <w:tcW w:type="dxa" w:w="2880"/>
          </w:tcPr>
          <w:p>
            <w:pPr>
              <w:spacing w:line="240" w:lineRule="auto" w:after="20"/>
            </w:pPr>
            <w:r/>
            <w:r>
              <w:rPr>
                <w:sz w:val="17"/>
              </w:rPr>
              <w:t>1.555</w:t>
            </w:r>
          </w:p>
        </w:tc>
        <w:tc>
          <w:tcPr>
            <w:tcW w:type="dxa" w:w="2880"/>
          </w:tcPr>
          <w:p>
            <w:pPr>
              <w:spacing w:line="240" w:lineRule="auto" w:after="20"/>
            </w:pPr>
            <w:r/>
            <w:r>
              <w:rPr>
                <w:sz w:val="17"/>
              </w:rPr>
              <w:t>1.463</w:t>
            </w:r>
          </w:p>
        </w:tc>
        <w:tc>
          <w:tcPr>
            <w:tcW w:type="dxa" w:w="1872"/>
          </w:tcPr>
          <w:p>
            <w:pPr>
              <w:spacing w:line="240" w:lineRule="auto" w:after="20"/>
            </w:pPr>
            <w:r/>
            <w:r>
              <w:rPr>
                <w:sz w:val="17"/>
              </w:rPr>
              <w:t>1.472</w:t>
            </w:r>
          </w:p>
        </w:tc>
      </w:tr>
      <w:tr>
        <w:tc>
          <w:tcPr>
            <w:tcW w:type="dxa" w:w="864"/>
          </w:tcPr>
          <w:p>
            <w:pPr>
              <w:spacing w:line="240" w:lineRule="auto" w:after="20"/>
            </w:pPr>
            <w:r/>
            <w:r>
              <w:rPr>
                <w:sz w:val="17"/>
              </w:rPr>
              <w:t>1.0</w:t>
            </w:r>
          </w:p>
        </w:tc>
        <w:tc>
          <w:tcPr>
            <w:tcW w:type="dxa" w:w="1008"/>
          </w:tcPr>
          <w:p>
            <w:pPr>
              <w:spacing w:line="240" w:lineRule="auto" w:after="20"/>
            </w:pPr>
            <w:r/>
            <w:r>
              <w:rPr>
                <w:sz w:val="17"/>
              </w:rPr>
              <w:t>0.01</w:t>
            </w:r>
          </w:p>
        </w:tc>
        <w:tc>
          <w:tcPr>
            <w:tcW w:type="dxa" w:w="2880"/>
          </w:tcPr>
          <w:p>
            <w:pPr>
              <w:spacing w:line="240" w:lineRule="auto" w:after="20"/>
            </w:pPr>
            <w:r/>
            <w:r>
              <w:rPr>
                <w:sz w:val="17"/>
              </w:rPr>
              <w:t>1.491</w:t>
            </w:r>
          </w:p>
        </w:tc>
        <w:tc>
          <w:tcPr>
            <w:tcW w:type="dxa" w:w="2880"/>
          </w:tcPr>
          <w:p>
            <w:pPr>
              <w:spacing w:line="240" w:lineRule="auto" w:after="20"/>
            </w:pPr>
            <w:r/>
            <w:r>
              <w:rPr>
                <w:sz w:val="17"/>
              </w:rPr>
              <w:t>1.463</w:t>
            </w:r>
          </w:p>
        </w:tc>
        <w:tc>
          <w:tcPr>
            <w:tcW w:type="dxa" w:w="1872"/>
          </w:tcPr>
          <w:p>
            <w:pPr>
              <w:spacing w:line="240" w:lineRule="auto" w:after="20"/>
            </w:pPr>
            <w:r/>
            <w:r>
              <w:rPr>
                <w:sz w:val="17"/>
              </w:rPr>
              <w:t>1.472</w:t>
            </w:r>
          </w:p>
        </w:tc>
      </w:tr>
      <w:tr>
        <w:tc>
          <w:tcPr>
            <w:tcW w:type="dxa" w:w="864"/>
          </w:tcPr>
          <w:p>
            <w:pPr>
              <w:spacing w:line="240" w:lineRule="auto" w:after="20"/>
            </w:pPr>
            <w:r/>
            <w:r>
              <w:rPr>
                <w:sz w:val="17"/>
              </w:rPr>
              <w:t>1.0</w:t>
            </w:r>
          </w:p>
        </w:tc>
        <w:tc>
          <w:tcPr>
            <w:tcW w:type="dxa" w:w="1008"/>
          </w:tcPr>
          <w:p>
            <w:pPr>
              <w:spacing w:line="240" w:lineRule="auto" w:after="20"/>
            </w:pPr>
            <w:r/>
            <w:r>
              <w:rPr>
                <w:sz w:val="17"/>
              </w:rPr>
              <w:t>0.003</w:t>
            </w:r>
          </w:p>
        </w:tc>
        <w:tc>
          <w:tcPr>
            <w:tcW w:type="dxa" w:w="2880"/>
          </w:tcPr>
          <w:p>
            <w:pPr>
              <w:spacing w:line="240" w:lineRule="auto" w:after="20"/>
            </w:pPr>
            <w:r/>
            <w:r>
              <w:rPr>
                <w:sz w:val="17"/>
              </w:rPr>
              <w:t>1.471</w:t>
            </w:r>
          </w:p>
        </w:tc>
        <w:tc>
          <w:tcPr>
            <w:tcW w:type="dxa" w:w="2880"/>
          </w:tcPr>
          <w:p>
            <w:pPr>
              <w:spacing w:line="240" w:lineRule="auto" w:after="20"/>
            </w:pPr>
            <w:r/>
            <w:r>
              <w:rPr>
                <w:sz w:val="17"/>
              </w:rPr>
              <w:t>1.463</w:t>
            </w:r>
          </w:p>
        </w:tc>
        <w:tc>
          <w:tcPr>
            <w:tcW w:type="dxa" w:w="1872"/>
          </w:tcPr>
          <w:p>
            <w:pPr>
              <w:spacing w:line="240" w:lineRule="auto" w:after="20"/>
            </w:pPr>
            <w:r/>
            <w:r>
              <w:rPr>
                <w:sz w:val="17"/>
              </w:rPr>
              <w:t>1.472</w:t>
            </w:r>
          </w:p>
        </w:tc>
      </w:tr>
      <w:tr>
        <w:tc>
          <w:tcPr>
            <w:tcW w:type="dxa" w:w="864"/>
          </w:tcPr>
          <w:p>
            <w:pPr>
              <w:spacing w:line="240" w:lineRule="auto" w:after="20"/>
            </w:pPr>
            <w:r/>
            <w:r>
              <w:rPr>
                <w:sz w:val="17"/>
              </w:rPr>
              <w:t>1.5</w:t>
            </w:r>
          </w:p>
        </w:tc>
        <w:tc>
          <w:tcPr>
            <w:tcW w:type="dxa" w:w="1008"/>
          </w:tcPr>
          <w:p>
            <w:pPr>
              <w:spacing w:line="240" w:lineRule="auto" w:after="20"/>
            </w:pPr>
            <w:r/>
            <w:r>
              <w:rPr>
                <w:sz w:val="17"/>
              </w:rPr>
              <w:t>0.1</w:t>
            </w:r>
          </w:p>
        </w:tc>
        <w:tc>
          <w:tcPr>
            <w:tcW w:type="dxa" w:w="2880"/>
          </w:tcPr>
          <w:p>
            <w:pPr>
              <w:spacing w:line="240" w:lineRule="auto" w:after="20"/>
            </w:pPr>
            <w:r/>
            <w:r>
              <w:rPr>
                <w:sz w:val="17"/>
              </w:rPr>
              <w:t>2.333</w:t>
            </w:r>
          </w:p>
        </w:tc>
        <w:tc>
          <w:tcPr>
            <w:tcW w:type="dxa" w:w="2880"/>
          </w:tcPr>
          <w:p>
            <w:pPr>
              <w:spacing w:line="240" w:lineRule="auto" w:after="20"/>
            </w:pPr>
            <w:r/>
            <w:r>
              <w:rPr>
                <w:sz w:val="17"/>
              </w:rPr>
              <w:t>1.964</w:t>
            </w:r>
          </w:p>
        </w:tc>
        <w:tc>
          <w:tcPr>
            <w:tcW w:type="dxa" w:w="1872"/>
          </w:tcPr>
          <w:p>
            <w:pPr>
              <w:spacing w:line="240" w:lineRule="auto" w:after="20"/>
            </w:pPr>
            <w:r/>
            <w:r>
              <w:rPr>
                <w:sz w:val="17"/>
              </w:rPr>
              <w:t>1.979</w:t>
            </w:r>
          </w:p>
        </w:tc>
      </w:tr>
      <w:tr>
        <w:tc>
          <w:tcPr>
            <w:tcW w:type="dxa" w:w="864"/>
          </w:tcPr>
          <w:p>
            <w:pPr>
              <w:spacing w:line="240" w:lineRule="auto" w:after="20"/>
            </w:pPr>
            <w:r/>
            <w:r>
              <w:rPr>
                <w:sz w:val="17"/>
              </w:rPr>
              <w:t>1.5</w:t>
            </w:r>
          </w:p>
        </w:tc>
        <w:tc>
          <w:tcPr>
            <w:tcW w:type="dxa" w:w="1008"/>
          </w:tcPr>
          <w:p>
            <w:pPr>
              <w:spacing w:line="240" w:lineRule="auto" w:after="20"/>
            </w:pPr>
            <w:r/>
            <w:r>
              <w:rPr>
                <w:sz w:val="17"/>
              </w:rPr>
              <w:t>0.03</w:t>
            </w:r>
          </w:p>
        </w:tc>
        <w:tc>
          <w:tcPr>
            <w:tcW w:type="dxa" w:w="2880"/>
          </w:tcPr>
          <w:p>
            <w:pPr>
              <w:spacing w:line="240" w:lineRule="auto" w:after="20"/>
            </w:pPr>
            <w:r/>
            <w:r>
              <w:rPr>
                <w:sz w:val="17"/>
              </w:rPr>
              <w:t>2.063</w:t>
            </w:r>
          </w:p>
        </w:tc>
        <w:tc>
          <w:tcPr>
            <w:tcW w:type="dxa" w:w="2880"/>
          </w:tcPr>
          <w:p>
            <w:pPr>
              <w:spacing w:line="240" w:lineRule="auto" w:after="20"/>
            </w:pPr>
            <w:r/>
            <w:r>
              <w:rPr>
                <w:sz w:val="17"/>
              </w:rPr>
              <w:t>1.964</w:t>
            </w:r>
          </w:p>
        </w:tc>
        <w:tc>
          <w:tcPr>
            <w:tcW w:type="dxa" w:w="1872"/>
          </w:tcPr>
          <w:p>
            <w:pPr>
              <w:spacing w:line="240" w:lineRule="auto" w:after="20"/>
            </w:pPr>
            <w:r/>
            <w:r>
              <w:rPr>
                <w:sz w:val="17"/>
              </w:rPr>
              <w:t>1.979</w:t>
            </w:r>
          </w:p>
        </w:tc>
      </w:tr>
      <w:tr>
        <w:tc>
          <w:tcPr>
            <w:tcW w:type="dxa" w:w="864"/>
          </w:tcPr>
          <w:p>
            <w:pPr>
              <w:spacing w:line="240" w:lineRule="auto" w:after="20"/>
            </w:pPr>
            <w:r/>
            <w:r>
              <w:rPr>
                <w:sz w:val="17"/>
              </w:rPr>
              <w:t>1.5</w:t>
            </w:r>
          </w:p>
        </w:tc>
        <w:tc>
          <w:tcPr>
            <w:tcW w:type="dxa" w:w="1008"/>
          </w:tcPr>
          <w:p>
            <w:pPr>
              <w:spacing w:line="240" w:lineRule="auto" w:after="20"/>
            </w:pPr>
            <w:r/>
            <w:r>
              <w:rPr>
                <w:sz w:val="17"/>
              </w:rPr>
              <w:t>0.01</w:t>
            </w:r>
          </w:p>
        </w:tc>
        <w:tc>
          <w:tcPr>
            <w:tcW w:type="dxa" w:w="2880"/>
          </w:tcPr>
          <w:p>
            <w:pPr>
              <w:spacing w:line="240" w:lineRule="auto" w:after="20"/>
            </w:pPr>
            <w:r/>
            <w:r>
              <w:rPr>
                <w:sz w:val="17"/>
              </w:rPr>
              <w:t>1.997</w:t>
            </w:r>
          </w:p>
        </w:tc>
        <w:tc>
          <w:tcPr>
            <w:tcW w:type="dxa" w:w="2880"/>
          </w:tcPr>
          <w:p>
            <w:pPr>
              <w:spacing w:line="240" w:lineRule="auto" w:after="20"/>
            </w:pPr>
            <w:r/>
            <w:r>
              <w:rPr>
                <w:sz w:val="17"/>
              </w:rPr>
              <w:t>1.964</w:t>
            </w:r>
          </w:p>
        </w:tc>
        <w:tc>
          <w:tcPr>
            <w:tcW w:type="dxa" w:w="1872"/>
          </w:tcPr>
          <w:p>
            <w:pPr>
              <w:spacing w:line="240" w:lineRule="auto" w:after="20"/>
            </w:pPr>
            <w:r/>
            <w:r>
              <w:rPr>
                <w:sz w:val="17"/>
              </w:rPr>
              <w:t>1.979</w:t>
            </w:r>
          </w:p>
        </w:tc>
      </w:tr>
      <w:tr>
        <w:tc>
          <w:tcPr>
            <w:tcW w:type="dxa" w:w="864"/>
          </w:tcPr>
          <w:p>
            <w:pPr>
              <w:spacing w:line="240" w:lineRule="auto" w:after="20"/>
            </w:pPr>
            <w:r/>
            <w:r>
              <w:rPr>
                <w:sz w:val="17"/>
              </w:rPr>
              <w:t>1.5</w:t>
            </w:r>
          </w:p>
        </w:tc>
        <w:tc>
          <w:tcPr>
            <w:tcW w:type="dxa" w:w="1008"/>
          </w:tcPr>
          <w:p>
            <w:pPr>
              <w:spacing w:line="240" w:lineRule="auto" w:after="20"/>
            </w:pPr>
            <w:r/>
            <w:r>
              <w:rPr>
                <w:sz w:val="17"/>
              </w:rPr>
              <w:t>0.003</w:t>
            </w:r>
          </w:p>
        </w:tc>
        <w:tc>
          <w:tcPr>
            <w:tcW w:type="dxa" w:w="2880"/>
          </w:tcPr>
          <w:p>
            <w:pPr>
              <w:spacing w:line="240" w:lineRule="auto" w:after="20"/>
            </w:pPr>
            <w:r/>
            <w:r>
              <w:rPr>
                <w:sz w:val="17"/>
              </w:rPr>
              <w:t>1.974</w:t>
            </w:r>
          </w:p>
        </w:tc>
        <w:tc>
          <w:tcPr>
            <w:tcW w:type="dxa" w:w="2880"/>
          </w:tcPr>
          <w:p>
            <w:pPr>
              <w:spacing w:line="240" w:lineRule="auto" w:after="20"/>
            </w:pPr>
            <w:r/>
            <w:r>
              <w:rPr>
                <w:sz w:val="17"/>
              </w:rPr>
              <w:t>1.964</w:t>
            </w:r>
          </w:p>
        </w:tc>
        <w:tc>
          <w:tcPr>
            <w:tcW w:type="dxa" w:w="1872"/>
          </w:tcPr>
          <w:p>
            <w:pPr>
              <w:spacing w:line="240" w:lineRule="auto" w:after="20"/>
            </w:pPr>
            <w:r/>
            <w:r>
              <w:rPr>
                <w:sz w:val="17"/>
              </w:rPr>
              <w:t>1.979</w:t>
            </w:r>
          </w:p>
        </w:tc>
      </w:tr>
      <w:tr>
        <w:tc>
          <w:tcPr>
            <w:tcW w:type="dxa" w:w="864"/>
          </w:tcPr>
          <w:p>
            <w:pPr>
              <w:spacing w:line="240" w:lineRule="auto" w:after="20"/>
            </w:pPr>
            <w:r/>
            <w:r>
              <w:rPr>
                <w:sz w:val="17"/>
              </w:rPr>
              <w:t>2.0</w:t>
            </w:r>
          </w:p>
        </w:tc>
        <w:tc>
          <w:tcPr>
            <w:tcW w:type="dxa" w:w="1008"/>
          </w:tcPr>
          <w:p>
            <w:pPr>
              <w:spacing w:line="240" w:lineRule="auto" w:after="20"/>
            </w:pPr>
            <w:r/>
            <w:r>
              <w:rPr>
                <w:sz w:val="17"/>
              </w:rPr>
              <w:t>0.1</w:t>
            </w:r>
          </w:p>
        </w:tc>
        <w:tc>
          <w:tcPr>
            <w:tcW w:type="dxa" w:w="2880"/>
          </w:tcPr>
          <w:p>
            <w:pPr>
              <w:spacing w:line="240" w:lineRule="auto" w:after="20"/>
            </w:pPr>
            <w:r/>
            <w:r>
              <w:rPr>
                <w:sz w:val="17"/>
              </w:rPr>
              <w:t>2.857</w:t>
            </w:r>
          </w:p>
        </w:tc>
        <w:tc>
          <w:tcPr>
            <w:tcW w:type="dxa" w:w="2880"/>
          </w:tcPr>
          <w:p>
            <w:pPr>
              <w:spacing w:line="240" w:lineRule="auto" w:after="20"/>
            </w:pPr>
            <w:r/>
            <w:r>
              <w:rPr>
                <w:sz w:val="17"/>
              </w:rPr>
              <w:t>2.461</w:t>
            </w:r>
          </w:p>
        </w:tc>
        <w:tc>
          <w:tcPr>
            <w:tcW w:type="dxa" w:w="1872"/>
          </w:tcPr>
          <w:p>
            <w:pPr>
              <w:spacing w:line="240" w:lineRule="auto" w:after="20"/>
            </w:pPr>
            <w:r/>
            <w:r>
              <w:rPr>
                <w:sz w:val="17"/>
              </w:rPr>
              <w:t>2.483</w:t>
            </w:r>
          </w:p>
        </w:tc>
      </w:tr>
      <w:tr>
        <w:tc>
          <w:tcPr>
            <w:tcW w:type="dxa" w:w="864"/>
          </w:tcPr>
          <w:p>
            <w:pPr>
              <w:spacing w:line="240" w:lineRule="auto" w:after="20"/>
            </w:pPr>
            <w:r/>
            <w:r>
              <w:rPr>
                <w:sz w:val="17"/>
              </w:rPr>
              <w:t>2.0</w:t>
            </w:r>
          </w:p>
        </w:tc>
        <w:tc>
          <w:tcPr>
            <w:tcW w:type="dxa" w:w="1008"/>
          </w:tcPr>
          <w:p>
            <w:pPr>
              <w:spacing w:line="240" w:lineRule="auto" w:after="20"/>
            </w:pPr>
            <w:r/>
            <w:r>
              <w:rPr>
                <w:sz w:val="17"/>
              </w:rPr>
              <w:t>0.03</w:t>
            </w:r>
          </w:p>
        </w:tc>
        <w:tc>
          <w:tcPr>
            <w:tcW w:type="dxa" w:w="2880"/>
          </w:tcPr>
          <w:p>
            <w:pPr>
              <w:spacing w:line="240" w:lineRule="auto" w:after="20"/>
            </w:pPr>
            <w:r/>
            <w:r>
              <w:rPr>
                <w:sz w:val="17"/>
              </w:rPr>
              <w:t>2.573</w:t>
            </w:r>
          </w:p>
        </w:tc>
        <w:tc>
          <w:tcPr>
            <w:tcW w:type="dxa" w:w="2880"/>
          </w:tcPr>
          <w:p>
            <w:pPr>
              <w:spacing w:line="240" w:lineRule="auto" w:after="20"/>
            </w:pPr>
            <w:r/>
            <w:r>
              <w:rPr>
                <w:sz w:val="17"/>
              </w:rPr>
              <w:t>2.461</w:t>
            </w:r>
          </w:p>
        </w:tc>
        <w:tc>
          <w:tcPr>
            <w:tcW w:type="dxa" w:w="1872"/>
          </w:tcPr>
          <w:p>
            <w:pPr>
              <w:spacing w:line="240" w:lineRule="auto" w:after="20"/>
            </w:pPr>
            <w:r/>
            <w:r>
              <w:rPr>
                <w:sz w:val="17"/>
              </w:rPr>
              <w:t>2.483</w:t>
            </w:r>
          </w:p>
        </w:tc>
      </w:tr>
      <w:tr>
        <w:tc>
          <w:tcPr>
            <w:tcW w:type="dxa" w:w="864"/>
          </w:tcPr>
          <w:p>
            <w:pPr>
              <w:spacing w:line="240" w:lineRule="auto" w:after="20"/>
            </w:pPr>
            <w:r/>
            <w:r>
              <w:rPr>
                <w:sz w:val="17"/>
              </w:rPr>
              <w:t>2.0</w:t>
            </w:r>
          </w:p>
        </w:tc>
        <w:tc>
          <w:tcPr>
            <w:tcW w:type="dxa" w:w="1008"/>
          </w:tcPr>
          <w:p>
            <w:pPr>
              <w:spacing w:line="240" w:lineRule="auto" w:after="20"/>
            </w:pPr>
            <w:r/>
            <w:r>
              <w:rPr>
                <w:sz w:val="17"/>
              </w:rPr>
              <w:t>0.01</w:t>
            </w:r>
          </w:p>
        </w:tc>
        <w:tc>
          <w:tcPr>
            <w:tcW w:type="dxa" w:w="2880"/>
          </w:tcPr>
          <w:p>
            <w:pPr>
              <w:spacing w:line="240" w:lineRule="auto" w:after="20"/>
            </w:pPr>
            <w:r/>
            <w:r>
              <w:rPr>
                <w:sz w:val="17"/>
              </w:rPr>
              <w:t>2.498</w:t>
            </w:r>
          </w:p>
        </w:tc>
        <w:tc>
          <w:tcPr>
            <w:tcW w:type="dxa" w:w="2880"/>
          </w:tcPr>
          <w:p>
            <w:pPr>
              <w:spacing w:line="240" w:lineRule="auto" w:after="20"/>
            </w:pPr>
            <w:r/>
            <w:r>
              <w:rPr>
                <w:sz w:val="17"/>
              </w:rPr>
              <w:t>2.461</w:t>
            </w:r>
          </w:p>
        </w:tc>
        <w:tc>
          <w:tcPr>
            <w:tcW w:type="dxa" w:w="1872"/>
          </w:tcPr>
          <w:p>
            <w:pPr>
              <w:spacing w:line="240" w:lineRule="auto" w:after="20"/>
            </w:pPr>
            <w:r/>
            <w:r>
              <w:rPr>
                <w:sz w:val="17"/>
              </w:rPr>
              <w:t>2.483</w:t>
            </w:r>
          </w:p>
        </w:tc>
      </w:tr>
      <w:tr>
        <w:tc>
          <w:tcPr>
            <w:tcW w:type="dxa" w:w="864"/>
          </w:tcPr>
          <w:p>
            <w:pPr>
              <w:spacing w:line="240" w:lineRule="auto" w:after="20"/>
            </w:pPr>
            <w:r/>
            <w:r>
              <w:rPr>
                <w:sz w:val="17"/>
              </w:rPr>
              <w:t>2.0</w:t>
            </w:r>
          </w:p>
        </w:tc>
        <w:tc>
          <w:tcPr>
            <w:tcW w:type="dxa" w:w="1008"/>
          </w:tcPr>
          <w:p>
            <w:pPr>
              <w:spacing w:line="240" w:lineRule="auto" w:after="20"/>
            </w:pPr>
            <w:r/>
            <w:r>
              <w:rPr>
                <w:sz w:val="17"/>
              </w:rPr>
              <w:t>0.003</w:t>
            </w:r>
          </w:p>
        </w:tc>
        <w:tc>
          <w:tcPr>
            <w:tcW w:type="dxa" w:w="2880"/>
          </w:tcPr>
          <w:p>
            <w:pPr>
              <w:spacing w:line="240" w:lineRule="auto" w:after="20"/>
            </w:pPr>
            <w:r/>
            <w:r>
              <w:rPr>
                <w:sz w:val="17"/>
              </w:rPr>
              <w:t>2.472</w:t>
            </w:r>
          </w:p>
        </w:tc>
        <w:tc>
          <w:tcPr>
            <w:tcW w:type="dxa" w:w="2880"/>
          </w:tcPr>
          <w:p>
            <w:pPr>
              <w:spacing w:line="240" w:lineRule="auto" w:after="20"/>
            </w:pPr>
            <w:r/>
            <w:r>
              <w:rPr>
                <w:sz w:val="17"/>
              </w:rPr>
              <w:t>2.461</w:t>
            </w:r>
          </w:p>
        </w:tc>
        <w:tc>
          <w:tcPr>
            <w:tcW w:type="dxa" w:w="1872"/>
          </w:tcPr>
          <w:p>
            <w:pPr>
              <w:spacing w:line="240" w:lineRule="auto" w:after="20"/>
            </w:pPr>
            <w:r/>
            <w:r>
              <w:rPr>
                <w:sz w:val="17"/>
              </w:rPr>
              <w:t>2.483</w:t>
            </w:r>
          </w:p>
        </w:tc>
      </w:tr>
    </w:tbl>
    <w:p>
      <w:pPr>
        <w:spacing w:after="40"/>
      </w:pPr>
    </w:p>
    <w:p>
      <w:pPr>
        <w:keepNext w:val="0"/>
        <w:jc w:val="both"/>
      </w:pPr>
      <w:r>
        <w:rPr>
          <w:i/>
        </w:rPr>
        <w:t>Arrhenius kinetics.</w:t>
      </w:r>
      <w:r>
        <w:t xml:space="preserve"> For a single Arrhenius source at a temperature rise </w:t>
      </w:r>
      <w:r>
        <w:rPr>
          <w:i/>
        </w:rPr>
        <w:t>x</w:t>
      </w:r>
      <w:r>
        <w:t xml:space="preserve"> = Δ</w:t>
      </w:r>
      <w:r>
        <w:rPr>
          <w:i/>
        </w:rPr>
        <w:t>T</w:t>
      </w:r>
      <w:r>
        <w:t>/</w:t>
      </w:r>
      <w:r>
        <w:rPr>
          <w:i/>
        </w:rPr>
        <w:t>T</w:t>
      </w:r>
      <w:r>
        <w:rPr>
          <w:vertAlign w:val="subscript"/>
        </w:rPr>
        <w:t>∞</w:t>
      </w:r>
      <w:r>
        <w:t xml:space="preserve"> the exponent is </w:t>
      </w:r>
      <w:r>
        <w:rPr>
          <w:i/>
        </w:rPr>
        <w:t>Ar</w:t>
      </w:r>
      <w:r>
        <w:t>·</w:t>
      </w:r>
      <w:r>
        <w:rPr>
          <w:i/>
        </w:rPr>
        <w:t>x</w:t>
      </w:r>
      <w:r>
        <w:t xml:space="preserve">/(1 + </w:t>
      </w:r>
      <w:r>
        <w:rPr>
          <w:i/>
        </w:rPr>
        <w:t>x</w:t>
      </w:r>
      <w:r>
        <w:t xml:space="preserve">), against </w:t>
      </w:r>
      <w:r>
        <w:rPr>
          <w:i/>
        </w:rPr>
        <w:t>Ar</w:t>
      </w:r>
      <w:r>
        <w:t>·</w:t>
      </w:r>
      <w:r>
        <w:rPr>
          <w:i/>
        </w:rPr>
        <w:t>x</w:t>
      </w:r>
      <w:r>
        <w:t xml:space="preserve"> in the exponential model. With </w:t>
      </w:r>
      <w:r>
        <w:rPr>
          <w:i/>
        </w:rPr>
        <w:t>y</w:t>
      </w:r>
      <w:r>
        <w:t xml:space="preserve"> = </w:t>
      </w:r>
      <w:r>
        <w:rPr>
          <w:i/>
        </w:rPr>
        <w:t>ψθ</w:t>
      </w:r>
      <w:r>
        <w:t xml:space="preserve"> the frozen-conversion balance is </w:t>
      </w:r>
      <w:r>
        <w:rPr>
          <w:i/>
        </w:rPr>
        <w:t>y</w:t>
      </w:r>
      <w:r>
        <w:t xml:space="preserve"> exp[−</w:t>
      </w:r>
      <w:r>
        <w:rPr>
          <w:i/>
        </w:rPr>
        <w:t>y</w:t>
      </w:r>
      <w:r>
        <w:t xml:space="preserve">/(1 + </w:t>
      </w:r>
      <w:r>
        <w:rPr>
          <w:i/>
        </w:rPr>
        <w:t>y</w:t>
      </w:r>
      <w:r>
        <w:t>/</w:t>
      </w:r>
      <w:r>
        <w:rPr>
          <w:i/>
        </w:rPr>
        <w:t>Ar</w:t>
      </w:r>
      <w:r>
        <w:t xml:space="preserve">)] = </w:t>
      </w:r>
      <w:r>
        <w:rPr>
          <w:i/>
        </w:rPr>
        <w:t>Πr</w:t>
      </w:r>
      <w:r>
        <w:t xml:space="preserve">, and its fold is at </w:t>
      </w:r>
      <w:r>
        <w:rPr>
          <w:i/>
        </w:rPr>
        <w:t>y</w:t>
      </w:r>
      <w:r>
        <w:rPr>
          <w:vertAlign w:val="subscript"/>
        </w:rPr>
        <w:t>f</w:t>
      </w:r>
      <w:r>
        <w:t xml:space="preserve"> satisfying </w:t>
      </w:r>
      <w:r>
        <w:rPr>
          <w:i/>
        </w:rPr>
        <w:t>y</w:t>
      </w:r>
      <w:r>
        <w:t xml:space="preserve"> = (1 + </w:t>
      </w:r>
      <w:r>
        <w:rPr>
          <w:i/>
        </w:rPr>
        <w:t>y</w:t>
      </w:r>
      <w:r>
        <w:t>/</w:t>
      </w:r>
      <w:r>
        <w:rPr>
          <w:i/>
        </w:rPr>
        <w:t>Ar</w:t>
      </w:r>
      <w:r>
        <w:t>)</w:t>
      </w:r>
      <w:r>
        <w:rPr>
          <w:vertAlign w:val="superscript"/>
        </w:rPr>
        <w:t>2</w:t>
      </w:r>
      <w:r>
        <w:t>; the critical number is then</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c</m:t>
            </m:r>
          </m:sub>
        </m:sSub>
        <m:sSup>
          <m:sSupPr>
            <m:ctrlPr>
              <w:rPr>
                <w:rFonts w:ascii="Cambria Math" w:hAnsi="Cambria Math"/>
                <w:i/>
              </w:rPr>
            </m:ctrlPr>
          </m:sSupPr>
          <m:e>
            <m:r>
              <m:rPr>
                <m:nor/>
              </m:rPr>
              <w:rPr>
                <w:rFonts w:ascii="Cambria Math" w:hAnsi="Cambria Math"/>
                <w:i w:val="0"/>
              </w:rPr>
              <m:t xml:space="preserve"/>
            </m:r>
          </m:e>
          <m:sup>
            <m:r>
              <m:rPr>
                <m:nor/>
              </m:rPr>
              <w:rPr>
                <w:rFonts w:ascii="Cambria Math" w:hAnsi="Cambria Math"/>
                <w:i w:val="0"/>
              </w:rPr>
              <m:t xml:space="preserve">Arr</m:t>
            </m:r>
          </m:sup>
        </m:sSup>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c</m:t>
            </m:r>
          </m:sub>
        </m:sSub>
        <m:sSup>
          <m:sSupPr>
            <m:ctrlPr>
              <w:rPr>
                <w:rFonts w:ascii="Cambria Math" w:hAnsi="Cambria Math"/>
                <w:i/>
              </w:rPr>
            </m:ctrlPr>
          </m:sSupPr>
          <m:e>
            <m:r>
              <m:rPr>
                <m:nor/>
              </m:rPr>
              <w:rPr>
                <w:rFonts w:ascii="Cambria Math" w:hAnsi="Cambria Math"/>
                <w:i w:val="0"/>
              </w:rPr>
              <m:t xml:space="preserve"/>
            </m:r>
          </m:e>
          <m:sup>
            <m:r>
              <m:rPr>
                <m:nor/>
              </m:rPr>
              <w:rPr>
                <w:rFonts w:ascii="Cambria Math" w:hAnsi="Cambria Math"/>
                <w:i w:val="0"/>
              </w:rPr>
              <m:t xml:space="preserve">FK</m:t>
            </m:r>
          </m:sup>
        </m:sSup>
        <m:r>
          <m:rPr>
            <m:nor/>
          </m:rPr>
          <w:rPr>
            <w:rFonts w:ascii="Cambria Math" w:hAnsi="Cambria Math"/>
            <w:i w:val="0"/>
          </w:rPr>
          <m:t xml:space="preserve"> · e </m:t>
        </m:r>
        <m:sSub>
          <m:sSubPr>
            <m:ctrlPr>
              <w:rPr>
                <w:rFonts w:ascii="Cambria Math" w:hAnsi="Cambria Math"/>
                <w:i/>
              </w:rPr>
            </m:ctrlPr>
          </m:sSubPr>
          <m:e>
            <m:r>
              <m:rPr>
                <m:sty m:val="i"/>
              </m:rPr>
              <w:rPr>
                <w:rFonts w:ascii="Cambria Math" w:hAnsi="Cambria Math"/>
                <w:i/>
              </w:rPr>
              <m:t xml:space="preserve">y</m:t>
            </m:r>
          </m:e>
          <m:sub>
            <m:r>
              <m:rPr>
                <m:nor/>
              </m:rPr>
              <w:rPr>
                <w:rFonts w:ascii="Cambria Math" w:hAnsi="Cambria Math"/>
                <w:i w:val="0"/>
              </w:rPr>
              <m:t xml:space="preserve">f</m:t>
            </m:r>
          </m:sub>
        </m:sSub>
        <m:r>
          <m:rPr>
            <m:nor/>
          </m:rPr>
          <w:rPr>
            <w:rFonts w:ascii="Cambria Math" w:hAnsi="Cambria Math"/>
            <w:i w:val="0"/>
          </w:rPr>
          <m:t xml:space="preserve">exp</m:t>
        </m:r>
        <m:d>
          <m:dPr>
            <m:begChr m:val="("/>
            <m:endChr m:val=")"/>
            <m:ctrlPr>
              <w:rPr>
                <w:rFonts w:ascii="Cambria Math" w:hAnsi="Cambria Math"/>
                <w:i/>
              </w:rPr>
            </m:ctrlPr>
          </m:dPr>
          <m:e>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y</m:t>
                    </m:r>
                  </m:e>
                  <m:sub>
                    <m:r>
                      <m:rPr>
                        <m:nor/>
                      </m:rPr>
                      <w:rPr>
                        <w:rFonts w:ascii="Cambria Math" w:hAnsi="Cambria Math"/>
                        <w:i w:val="0"/>
                      </w:rPr>
                      <m:t xml:space="preserve">f</m:t>
                    </m:r>
                  </m:sub>
                </m:sSub>
              </m:num>
              <m:den>
                <m:r>
                  <m:rPr>
                    <m:nor/>
                  </m:rPr>
                  <w:rPr>
                    <w:rFonts w:ascii="Cambria Math" w:hAnsi="Cambria Math"/>
                    <w:i w:val="0"/>
                  </w:rPr>
                  <m:t xml:space="preserve">1</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y</m:t>
                    </m:r>
                  </m:e>
                  <m:sub>
                    <m:r>
                      <m:rPr>
                        <m:nor/>
                      </m:rPr>
                      <w:rPr>
                        <w:rFonts w:ascii="Cambria Math" w:hAnsi="Cambria Math"/>
                        <w:i w:val="0"/>
                      </w:rPr>
                      <m:t xml:space="preserve">f</m:t>
                    </m:r>
                  </m:sub>
                </m:sSub>
                <m:r>
                  <m:rPr>
                    <m:nor/>
                  </m:rPr>
                  <w:rPr>
                    <w:rFonts w:ascii="Cambria Math" w:hAnsi="Cambria Math"/>
                    <w:i w:val="0"/>
                  </w:rPr>
                  <m:t xml:space="preserve">/</m:t>
                </m:r>
                <m:r>
                  <m:rPr>
                    <m:sty m:val="i"/>
                  </m:rPr>
                  <w:rPr>
                    <w:rFonts w:ascii="Cambria Math" w:hAnsi="Cambria Math"/>
                    <w:i/>
                  </w:rPr>
                  <m:t xml:space="preserve">Ar</m:t>
                </m:r>
              </m:den>
            </m:f>
          </m:e>
        </m:d>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c</m:t>
            </m:r>
          </m:sub>
        </m:sSub>
        <m:sSup>
          <m:sSupPr>
            <m:ctrlPr>
              <w:rPr>
                <w:rFonts w:ascii="Cambria Math" w:hAnsi="Cambria Math"/>
                <w:i/>
              </w:rPr>
            </m:ctrlPr>
          </m:sSupPr>
          <m:e>
            <m:r>
              <m:rPr>
                <m:nor/>
              </m:rPr>
              <w:rPr>
                <w:rFonts w:ascii="Cambria Math" w:hAnsi="Cambria Math"/>
                <w:i w:val="0"/>
              </w:rPr>
              <m:t xml:space="preserve"/>
            </m:r>
          </m:e>
          <m:sup>
            <m:r>
              <m:rPr>
                <m:nor/>
              </m:rPr>
              <w:rPr>
                <w:rFonts w:ascii="Cambria Math" w:hAnsi="Cambria Math"/>
                <w:i w:val="0"/>
              </w:rPr>
              <m:t xml:space="preserve">FK</m:t>
            </m:r>
          </m:sup>
        </m:sSup>
        <m:r>
          <m:rPr>
            <m:nor/>
          </m:rPr>
          <w:rPr>
            <w:rFonts w:ascii="Cambria Math" w:hAnsi="Cambria Math"/>
            <w:i w:val="0"/>
          </w:rPr>
          <m:t xml:space="preserve">exp</m:t>
        </m:r>
        <m:d>
          <m:dPr>
            <m:begChr m:val="("/>
            <m:endChr m:val=")"/>
            <m:ctrlPr>
              <w:rPr>
                <w:rFonts w:ascii="Cambria Math" w:hAnsi="Cambria Math"/>
                <w:i/>
              </w:rPr>
            </m:ctrlPr>
          </m:dPr>
          <m:e>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Ar</m:t>
                </m:r>
              </m:den>
            </m:f>
          </m:e>
        </m:d>
      </m:oMath>
      <w:r>
        <w:tab/>
        <w:t xml:space="preserve">(15)</w:t>
      </w:r>
    </w:p>
    <w:p>
      <w:pPr>
        <w:keepNext w:val="0"/>
        <w:jc w:val="both"/>
      </w:pPr>
      <w:r>
        <w:t>The factor exp(1/</w:t>
      </w:r>
      <w:r>
        <w:rPr>
          <w:i/>
        </w:rPr>
        <w:t>Ar</w:t>
      </w:r>
      <w:r>
        <w:t>) is only the first-order (large-</w:t>
      </w:r>
      <w:r>
        <w:rPr>
          <w:i/>
        </w:rPr>
        <w:t>Ar</w:t>
      </w:r>
      <w:r>
        <w:t xml:space="preserve">) estimate of the first factor; for </w:t>
      </w:r>
      <w:r>
        <w:rPr>
          <w:i/>
        </w:rPr>
        <w:t>Ar</w:t>
      </w:r>
      <w:r>
        <w:t xml:space="preserve"> = 18.0–19.9 the two differ by about 0.3 %. With distinct activation energies of the competing rate terms the fold condition must be solved for the actual sum of rates. We tested the correction with the true Arrhenius model (ungated, isothermal start, both </w:t>
      </w:r>
      <w:r>
        <w:rPr>
          <w:i/>
        </w:rPr>
        <w:t>k</w:t>
      </w:r>
      <w:r>
        <w:rPr>
          <w:vertAlign w:val="subscript"/>
        </w:rPr>
        <w:t>1</w:t>
      </w:r>
      <w:r>
        <w:t xml:space="preserve"> and </w:t>
      </w:r>
      <w:r>
        <w:rPr>
          <w:i/>
        </w:rPr>
        <w:t>k</w:t>
      </w:r>
      <w:r>
        <w:rPr>
          <w:vertAlign w:val="subscript"/>
        </w:rPr>
        <w:t>2</w:t>
      </w:r>
      <w:r>
        <w:t xml:space="preserve"> Arrhenius) at 120, 140 and 160 °C (</w:t>
      </w:r>
      <w:r>
        <w:rPr>
          <w:i/>
        </w:rPr>
        <w:t>Ar</w:t>
      </w:r>
      <w:r>
        <w:t xml:space="preserve"> = 18.0–19.9) and </w:t>
      </w:r>
      <w:r>
        <w:rPr>
          <w:i/>
        </w:rPr>
        <w:t>Θ</w:t>
      </w:r>
      <w:r>
        <w:t xml:space="preserve"> = 0.01, 0.03, 0.1, bisecting the adiabatic rise to the same operational threshold (Table 6). The prediction </w:t>
      </w:r>
      <w:r>
        <w:rPr>
          <w:i/>
        </w:rPr>
        <w:t>Π</w:t>
      </w:r>
      <w:r>
        <w:rPr>
          <w:vertAlign w:val="subscript"/>
        </w:rPr>
        <w:t>c</w:t>
      </w:r>
      <w:r>
        <w:rPr>
          <w:vertAlign w:val="superscript"/>
        </w:rPr>
        <w:t>F</w:t>
      </w:r>
      <w:r>
        <w:rPr>
          <w:vertAlign w:val="superscript"/>
        </w:rPr>
        <w:t>K</w:t>
      </w:r>
      <w:r>
        <w:t>(</w:t>
      </w:r>
      <w:r>
        <w:rPr>
          <w:i/>
        </w:rPr>
        <w:t>Θ</w:t>
      </w:r>
      <w:r>
        <w:t>) times the fold factor is within 5.0 % of the Arrhenius threshold in every one of the nine cases (times exp(1/</w:t>
      </w:r>
      <w:r>
        <w:rPr>
          <w:i/>
        </w:rPr>
        <w:t>Ar</w:t>
      </w:r>
      <w:r>
        <w:t xml:space="preserve">): within 5.4 %; the uncorrected exponential value is off by 6–11 %). This is empirical agreement over the tested grid; the correction has not been tested at small </w:t>
      </w:r>
      <w:r>
        <w:rPr>
          <w:i/>
        </w:rPr>
        <w:t>Ar</w:t>
      </w:r>
      <w:r>
        <w:t xml:space="preserve"> or for other </w:t>
      </w:r>
      <w:r>
        <w:rPr>
          <w:i/>
        </w:rPr>
        <w:t>Θ</w:t>
      </w:r>
      <w:r>
        <w:t xml:space="preserve">. Release lag raised the operational threshold in the cases tested: at </w:t>
      </w:r>
      <w:r>
        <w:rPr>
          <w:i/>
        </w:rPr>
        <w:t>Θ</w:t>
      </w:r>
      <w:r>
        <w:t xml:space="preserve"> = 0.03 it increased </w:t>
      </w:r>
      <w:r>
        <w:rPr>
          <w:i/>
        </w:rPr>
        <w:t>Π</w:t>
      </w:r>
      <w:r>
        <w:rPr>
          <w:vertAlign w:val="subscript"/>
        </w:rPr>
        <w:t>c</w:t>
      </w:r>
      <w:r>
        <w:t xml:space="preserve"> from 2.174, 2.188 and 2.200 to 2.184, 2.199 and 2.212 at 120, 140 and 160 °C. No general inequality is claimed, because a smaller availability at the same conversion does not by itself show that the temperature histories compare.</w:t>
      </w:r>
    </w:p>
    <w:p>
      <w:pPr>
        <w:keepNext/>
        <w:spacing w:line="276" w:lineRule="auto" w:after="200"/>
      </w:pPr>
      <w:r>
        <w:rPr>
          <w:b/>
          <w:sz w:val="19"/>
        </w:rPr>
        <w:t>Table 6</w:t>
      </w:r>
      <w:r>
        <w:rPr>
          <w:sz w:val="19"/>
        </w:rPr>
        <w:t xml:space="preserve"> Operational critical number of the Arrhenius model (ungated, isothermal start; peak rise 0.3Δ</w:t>
      </w:r>
      <w:r>
        <w:rPr>
          <w:i/>
          <w:sz w:val="19"/>
        </w:rPr>
        <w:t>T</w:t>
      </w:r>
      <w:r>
        <w:rPr>
          <w:sz w:val="19"/>
          <w:vertAlign w:val="subscript"/>
        </w:rPr>
        <w:t>a</w:t>
      </w:r>
      <w:r>
        <w:rPr>
          <w:sz w:val="19"/>
          <w:vertAlign w:val="subscript"/>
        </w:rPr>
        <w:t>d</w:t>
      </w:r>
      <w:r>
        <w:rPr>
          <w:sz w:val="19"/>
        </w:rPr>
        <w:t>) against the exponential-model value FK(</w:t>
      </w:r>
      <w:r>
        <w:rPr>
          <w:i/>
          <w:sz w:val="19"/>
        </w:rPr>
        <w:t>Θ</w:t>
      </w:r>
      <w:r>
        <w:rPr>
          <w:sz w:val="19"/>
        </w:rPr>
        <w:t>) multiplied by the frozen-fold factor of Eq. (15) and by exp(1/</w:t>
      </w:r>
      <w:r>
        <w:rPr>
          <w:i/>
          <w:sz w:val="19"/>
        </w:rPr>
        <w:t>Ar</w:t>
      </w:r>
      <w:r>
        <w:rPr>
          <w:sz w:val="19"/>
        </w:rPr>
        <w:t>) (difference = prediction/Arrhenius − 1), and the effect of a release lag.</w:t>
      </w:r>
    </w:p>
    <w:tbl>
      <w:tblPr>
        <w:tblStyle w:val="TableGrid"/>
        <w:tblW w:type="auto" w:w="0"/>
        <w:jc w:val="center"/>
        <w:tblLayout w:type="fixed"/>
        <w:tblLook w:firstColumn="1" w:firstRow="1" w:lastColumn="0" w:lastRow="0" w:noHBand="0" w:noVBand="1" w:val="04A0"/>
      </w:tblPr>
      <w:tblGrid>
        <w:gridCol w:w="720"/>
        <w:gridCol w:w="648"/>
        <w:gridCol w:w="648"/>
        <w:gridCol w:w="1152"/>
        <w:gridCol w:w="1080"/>
        <w:gridCol w:w="1008"/>
        <w:gridCol w:w="1008"/>
        <w:gridCol w:w="1080"/>
        <w:gridCol w:w="1008"/>
        <w:gridCol w:w="1152"/>
      </w:tblGrid>
      <w:tr>
        <w:trPr>
          <w:tblHeader w:val="true"/>
        </w:trPr>
        <w:tc>
          <w:tcPr>
            <w:tcW w:type="dxa" w:w="720"/>
          </w:tcPr>
          <w:p>
            <w:pPr>
              <w:spacing w:line="240" w:lineRule="auto" w:after="20"/>
            </w:pPr>
            <w:r/>
            <w:r>
              <w:rPr>
                <w:b/>
                <w:i/>
                <w:sz w:val="15"/>
              </w:rPr>
              <w:t>T</w:t>
            </w:r>
            <w:r>
              <w:rPr>
                <w:b/>
                <w:sz w:val="15"/>
              </w:rPr>
              <w:t xml:space="preserve"> (°C)</w:t>
            </w:r>
          </w:p>
        </w:tc>
        <w:tc>
          <w:tcPr>
            <w:tcW w:type="dxa" w:w="648"/>
          </w:tcPr>
          <w:p>
            <w:pPr>
              <w:spacing w:line="240" w:lineRule="auto" w:after="20"/>
            </w:pPr>
            <w:r/>
            <w:r>
              <w:rPr>
                <w:b/>
                <w:i/>
                <w:sz w:val="15"/>
              </w:rPr>
              <w:t>Θ</w:t>
            </w:r>
          </w:p>
        </w:tc>
        <w:tc>
          <w:tcPr>
            <w:tcW w:type="dxa" w:w="648"/>
          </w:tcPr>
          <w:p>
            <w:pPr>
              <w:spacing w:line="240" w:lineRule="auto" w:after="20"/>
            </w:pPr>
            <w:r/>
            <w:r>
              <w:rPr>
                <w:b/>
                <w:i/>
                <w:sz w:val="15"/>
              </w:rPr>
              <w:t>Ar</w:t>
            </w:r>
          </w:p>
        </w:tc>
        <w:tc>
          <w:tcPr>
            <w:tcW w:type="dxa" w:w="1152"/>
          </w:tcPr>
          <w:p>
            <w:pPr>
              <w:spacing w:line="240" w:lineRule="auto" w:after="20"/>
            </w:pPr>
            <w:r/>
            <w:r>
              <w:rPr>
                <w:b/>
                <w:i/>
                <w:sz w:val="15"/>
              </w:rPr>
              <w:t>Π</w:t>
            </w:r>
            <w:r>
              <w:rPr>
                <w:b/>
                <w:sz w:val="15"/>
                <w:vertAlign w:val="subscript"/>
              </w:rPr>
              <w:t>c</w:t>
            </w:r>
            <w:r>
              <w:rPr>
                <w:b/>
                <w:sz w:val="15"/>
              </w:rPr>
              <w:t xml:space="preserve"> Arrhenius</w:t>
            </w:r>
          </w:p>
        </w:tc>
        <w:tc>
          <w:tcPr>
            <w:tcW w:type="dxa" w:w="1080"/>
          </w:tcPr>
          <w:p>
            <w:pPr>
              <w:spacing w:line="240" w:lineRule="auto" w:after="20"/>
            </w:pPr>
            <w:r/>
            <w:r>
              <w:rPr>
                <w:b/>
                <w:i/>
                <w:sz w:val="15"/>
              </w:rPr>
              <w:t>Π</w:t>
            </w:r>
            <w:r>
              <w:rPr>
                <w:b/>
                <w:sz w:val="15"/>
                <w:vertAlign w:val="subscript"/>
              </w:rPr>
              <w:t>c</w:t>
            </w:r>
            <w:r>
              <w:rPr>
                <w:b/>
                <w:sz w:val="15"/>
              </w:rPr>
              <w:t xml:space="preserve"> FK(</w:t>
            </w:r>
            <w:r>
              <w:rPr>
                <w:b/>
                <w:i/>
                <w:sz w:val="15"/>
              </w:rPr>
              <w:t>Θ</w:t>
            </w:r>
            <w:r>
              <w:rPr>
                <w:b/>
                <w:sz w:val="15"/>
              </w:rPr>
              <w:t>)</w:t>
            </w:r>
          </w:p>
        </w:tc>
        <w:tc>
          <w:tcPr>
            <w:tcW w:type="dxa" w:w="1008"/>
          </w:tcPr>
          <w:p>
            <w:pPr>
              <w:spacing w:line="240" w:lineRule="auto" w:after="20"/>
            </w:pPr>
            <w:r/>
            <w:r>
              <w:rPr>
                <w:b/>
                <w:sz w:val="15"/>
              </w:rPr>
              <w:t>× fold factor</w:t>
            </w:r>
          </w:p>
        </w:tc>
        <w:tc>
          <w:tcPr>
            <w:tcW w:type="dxa" w:w="1008"/>
          </w:tcPr>
          <w:p>
            <w:pPr>
              <w:spacing w:line="240" w:lineRule="auto" w:after="20"/>
            </w:pPr>
            <w:r/>
            <w:r>
              <w:rPr>
                <w:b/>
                <w:sz w:val="15"/>
              </w:rPr>
              <w:t>Difference</w:t>
            </w:r>
          </w:p>
        </w:tc>
        <w:tc>
          <w:tcPr>
            <w:tcW w:type="dxa" w:w="1080"/>
          </w:tcPr>
          <w:p>
            <w:pPr>
              <w:spacing w:line="240" w:lineRule="auto" w:after="20"/>
            </w:pPr>
            <w:r/>
            <w:r>
              <w:rPr>
                <w:b/>
                <w:sz w:val="15"/>
              </w:rPr>
              <w:t>× exp(1/</w:t>
            </w:r>
            <w:r>
              <w:rPr>
                <w:b/>
                <w:i/>
                <w:sz w:val="15"/>
              </w:rPr>
              <w:t>Ar</w:t>
            </w:r>
            <w:r>
              <w:rPr>
                <w:b/>
                <w:sz w:val="15"/>
              </w:rPr>
              <w:t>)</w:t>
            </w:r>
          </w:p>
        </w:tc>
        <w:tc>
          <w:tcPr>
            <w:tcW w:type="dxa" w:w="1008"/>
          </w:tcPr>
          <w:p>
            <w:pPr>
              <w:spacing w:line="240" w:lineRule="auto" w:after="20"/>
            </w:pPr>
            <w:r/>
            <w:r>
              <w:rPr>
                <w:b/>
                <w:sz w:val="15"/>
              </w:rPr>
              <w:t>Difference</w:t>
            </w:r>
          </w:p>
        </w:tc>
        <w:tc>
          <w:tcPr>
            <w:tcW w:type="dxa" w:w="1152"/>
          </w:tcPr>
          <w:p>
            <w:pPr>
              <w:spacing w:line="240" w:lineRule="auto" w:after="20"/>
            </w:pPr>
            <w:r/>
            <w:r>
              <w:rPr>
                <w:b/>
                <w:i/>
                <w:sz w:val="15"/>
              </w:rPr>
              <w:t>Π</w:t>
            </w:r>
            <w:r>
              <w:rPr>
                <w:b/>
                <w:sz w:val="15"/>
                <w:vertAlign w:val="subscript"/>
              </w:rPr>
              <w:t>c</w:t>
            </w:r>
            <w:r>
              <w:rPr>
                <w:b/>
                <w:sz w:val="15"/>
              </w:rPr>
              <w:t>, release lag</w:t>
            </w:r>
          </w:p>
        </w:tc>
      </w:tr>
      <w:tr>
        <w:tc>
          <w:tcPr>
            <w:tcW w:type="dxa" w:w="720"/>
          </w:tcPr>
          <w:p>
            <w:pPr>
              <w:spacing w:line="240" w:lineRule="auto" w:after="20"/>
            </w:pPr>
            <w:r/>
            <w:r>
              <w:rPr>
                <w:sz w:val="15"/>
              </w:rPr>
              <w:t>120</w:t>
            </w:r>
          </w:p>
        </w:tc>
        <w:tc>
          <w:tcPr>
            <w:tcW w:type="dxa" w:w="648"/>
          </w:tcPr>
          <w:p>
            <w:pPr>
              <w:spacing w:line="240" w:lineRule="auto" w:after="20"/>
            </w:pPr>
            <w:r/>
            <w:r>
              <w:rPr>
                <w:sz w:val="15"/>
              </w:rPr>
              <w:t>0.01</w:t>
            </w:r>
          </w:p>
        </w:tc>
        <w:tc>
          <w:tcPr>
            <w:tcW w:type="dxa" w:w="648"/>
          </w:tcPr>
          <w:p>
            <w:pPr>
              <w:spacing w:line="240" w:lineRule="auto" w:after="20"/>
            </w:pPr>
            <w:r/>
            <w:r>
              <w:rPr>
                <w:sz w:val="15"/>
              </w:rPr>
              <w:t>19.9</w:t>
            </w:r>
          </w:p>
        </w:tc>
        <w:tc>
          <w:tcPr>
            <w:tcW w:type="dxa" w:w="1152"/>
          </w:tcPr>
          <w:p>
            <w:pPr>
              <w:spacing w:line="240" w:lineRule="auto" w:after="20"/>
            </w:pPr>
            <w:r/>
            <w:r>
              <w:rPr>
                <w:sz w:val="15"/>
              </w:rPr>
              <w:t>2.093</w:t>
            </w:r>
          </w:p>
        </w:tc>
        <w:tc>
          <w:tcPr>
            <w:tcW w:type="dxa" w:w="1080"/>
          </w:tcPr>
          <w:p>
            <w:pPr>
              <w:spacing w:line="240" w:lineRule="auto" w:after="20"/>
            </w:pPr>
            <w:r/>
            <w:r>
              <w:rPr>
                <w:sz w:val="15"/>
              </w:rPr>
              <w:t>1.973</w:t>
            </w:r>
          </w:p>
        </w:tc>
        <w:tc>
          <w:tcPr>
            <w:tcW w:type="dxa" w:w="1008"/>
          </w:tcPr>
          <w:p>
            <w:pPr>
              <w:spacing w:line="240" w:lineRule="auto" w:after="20"/>
            </w:pPr>
            <w:r/>
            <w:r>
              <w:rPr>
                <w:sz w:val="15"/>
              </w:rPr>
              <w:t>2.080</w:t>
            </w:r>
          </w:p>
        </w:tc>
        <w:tc>
          <w:tcPr>
            <w:tcW w:type="dxa" w:w="1008"/>
          </w:tcPr>
          <w:p>
            <w:pPr>
              <w:spacing w:line="240" w:lineRule="auto" w:after="20"/>
            </w:pPr>
            <w:r/>
            <w:r>
              <w:rPr>
                <w:sz w:val="15"/>
              </w:rPr>
              <w:t>-0.6 %</w:t>
            </w:r>
          </w:p>
        </w:tc>
        <w:tc>
          <w:tcPr>
            <w:tcW w:type="dxa" w:w="1080"/>
          </w:tcPr>
          <w:p>
            <w:pPr>
              <w:spacing w:line="240" w:lineRule="auto" w:after="20"/>
            </w:pPr>
            <w:r/>
            <w:r>
              <w:rPr>
                <w:sz w:val="15"/>
              </w:rPr>
              <w:t>2.074</w:t>
            </w:r>
          </w:p>
        </w:tc>
        <w:tc>
          <w:tcPr>
            <w:tcW w:type="dxa" w:w="1008"/>
          </w:tcPr>
          <w:p>
            <w:pPr>
              <w:spacing w:line="240" w:lineRule="auto" w:after="20"/>
            </w:pPr>
            <w:r/>
            <w:r>
              <w:rPr>
                <w:sz w:val="15"/>
              </w:rPr>
              <w:t>-0.9 %</w:t>
            </w:r>
          </w:p>
        </w:tc>
        <w:tc>
          <w:tcPr>
            <w:tcW w:type="dxa" w:w="1152"/>
          </w:tcPr>
          <w:p>
            <w:pPr>
              <w:spacing w:line="240" w:lineRule="auto" w:after="20"/>
            </w:pPr>
            <w:r/>
            <w:r>
              <w:rPr>
                <w:sz w:val="15"/>
              </w:rPr>
              <w:t>–</w:t>
            </w:r>
          </w:p>
        </w:tc>
      </w:tr>
      <w:tr>
        <w:tc>
          <w:tcPr>
            <w:tcW w:type="dxa" w:w="720"/>
          </w:tcPr>
          <w:p>
            <w:pPr>
              <w:spacing w:line="240" w:lineRule="auto" w:after="20"/>
            </w:pPr>
            <w:r/>
            <w:r>
              <w:rPr>
                <w:sz w:val="15"/>
              </w:rPr>
              <w:t>120</w:t>
            </w:r>
          </w:p>
        </w:tc>
        <w:tc>
          <w:tcPr>
            <w:tcW w:type="dxa" w:w="648"/>
          </w:tcPr>
          <w:p>
            <w:pPr>
              <w:spacing w:line="240" w:lineRule="auto" w:after="20"/>
            </w:pPr>
            <w:r/>
            <w:r>
              <w:rPr>
                <w:sz w:val="15"/>
              </w:rPr>
              <w:t>0.03</w:t>
            </w:r>
          </w:p>
        </w:tc>
        <w:tc>
          <w:tcPr>
            <w:tcW w:type="dxa" w:w="648"/>
          </w:tcPr>
          <w:p>
            <w:pPr>
              <w:spacing w:line="240" w:lineRule="auto" w:after="20"/>
            </w:pPr>
            <w:r/>
            <w:r>
              <w:rPr>
                <w:sz w:val="15"/>
              </w:rPr>
              <w:t>19.9</w:t>
            </w:r>
          </w:p>
        </w:tc>
        <w:tc>
          <w:tcPr>
            <w:tcW w:type="dxa" w:w="1152"/>
          </w:tcPr>
          <w:p>
            <w:pPr>
              <w:spacing w:line="240" w:lineRule="auto" w:after="20"/>
            </w:pPr>
            <w:r/>
            <w:r>
              <w:rPr>
                <w:sz w:val="15"/>
              </w:rPr>
              <w:t>2.174</w:t>
            </w:r>
          </w:p>
        </w:tc>
        <w:tc>
          <w:tcPr>
            <w:tcW w:type="dxa" w:w="1080"/>
          </w:tcPr>
          <w:p>
            <w:pPr>
              <w:spacing w:line="240" w:lineRule="auto" w:after="20"/>
            </w:pPr>
            <w:r/>
            <w:r>
              <w:rPr>
                <w:sz w:val="15"/>
              </w:rPr>
              <w:t>2.039</w:t>
            </w:r>
          </w:p>
        </w:tc>
        <w:tc>
          <w:tcPr>
            <w:tcW w:type="dxa" w:w="1008"/>
          </w:tcPr>
          <w:p>
            <w:pPr>
              <w:spacing w:line="240" w:lineRule="auto" w:after="20"/>
            </w:pPr>
            <w:r/>
            <w:r>
              <w:rPr>
                <w:sz w:val="15"/>
              </w:rPr>
              <w:t>2.150</w:t>
            </w:r>
          </w:p>
        </w:tc>
        <w:tc>
          <w:tcPr>
            <w:tcW w:type="dxa" w:w="1008"/>
          </w:tcPr>
          <w:p>
            <w:pPr>
              <w:spacing w:line="240" w:lineRule="auto" w:after="20"/>
            </w:pPr>
            <w:r/>
            <w:r>
              <w:rPr>
                <w:sz w:val="15"/>
              </w:rPr>
              <w:t>-1.1 %</w:t>
            </w:r>
          </w:p>
        </w:tc>
        <w:tc>
          <w:tcPr>
            <w:tcW w:type="dxa" w:w="1080"/>
          </w:tcPr>
          <w:p>
            <w:pPr>
              <w:spacing w:line="240" w:lineRule="auto" w:after="20"/>
            </w:pPr>
            <w:r/>
            <w:r>
              <w:rPr>
                <w:sz w:val="15"/>
              </w:rPr>
              <w:t>2.144</w:t>
            </w:r>
          </w:p>
        </w:tc>
        <w:tc>
          <w:tcPr>
            <w:tcW w:type="dxa" w:w="1008"/>
          </w:tcPr>
          <w:p>
            <w:pPr>
              <w:spacing w:line="240" w:lineRule="auto" w:after="20"/>
            </w:pPr>
            <w:r/>
            <w:r>
              <w:rPr>
                <w:sz w:val="15"/>
              </w:rPr>
              <w:t>-1.4 %</w:t>
            </w:r>
          </w:p>
        </w:tc>
        <w:tc>
          <w:tcPr>
            <w:tcW w:type="dxa" w:w="1152"/>
          </w:tcPr>
          <w:p>
            <w:pPr>
              <w:spacing w:line="240" w:lineRule="auto" w:after="20"/>
            </w:pPr>
            <w:r/>
            <w:r>
              <w:rPr>
                <w:sz w:val="15"/>
              </w:rPr>
              <w:t>2.184</w:t>
            </w:r>
          </w:p>
        </w:tc>
      </w:tr>
      <w:tr>
        <w:tc>
          <w:tcPr>
            <w:tcW w:type="dxa" w:w="720"/>
          </w:tcPr>
          <w:p>
            <w:pPr>
              <w:spacing w:line="240" w:lineRule="auto" w:after="20"/>
            </w:pPr>
            <w:r/>
            <w:r>
              <w:rPr>
                <w:sz w:val="15"/>
              </w:rPr>
              <w:t>120</w:t>
            </w:r>
          </w:p>
        </w:tc>
        <w:tc>
          <w:tcPr>
            <w:tcW w:type="dxa" w:w="648"/>
          </w:tcPr>
          <w:p>
            <w:pPr>
              <w:spacing w:line="240" w:lineRule="auto" w:after="20"/>
            </w:pPr>
            <w:r/>
            <w:r>
              <w:rPr>
                <w:sz w:val="15"/>
              </w:rPr>
              <w:t>0.1</w:t>
            </w:r>
          </w:p>
        </w:tc>
        <w:tc>
          <w:tcPr>
            <w:tcW w:type="dxa" w:w="648"/>
          </w:tcPr>
          <w:p>
            <w:pPr>
              <w:spacing w:line="240" w:lineRule="auto" w:after="20"/>
            </w:pPr>
            <w:r/>
            <w:r>
              <w:rPr>
                <w:sz w:val="15"/>
              </w:rPr>
              <w:t>19.9</w:t>
            </w:r>
          </w:p>
        </w:tc>
        <w:tc>
          <w:tcPr>
            <w:tcW w:type="dxa" w:w="1152"/>
          </w:tcPr>
          <w:p>
            <w:pPr>
              <w:spacing w:line="240" w:lineRule="auto" w:after="20"/>
            </w:pPr>
            <w:r/>
            <w:r>
              <w:rPr>
                <w:sz w:val="15"/>
              </w:rPr>
              <w:t>2.545</w:t>
            </w:r>
          </w:p>
        </w:tc>
        <w:tc>
          <w:tcPr>
            <w:tcW w:type="dxa" w:w="1080"/>
          </w:tcPr>
          <w:p>
            <w:pPr>
              <w:spacing w:line="240" w:lineRule="auto" w:after="20"/>
            </w:pPr>
            <w:r/>
            <w:r>
              <w:rPr>
                <w:sz w:val="15"/>
              </w:rPr>
              <w:t>2.308</w:t>
            </w:r>
          </w:p>
        </w:tc>
        <w:tc>
          <w:tcPr>
            <w:tcW w:type="dxa" w:w="1008"/>
          </w:tcPr>
          <w:p>
            <w:pPr>
              <w:spacing w:line="240" w:lineRule="auto" w:after="20"/>
            </w:pPr>
            <w:r/>
            <w:r>
              <w:rPr>
                <w:sz w:val="15"/>
              </w:rPr>
              <w:t>2.433</w:t>
            </w:r>
          </w:p>
        </w:tc>
        <w:tc>
          <w:tcPr>
            <w:tcW w:type="dxa" w:w="1008"/>
          </w:tcPr>
          <w:p>
            <w:pPr>
              <w:spacing w:line="240" w:lineRule="auto" w:after="20"/>
            </w:pPr>
            <w:r/>
            <w:r>
              <w:rPr>
                <w:sz w:val="15"/>
              </w:rPr>
              <w:t>-4.4 %</w:t>
            </w:r>
          </w:p>
        </w:tc>
        <w:tc>
          <w:tcPr>
            <w:tcW w:type="dxa" w:w="1080"/>
          </w:tcPr>
          <w:p>
            <w:pPr>
              <w:spacing w:line="240" w:lineRule="auto" w:after="20"/>
            </w:pPr>
            <w:r/>
            <w:r>
              <w:rPr>
                <w:sz w:val="15"/>
              </w:rPr>
              <w:t>2.427</w:t>
            </w:r>
          </w:p>
        </w:tc>
        <w:tc>
          <w:tcPr>
            <w:tcW w:type="dxa" w:w="1008"/>
          </w:tcPr>
          <w:p>
            <w:pPr>
              <w:spacing w:line="240" w:lineRule="auto" w:after="20"/>
            </w:pPr>
            <w:r/>
            <w:r>
              <w:rPr>
                <w:sz w:val="15"/>
              </w:rPr>
              <w:t>-4.6 %</w:t>
            </w:r>
          </w:p>
        </w:tc>
        <w:tc>
          <w:tcPr>
            <w:tcW w:type="dxa" w:w="1152"/>
          </w:tcPr>
          <w:p>
            <w:pPr>
              <w:spacing w:line="240" w:lineRule="auto" w:after="20"/>
            </w:pPr>
            <w:r/>
            <w:r>
              <w:rPr>
                <w:sz w:val="15"/>
              </w:rPr>
              <w:t>–</w:t>
            </w:r>
          </w:p>
        </w:tc>
      </w:tr>
      <w:tr>
        <w:tc>
          <w:tcPr>
            <w:tcW w:type="dxa" w:w="720"/>
          </w:tcPr>
          <w:p>
            <w:pPr>
              <w:spacing w:line="240" w:lineRule="auto" w:after="20"/>
            </w:pPr>
            <w:r/>
            <w:r>
              <w:rPr>
                <w:sz w:val="15"/>
              </w:rPr>
              <w:t>140</w:t>
            </w:r>
          </w:p>
        </w:tc>
        <w:tc>
          <w:tcPr>
            <w:tcW w:type="dxa" w:w="648"/>
          </w:tcPr>
          <w:p>
            <w:pPr>
              <w:spacing w:line="240" w:lineRule="auto" w:after="20"/>
            </w:pPr>
            <w:r/>
            <w:r>
              <w:rPr>
                <w:sz w:val="15"/>
              </w:rPr>
              <w:t>0.01</w:t>
            </w:r>
          </w:p>
        </w:tc>
        <w:tc>
          <w:tcPr>
            <w:tcW w:type="dxa" w:w="648"/>
          </w:tcPr>
          <w:p>
            <w:pPr>
              <w:spacing w:line="240" w:lineRule="auto" w:after="20"/>
            </w:pPr>
            <w:r/>
            <w:r>
              <w:rPr>
                <w:sz w:val="15"/>
              </w:rPr>
              <w:t>18.9</w:t>
            </w:r>
          </w:p>
        </w:tc>
        <w:tc>
          <w:tcPr>
            <w:tcW w:type="dxa" w:w="1152"/>
          </w:tcPr>
          <w:p>
            <w:pPr>
              <w:spacing w:line="240" w:lineRule="auto" w:after="20"/>
            </w:pPr>
            <w:r/>
            <w:r>
              <w:rPr>
                <w:sz w:val="15"/>
              </w:rPr>
              <w:t>2.106</w:t>
            </w:r>
          </w:p>
        </w:tc>
        <w:tc>
          <w:tcPr>
            <w:tcW w:type="dxa" w:w="1080"/>
          </w:tcPr>
          <w:p>
            <w:pPr>
              <w:spacing w:line="240" w:lineRule="auto" w:after="20"/>
            </w:pPr>
            <w:r/>
            <w:r>
              <w:rPr>
                <w:sz w:val="15"/>
              </w:rPr>
              <w:t>1.980</w:t>
            </w:r>
          </w:p>
        </w:tc>
        <w:tc>
          <w:tcPr>
            <w:tcW w:type="dxa" w:w="1008"/>
          </w:tcPr>
          <w:p>
            <w:pPr>
              <w:spacing w:line="240" w:lineRule="auto" w:after="20"/>
            </w:pPr>
            <w:r/>
            <w:r>
              <w:rPr>
                <w:sz w:val="15"/>
              </w:rPr>
              <w:t>2.094</w:t>
            </w:r>
          </w:p>
        </w:tc>
        <w:tc>
          <w:tcPr>
            <w:tcW w:type="dxa" w:w="1008"/>
          </w:tcPr>
          <w:p>
            <w:pPr>
              <w:spacing w:line="240" w:lineRule="auto" w:after="20"/>
            </w:pPr>
            <w:r/>
            <w:r>
              <w:rPr>
                <w:sz w:val="15"/>
              </w:rPr>
              <w:t>-0.6 %</w:t>
            </w:r>
          </w:p>
        </w:tc>
        <w:tc>
          <w:tcPr>
            <w:tcW w:type="dxa" w:w="1080"/>
          </w:tcPr>
          <w:p>
            <w:pPr>
              <w:spacing w:line="240" w:lineRule="auto" w:after="20"/>
            </w:pPr>
            <w:r/>
            <w:r>
              <w:rPr>
                <w:sz w:val="15"/>
              </w:rPr>
              <w:t>2.088</w:t>
            </w:r>
          </w:p>
        </w:tc>
        <w:tc>
          <w:tcPr>
            <w:tcW w:type="dxa" w:w="1008"/>
          </w:tcPr>
          <w:p>
            <w:pPr>
              <w:spacing w:line="240" w:lineRule="auto" w:after="20"/>
            </w:pPr>
            <w:r/>
            <w:r>
              <w:rPr>
                <w:sz w:val="15"/>
              </w:rPr>
              <w:t>-0.9 %</w:t>
            </w:r>
          </w:p>
        </w:tc>
        <w:tc>
          <w:tcPr>
            <w:tcW w:type="dxa" w:w="1152"/>
          </w:tcPr>
          <w:p>
            <w:pPr>
              <w:spacing w:line="240" w:lineRule="auto" w:after="20"/>
            </w:pPr>
            <w:r/>
            <w:r>
              <w:rPr>
                <w:sz w:val="15"/>
              </w:rPr>
              <w:t>–</w:t>
            </w:r>
          </w:p>
        </w:tc>
      </w:tr>
      <w:tr>
        <w:tc>
          <w:tcPr>
            <w:tcW w:type="dxa" w:w="720"/>
          </w:tcPr>
          <w:p>
            <w:pPr>
              <w:spacing w:line="240" w:lineRule="auto" w:after="20"/>
            </w:pPr>
            <w:r/>
            <w:r>
              <w:rPr>
                <w:sz w:val="15"/>
              </w:rPr>
              <w:t>140</w:t>
            </w:r>
          </w:p>
        </w:tc>
        <w:tc>
          <w:tcPr>
            <w:tcW w:type="dxa" w:w="648"/>
          </w:tcPr>
          <w:p>
            <w:pPr>
              <w:spacing w:line="240" w:lineRule="auto" w:after="20"/>
            </w:pPr>
            <w:r/>
            <w:r>
              <w:rPr>
                <w:sz w:val="15"/>
              </w:rPr>
              <w:t>0.03</w:t>
            </w:r>
          </w:p>
        </w:tc>
        <w:tc>
          <w:tcPr>
            <w:tcW w:type="dxa" w:w="648"/>
          </w:tcPr>
          <w:p>
            <w:pPr>
              <w:spacing w:line="240" w:lineRule="auto" w:after="20"/>
            </w:pPr>
            <w:r/>
            <w:r>
              <w:rPr>
                <w:sz w:val="15"/>
              </w:rPr>
              <w:t>18.9</w:t>
            </w:r>
          </w:p>
        </w:tc>
        <w:tc>
          <w:tcPr>
            <w:tcW w:type="dxa" w:w="1152"/>
          </w:tcPr>
          <w:p>
            <w:pPr>
              <w:spacing w:line="240" w:lineRule="auto" w:after="20"/>
            </w:pPr>
            <w:r/>
            <w:r>
              <w:rPr>
                <w:sz w:val="15"/>
              </w:rPr>
              <w:t>2.188</w:t>
            </w:r>
          </w:p>
        </w:tc>
        <w:tc>
          <w:tcPr>
            <w:tcW w:type="dxa" w:w="1080"/>
          </w:tcPr>
          <w:p>
            <w:pPr>
              <w:spacing w:line="240" w:lineRule="auto" w:after="20"/>
            </w:pPr>
            <w:r/>
            <w:r>
              <w:rPr>
                <w:sz w:val="15"/>
              </w:rPr>
              <w:t>2.047</w:t>
            </w:r>
          </w:p>
        </w:tc>
        <w:tc>
          <w:tcPr>
            <w:tcW w:type="dxa" w:w="1008"/>
          </w:tcPr>
          <w:p>
            <w:pPr>
              <w:spacing w:line="240" w:lineRule="auto" w:after="20"/>
            </w:pPr>
            <w:r/>
            <w:r>
              <w:rPr>
                <w:sz w:val="15"/>
              </w:rPr>
              <w:t>2.165</w:t>
            </w:r>
          </w:p>
        </w:tc>
        <w:tc>
          <w:tcPr>
            <w:tcW w:type="dxa" w:w="1008"/>
          </w:tcPr>
          <w:p>
            <w:pPr>
              <w:spacing w:line="240" w:lineRule="auto" w:after="20"/>
            </w:pPr>
            <w:r/>
            <w:r>
              <w:rPr>
                <w:sz w:val="15"/>
              </w:rPr>
              <w:t>-1.1 %</w:t>
            </w:r>
          </w:p>
        </w:tc>
        <w:tc>
          <w:tcPr>
            <w:tcW w:type="dxa" w:w="1080"/>
          </w:tcPr>
          <w:p>
            <w:pPr>
              <w:spacing w:line="240" w:lineRule="auto" w:after="20"/>
            </w:pPr>
            <w:r/>
            <w:r>
              <w:rPr>
                <w:sz w:val="15"/>
              </w:rPr>
              <w:t>2.158</w:t>
            </w:r>
          </w:p>
        </w:tc>
        <w:tc>
          <w:tcPr>
            <w:tcW w:type="dxa" w:w="1008"/>
          </w:tcPr>
          <w:p>
            <w:pPr>
              <w:spacing w:line="240" w:lineRule="auto" w:after="20"/>
            </w:pPr>
            <w:r/>
            <w:r>
              <w:rPr>
                <w:sz w:val="15"/>
              </w:rPr>
              <w:t>-1.4 %</w:t>
            </w:r>
          </w:p>
        </w:tc>
        <w:tc>
          <w:tcPr>
            <w:tcW w:type="dxa" w:w="1152"/>
          </w:tcPr>
          <w:p>
            <w:pPr>
              <w:spacing w:line="240" w:lineRule="auto" w:after="20"/>
            </w:pPr>
            <w:r/>
            <w:r>
              <w:rPr>
                <w:sz w:val="15"/>
              </w:rPr>
              <w:t>2.199</w:t>
            </w:r>
          </w:p>
        </w:tc>
      </w:tr>
      <w:tr>
        <w:tc>
          <w:tcPr>
            <w:tcW w:type="dxa" w:w="720"/>
          </w:tcPr>
          <w:p>
            <w:pPr>
              <w:spacing w:line="240" w:lineRule="auto" w:after="20"/>
            </w:pPr>
            <w:r/>
            <w:r>
              <w:rPr>
                <w:sz w:val="15"/>
              </w:rPr>
              <w:t>140</w:t>
            </w:r>
          </w:p>
        </w:tc>
        <w:tc>
          <w:tcPr>
            <w:tcW w:type="dxa" w:w="648"/>
          </w:tcPr>
          <w:p>
            <w:pPr>
              <w:spacing w:line="240" w:lineRule="auto" w:after="20"/>
            </w:pPr>
            <w:r/>
            <w:r>
              <w:rPr>
                <w:sz w:val="15"/>
              </w:rPr>
              <w:t>0.1</w:t>
            </w:r>
          </w:p>
        </w:tc>
        <w:tc>
          <w:tcPr>
            <w:tcW w:type="dxa" w:w="648"/>
          </w:tcPr>
          <w:p>
            <w:pPr>
              <w:spacing w:line="240" w:lineRule="auto" w:after="20"/>
            </w:pPr>
            <w:r/>
            <w:r>
              <w:rPr>
                <w:sz w:val="15"/>
              </w:rPr>
              <w:t>18.9</w:t>
            </w:r>
          </w:p>
        </w:tc>
        <w:tc>
          <w:tcPr>
            <w:tcW w:type="dxa" w:w="1152"/>
          </w:tcPr>
          <w:p>
            <w:pPr>
              <w:spacing w:line="240" w:lineRule="auto" w:after="20"/>
            </w:pPr>
            <w:r/>
            <w:r>
              <w:rPr>
                <w:sz w:val="15"/>
              </w:rPr>
              <w:t>2.566</w:t>
            </w:r>
          </w:p>
        </w:tc>
        <w:tc>
          <w:tcPr>
            <w:tcW w:type="dxa" w:w="1080"/>
          </w:tcPr>
          <w:p>
            <w:pPr>
              <w:spacing w:line="240" w:lineRule="auto" w:after="20"/>
            </w:pPr>
            <w:r/>
            <w:r>
              <w:rPr>
                <w:sz w:val="15"/>
              </w:rPr>
              <w:t>2.316</w:t>
            </w:r>
          </w:p>
        </w:tc>
        <w:tc>
          <w:tcPr>
            <w:tcW w:type="dxa" w:w="1008"/>
          </w:tcPr>
          <w:p>
            <w:pPr>
              <w:spacing w:line="240" w:lineRule="auto" w:after="20"/>
            </w:pPr>
            <w:r/>
            <w:r>
              <w:rPr>
                <w:sz w:val="15"/>
              </w:rPr>
              <w:t>2.449</w:t>
            </w:r>
          </w:p>
        </w:tc>
        <w:tc>
          <w:tcPr>
            <w:tcW w:type="dxa" w:w="1008"/>
          </w:tcPr>
          <w:p>
            <w:pPr>
              <w:spacing w:line="240" w:lineRule="auto" w:after="20"/>
            </w:pPr>
            <w:r/>
            <w:r>
              <w:rPr>
                <w:sz w:val="15"/>
              </w:rPr>
              <w:t>-4.6 %</w:t>
            </w:r>
          </w:p>
        </w:tc>
        <w:tc>
          <w:tcPr>
            <w:tcW w:type="dxa" w:w="1080"/>
          </w:tcPr>
          <w:p>
            <w:pPr>
              <w:spacing w:line="240" w:lineRule="auto" w:after="20"/>
            </w:pPr>
            <w:r/>
            <w:r>
              <w:rPr>
                <w:sz w:val="15"/>
              </w:rPr>
              <w:t>2.441</w:t>
            </w:r>
          </w:p>
        </w:tc>
        <w:tc>
          <w:tcPr>
            <w:tcW w:type="dxa" w:w="1008"/>
          </w:tcPr>
          <w:p>
            <w:pPr>
              <w:spacing w:line="240" w:lineRule="auto" w:after="20"/>
            </w:pPr>
            <w:r/>
            <w:r>
              <w:rPr>
                <w:sz w:val="15"/>
              </w:rPr>
              <w:t>-4.9 %</w:t>
            </w:r>
          </w:p>
        </w:tc>
        <w:tc>
          <w:tcPr>
            <w:tcW w:type="dxa" w:w="1152"/>
          </w:tcPr>
          <w:p>
            <w:pPr>
              <w:spacing w:line="240" w:lineRule="auto" w:after="20"/>
            </w:pPr>
            <w:r/>
            <w:r>
              <w:rPr>
                <w:sz w:val="15"/>
              </w:rPr>
              <w:t>–</w:t>
            </w:r>
          </w:p>
        </w:tc>
      </w:tr>
      <w:tr>
        <w:tc>
          <w:tcPr>
            <w:tcW w:type="dxa" w:w="720"/>
          </w:tcPr>
          <w:p>
            <w:pPr>
              <w:spacing w:line="240" w:lineRule="auto" w:after="20"/>
            </w:pPr>
            <w:r/>
            <w:r>
              <w:rPr>
                <w:sz w:val="15"/>
              </w:rPr>
              <w:t>160</w:t>
            </w:r>
          </w:p>
        </w:tc>
        <w:tc>
          <w:tcPr>
            <w:tcW w:type="dxa" w:w="648"/>
          </w:tcPr>
          <w:p>
            <w:pPr>
              <w:spacing w:line="240" w:lineRule="auto" w:after="20"/>
            </w:pPr>
            <w:r/>
            <w:r>
              <w:rPr>
                <w:sz w:val="15"/>
              </w:rPr>
              <w:t>0.01</w:t>
            </w:r>
          </w:p>
        </w:tc>
        <w:tc>
          <w:tcPr>
            <w:tcW w:type="dxa" w:w="648"/>
          </w:tcPr>
          <w:p>
            <w:pPr>
              <w:spacing w:line="240" w:lineRule="auto" w:after="20"/>
            </w:pPr>
            <w:r/>
            <w:r>
              <w:rPr>
                <w:sz w:val="15"/>
              </w:rPr>
              <w:t>18.0</w:t>
            </w:r>
          </w:p>
        </w:tc>
        <w:tc>
          <w:tcPr>
            <w:tcW w:type="dxa" w:w="1152"/>
          </w:tcPr>
          <w:p>
            <w:pPr>
              <w:spacing w:line="240" w:lineRule="auto" w:after="20"/>
            </w:pPr>
            <w:r/>
            <w:r>
              <w:rPr>
                <w:sz w:val="15"/>
              </w:rPr>
              <w:t>2.117</w:t>
            </w:r>
          </w:p>
        </w:tc>
        <w:tc>
          <w:tcPr>
            <w:tcW w:type="dxa" w:w="1080"/>
          </w:tcPr>
          <w:p>
            <w:pPr>
              <w:spacing w:line="240" w:lineRule="auto" w:after="20"/>
            </w:pPr>
            <w:r/>
            <w:r>
              <w:rPr>
                <w:sz w:val="15"/>
              </w:rPr>
              <w:t>1.986</w:t>
            </w:r>
          </w:p>
        </w:tc>
        <w:tc>
          <w:tcPr>
            <w:tcW w:type="dxa" w:w="1008"/>
          </w:tcPr>
          <w:p>
            <w:pPr>
              <w:spacing w:line="240" w:lineRule="auto" w:after="20"/>
            </w:pPr>
            <w:r/>
            <w:r>
              <w:rPr>
                <w:sz w:val="15"/>
              </w:rPr>
              <w:t>2.106</w:t>
            </w:r>
          </w:p>
        </w:tc>
        <w:tc>
          <w:tcPr>
            <w:tcW w:type="dxa" w:w="1008"/>
          </w:tcPr>
          <w:p>
            <w:pPr>
              <w:spacing w:line="240" w:lineRule="auto" w:after="20"/>
            </w:pPr>
            <w:r/>
            <w:r>
              <w:rPr>
                <w:sz w:val="15"/>
              </w:rPr>
              <w:t>-0.5 %</w:t>
            </w:r>
          </w:p>
        </w:tc>
        <w:tc>
          <w:tcPr>
            <w:tcW w:type="dxa" w:w="1080"/>
          </w:tcPr>
          <w:p>
            <w:pPr>
              <w:spacing w:line="240" w:lineRule="auto" w:after="20"/>
            </w:pPr>
            <w:r/>
            <w:r>
              <w:rPr>
                <w:sz w:val="15"/>
              </w:rPr>
              <w:t>2.099</w:t>
            </w:r>
          </w:p>
        </w:tc>
        <w:tc>
          <w:tcPr>
            <w:tcW w:type="dxa" w:w="1008"/>
          </w:tcPr>
          <w:p>
            <w:pPr>
              <w:spacing w:line="240" w:lineRule="auto" w:after="20"/>
            </w:pPr>
            <w:r/>
            <w:r>
              <w:rPr>
                <w:sz w:val="15"/>
              </w:rPr>
              <w:t>-0.8 %</w:t>
            </w:r>
          </w:p>
        </w:tc>
        <w:tc>
          <w:tcPr>
            <w:tcW w:type="dxa" w:w="1152"/>
          </w:tcPr>
          <w:p>
            <w:pPr>
              <w:spacing w:line="240" w:lineRule="auto" w:after="20"/>
            </w:pPr>
            <w:r/>
            <w:r>
              <w:rPr>
                <w:sz w:val="15"/>
              </w:rPr>
              <w:t>–</w:t>
            </w:r>
          </w:p>
        </w:tc>
      </w:tr>
      <w:tr>
        <w:tc>
          <w:tcPr>
            <w:tcW w:type="dxa" w:w="720"/>
          </w:tcPr>
          <w:p>
            <w:pPr>
              <w:spacing w:line="240" w:lineRule="auto" w:after="20"/>
            </w:pPr>
            <w:r/>
            <w:r>
              <w:rPr>
                <w:sz w:val="15"/>
              </w:rPr>
              <w:t>160</w:t>
            </w:r>
          </w:p>
        </w:tc>
        <w:tc>
          <w:tcPr>
            <w:tcW w:type="dxa" w:w="648"/>
          </w:tcPr>
          <w:p>
            <w:pPr>
              <w:spacing w:line="240" w:lineRule="auto" w:after="20"/>
            </w:pPr>
            <w:r/>
            <w:r>
              <w:rPr>
                <w:sz w:val="15"/>
              </w:rPr>
              <w:t>0.03</w:t>
            </w:r>
          </w:p>
        </w:tc>
        <w:tc>
          <w:tcPr>
            <w:tcW w:type="dxa" w:w="648"/>
          </w:tcPr>
          <w:p>
            <w:pPr>
              <w:spacing w:line="240" w:lineRule="auto" w:after="20"/>
            </w:pPr>
            <w:r/>
            <w:r>
              <w:rPr>
                <w:sz w:val="15"/>
              </w:rPr>
              <w:t>18.0</w:t>
            </w:r>
          </w:p>
        </w:tc>
        <w:tc>
          <w:tcPr>
            <w:tcW w:type="dxa" w:w="1152"/>
          </w:tcPr>
          <w:p>
            <w:pPr>
              <w:spacing w:line="240" w:lineRule="auto" w:after="20"/>
            </w:pPr>
            <w:r/>
            <w:r>
              <w:rPr>
                <w:sz w:val="15"/>
              </w:rPr>
              <w:t>2.200</w:t>
            </w:r>
          </w:p>
        </w:tc>
        <w:tc>
          <w:tcPr>
            <w:tcW w:type="dxa" w:w="1080"/>
          </w:tcPr>
          <w:p>
            <w:pPr>
              <w:spacing w:line="240" w:lineRule="auto" w:after="20"/>
            </w:pPr>
            <w:r/>
            <w:r>
              <w:rPr>
                <w:sz w:val="15"/>
              </w:rPr>
              <w:t>2.053</w:t>
            </w:r>
          </w:p>
        </w:tc>
        <w:tc>
          <w:tcPr>
            <w:tcW w:type="dxa" w:w="1008"/>
          </w:tcPr>
          <w:p>
            <w:pPr>
              <w:spacing w:line="240" w:lineRule="auto" w:after="20"/>
            </w:pPr>
            <w:r/>
            <w:r>
              <w:rPr>
                <w:sz w:val="15"/>
              </w:rPr>
              <w:t>2.177</w:t>
            </w:r>
          </w:p>
        </w:tc>
        <w:tc>
          <w:tcPr>
            <w:tcW w:type="dxa" w:w="1008"/>
          </w:tcPr>
          <w:p>
            <w:pPr>
              <w:spacing w:line="240" w:lineRule="auto" w:after="20"/>
            </w:pPr>
            <w:r/>
            <w:r>
              <w:rPr>
                <w:sz w:val="15"/>
              </w:rPr>
              <w:t>-1.0 %</w:t>
            </w:r>
          </w:p>
        </w:tc>
        <w:tc>
          <w:tcPr>
            <w:tcW w:type="dxa" w:w="1080"/>
          </w:tcPr>
          <w:p>
            <w:pPr>
              <w:spacing w:line="240" w:lineRule="auto" w:after="20"/>
            </w:pPr>
            <w:r/>
            <w:r>
              <w:rPr>
                <w:sz w:val="15"/>
              </w:rPr>
              <w:t>2.169</w:t>
            </w:r>
          </w:p>
        </w:tc>
        <w:tc>
          <w:tcPr>
            <w:tcW w:type="dxa" w:w="1008"/>
          </w:tcPr>
          <w:p>
            <w:pPr>
              <w:spacing w:line="240" w:lineRule="auto" w:after="20"/>
            </w:pPr>
            <w:r/>
            <w:r>
              <w:rPr>
                <w:sz w:val="15"/>
              </w:rPr>
              <w:t>-1.4 %</w:t>
            </w:r>
          </w:p>
        </w:tc>
        <w:tc>
          <w:tcPr>
            <w:tcW w:type="dxa" w:w="1152"/>
          </w:tcPr>
          <w:p>
            <w:pPr>
              <w:spacing w:line="240" w:lineRule="auto" w:after="20"/>
            </w:pPr>
            <w:r/>
            <w:r>
              <w:rPr>
                <w:sz w:val="15"/>
              </w:rPr>
              <w:t>2.212</w:t>
            </w:r>
          </w:p>
        </w:tc>
      </w:tr>
      <w:tr>
        <w:tc>
          <w:tcPr>
            <w:tcW w:type="dxa" w:w="720"/>
          </w:tcPr>
          <w:p>
            <w:pPr>
              <w:spacing w:line="240" w:lineRule="auto" w:after="20"/>
            </w:pPr>
            <w:r/>
            <w:r>
              <w:rPr>
                <w:sz w:val="15"/>
              </w:rPr>
              <w:t>160</w:t>
            </w:r>
          </w:p>
        </w:tc>
        <w:tc>
          <w:tcPr>
            <w:tcW w:type="dxa" w:w="648"/>
          </w:tcPr>
          <w:p>
            <w:pPr>
              <w:spacing w:line="240" w:lineRule="auto" w:after="20"/>
            </w:pPr>
            <w:r/>
            <w:r>
              <w:rPr>
                <w:sz w:val="15"/>
              </w:rPr>
              <w:t>0.1</w:t>
            </w:r>
          </w:p>
        </w:tc>
        <w:tc>
          <w:tcPr>
            <w:tcW w:type="dxa" w:w="648"/>
          </w:tcPr>
          <w:p>
            <w:pPr>
              <w:spacing w:line="240" w:lineRule="auto" w:after="20"/>
            </w:pPr>
            <w:r/>
            <w:r>
              <w:rPr>
                <w:sz w:val="15"/>
              </w:rPr>
              <w:t>18.0</w:t>
            </w:r>
          </w:p>
        </w:tc>
        <w:tc>
          <w:tcPr>
            <w:tcW w:type="dxa" w:w="1152"/>
          </w:tcPr>
          <w:p>
            <w:pPr>
              <w:spacing w:line="240" w:lineRule="auto" w:after="20"/>
            </w:pPr>
            <w:r/>
            <w:r>
              <w:rPr>
                <w:sz w:val="15"/>
              </w:rPr>
              <w:t>2.586</w:t>
            </w:r>
          </w:p>
        </w:tc>
        <w:tc>
          <w:tcPr>
            <w:tcW w:type="dxa" w:w="1080"/>
          </w:tcPr>
          <w:p>
            <w:pPr>
              <w:spacing w:line="240" w:lineRule="auto" w:after="20"/>
            </w:pPr>
            <w:r/>
            <w:r>
              <w:rPr>
                <w:sz w:val="15"/>
              </w:rPr>
              <w:t>2.322</w:t>
            </w:r>
          </w:p>
        </w:tc>
        <w:tc>
          <w:tcPr>
            <w:tcW w:type="dxa" w:w="1008"/>
          </w:tcPr>
          <w:p>
            <w:pPr>
              <w:spacing w:line="240" w:lineRule="auto" w:after="20"/>
            </w:pPr>
            <w:r/>
            <w:r>
              <w:rPr>
                <w:sz w:val="15"/>
              </w:rPr>
              <w:t>2.462</w:t>
            </w:r>
          </w:p>
        </w:tc>
        <w:tc>
          <w:tcPr>
            <w:tcW w:type="dxa" w:w="1008"/>
          </w:tcPr>
          <w:p>
            <w:pPr>
              <w:spacing w:line="240" w:lineRule="auto" w:after="20"/>
            </w:pPr>
            <w:r/>
            <w:r>
              <w:rPr>
                <w:sz w:val="15"/>
              </w:rPr>
              <w:t>-4.8 %</w:t>
            </w:r>
          </w:p>
        </w:tc>
        <w:tc>
          <w:tcPr>
            <w:tcW w:type="dxa" w:w="1080"/>
          </w:tcPr>
          <w:p>
            <w:pPr>
              <w:spacing w:line="240" w:lineRule="auto" w:after="20"/>
            </w:pPr>
            <w:r/>
            <w:r>
              <w:rPr>
                <w:sz w:val="15"/>
              </w:rPr>
              <w:t>2.454</w:t>
            </w:r>
          </w:p>
        </w:tc>
        <w:tc>
          <w:tcPr>
            <w:tcW w:type="dxa" w:w="1008"/>
          </w:tcPr>
          <w:p>
            <w:pPr>
              <w:spacing w:line="240" w:lineRule="auto" w:after="20"/>
            </w:pPr>
            <w:r/>
            <w:r>
              <w:rPr>
                <w:sz w:val="15"/>
              </w:rPr>
              <w:t>-5.1 %</w:t>
            </w:r>
          </w:p>
        </w:tc>
        <w:tc>
          <w:tcPr>
            <w:tcW w:type="dxa" w:w="1152"/>
          </w:tcPr>
          <w:p>
            <w:pPr>
              <w:spacing w:line="240" w:lineRule="auto" w:after="20"/>
            </w:pPr>
            <w:r/>
            <w:r>
              <w:rPr>
                <w:sz w:val="15"/>
              </w:rPr>
              <w:t>–</w:t>
            </w:r>
          </w:p>
        </w:tc>
      </w:tr>
    </w:tbl>
    <w:p>
      <w:pPr>
        <w:spacing w:after="40"/>
      </w:pPr>
    </w:p>
    <w:p>
      <w:pPr>
        <w:keepNext/>
        <w:spacing w:before="160" w:after="40"/>
        <w:jc w:val="center"/>
      </w:pPr>
      <w:r>
        <w:drawing>
          <wp:inline xmlns:a="http://schemas.openxmlformats.org/drawingml/2006/main" xmlns:pic="http://schemas.openxmlformats.org/drawingml/2006/picture">
            <wp:extent cx="4297680" cy="4572000"/>
            <wp:docPr id="3" name="Picture 3" descr="Three panels. (a) Critical number against Theta for three reaction orders with asymptotes. (b) Peak overshoot against Pi over Pi critical with Lambert-W curve and integrated points. (c) Scatter of Arrhenius critical number against prediction near the identity line."/>
            <wp:cNvGraphicFramePr>
              <a:graphicFrameLocks noChangeAspect="1"/>
            </wp:cNvGraphicFramePr>
            <a:graphic>
              <a:graphicData uri="http://schemas.openxmlformats.org/drawingml/2006/picture">
                <pic:pic>
                  <pic:nvPicPr>
                    <pic:cNvPr id="0" name="fig3_criticality.png"/>
                    <pic:cNvPicPr/>
                  </pic:nvPicPr>
                  <pic:blipFill>
                    <a:blip r:embed="rId12"/>
                    <a:stretch>
                      <a:fillRect/>
                    </a:stretch>
                  </pic:blipFill>
                  <pic:spPr>
                    <a:xfrm>
                      <a:off x="0" y="0"/>
                      <a:ext cx="4297680" cy="4572000"/>
                    </a:xfrm>
                    <a:prstGeom prst="rect"/>
                  </pic:spPr>
                </pic:pic>
              </a:graphicData>
            </a:graphic>
          </wp:inline>
        </w:drawing>
      </w:r>
    </w:p>
    <w:p>
      <w:pPr>
        <w:keepNext w:val="0"/>
        <w:spacing w:line="276" w:lineRule="auto" w:after="200"/>
      </w:pPr>
      <w:r>
        <w:rPr>
          <w:b/>
          <w:sz w:val="19"/>
        </w:rPr>
        <w:t>Fig. 3</w:t>
      </w:r>
      <w:r>
        <w:rPr>
          <w:sz w:val="19"/>
        </w:rPr>
        <w:t xml:space="preserve"> (a) Operational critical number against </w:t>
      </w:r>
      <w:r>
        <w:rPr>
          <w:i/>
          <w:sz w:val="19"/>
        </w:rPr>
        <w:t>Θ</w:t>
      </w:r>
      <w:r>
        <w:rPr>
          <w:sz w:val="19"/>
        </w:rPr>
        <w:t xml:space="preserve"> for </w:t>
      </w:r>
      <w:r>
        <w:rPr>
          <w:i/>
          <w:sz w:val="19"/>
        </w:rPr>
        <w:t>n</w:t>
      </w:r>
      <w:r>
        <w:rPr>
          <w:sz w:val="19"/>
        </w:rPr>
        <w:t xml:space="preserve"> = 1, 3/2 and 2 (points: numerical integrations, not joined by a line; dashed: finite-</w:t>
      </w:r>
      <w:r>
        <w:rPr>
          <w:i/>
          <w:sz w:val="19"/>
        </w:rPr>
        <w:t>ε</w:t>
      </w:r>
      <w:r>
        <w:rPr>
          <w:sz w:val="19"/>
        </w:rPr>
        <w:t xml:space="preserve"> Eq. (14)). (b) Quasi-steady overshoot below </w:t>
      </w:r>
      <w:r>
        <w:rPr>
          <w:i/>
          <w:sz w:val="19"/>
        </w:rPr>
        <w:t>Π</w:t>
      </w:r>
      <w:r>
        <w:rPr>
          <w:sz w:val="19"/>
          <w:vertAlign w:val="subscript"/>
        </w:rPr>
        <w:t>c</w:t>
      </w:r>
      <w:r>
        <w:rPr>
          <w:sz w:val="19"/>
        </w:rPr>
        <w:t>: Lambert-</w:t>
      </w:r>
      <w:r>
        <w:rPr>
          <w:i/>
          <w:sz w:val="19"/>
        </w:rPr>
        <w:t>W</w:t>
      </w:r>
      <w:r>
        <w:rPr>
          <w:sz w:val="19"/>
        </w:rPr>
        <w:t xml:space="preserve"> formula, fold normal form, and integrations. (c) Arrhenius operational critical number against FK(</w:t>
      </w:r>
      <w:r>
        <w:rPr>
          <w:i/>
          <w:sz w:val="19"/>
        </w:rPr>
        <w:t>Θ</w:t>
      </w:r>
      <w:r>
        <w:rPr>
          <w:sz w:val="19"/>
        </w:rPr>
        <w:t>) times the frozen-fold factor. All points are results of numerical integration of the model equations; no experimental data are shown</w:t>
      </w:r>
    </w:p>
    <w:p>
      <w:pPr>
        <w:pStyle w:val="Heading2"/>
      </w:pPr>
      <w:r>
        <w:rPr>
          <w:rFonts w:ascii="Times New Roman" w:hAnsi="Times New Roman"/>
        </w:rPr>
        <w:t>3.5 Proposition 5: continuous-flow reactor, steady states, stability, and hysteresis</w:t>
      </w:r>
    </w:p>
    <w:p>
      <w:pPr>
        <w:keepNext w:val="0"/>
        <w:jc w:val="both"/>
      </w:pPr>
      <w:r>
        <w:t xml:space="preserve">Let fresh resin of conversion 0 enter at the wall temperature with residence time </w:t>
      </w:r>
      <w:r>
        <w:rPr>
          <w:i/>
        </w:rPr>
        <w:t>τ</w:t>
      </w:r>
      <w:r>
        <w:rPr>
          <w:vertAlign w:val="subscript"/>
        </w:rPr>
        <w:t>r</w:t>
      </w:r>
      <w:r>
        <w:rPr>
          <w:vertAlign w:val="subscript"/>
        </w:rPr>
        <w:t>e</w:t>
      </w:r>
      <w:r>
        <w:rPr>
          <w:vertAlign w:val="subscript"/>
        </w:rPr>
        <w:t>s</w:t>
      </w:r>
      <w:r>
        <w:t xml:space="preserve">, and let </w:t>
      </w:r>
      <w:r>
        <w:rPr>
          <w:i/>
        </w:rPr>
        <w:t>ϑ</w:t>
      </w:r>
      <w:r>
        <w:t xml:space="preserve"> = </w:t>
      </w:r>
      <w:r>
        <w:rPr>
          <w:i/>
        </w:rPr>
        <w:t>τ</w:t>
      </w:r>
      <w:r>
        <w:rPr>
          <w:vertAlign w:val="subscript"/>
        </w:rPr>
        <w:t>t</w:t>
      </w:r>
      <w:r>
        <w:rPr>
          <w:vertAlign w:val="subscript"/>
        </w:rPr>
        <w:t>h</w:t>
      </w:r>
      <w:r>
        <w:t>/</w:t>
      </w:r>
      <w:r>
        <w:rPr>
          <w:i/>
        </w:rPr>
        <w:t>τ</w:t>
      </w:r>
      <w:r>
        <w:rPr>
          <w:vertAlign w:val="subscript"/>
        </w:rPr>
        <w:t>r</w:t>
      </w:r>
      <w:r>
        <w:rPr>
          <w:vertAlign w:val="subscript"/>
        </w:rPr>
        <w:t>e</w:t>
      </w:r>
      <w:r>
        <w:rPr>
          <w:vertAlign w:val="subscript"/>
        </w:rPr>
        <w:t>s</w:t>
      </w:r>
      <w:r>
        <w:t xml:space="preserve"> and </w:t>
      </w:r>
      <w:r>
        <w:rPr>
          <w:i/>
        </w:rPr>
        <w:t>D</w:t>
      </w:r>
      <w:r>
        <w:t xml:space="preserve"> = </w:t>
      </w:r>
      <w:r>
        <w:rPr>
          <w:i/>
        </w:rPr>
        <w:t>k</w:t>
      </w:r>
      <w:r>
        <w:rPr>
          <w:vertAlign w:val="subscript"/>
        </w:rPr>
        <w:t>2</w:t>
      </w:r>
      <w:r>
        <w:rPr>
          <w:i/>
        </w:rPr>
        <w:t>τ</w:t>
      </w:r>
      <w:r>
        <w:rPr>
          <w:vertAlign w:val="subscript"/>
        </w:rPr>
        <w:t>r</w:t>
      </w:r>
      <w:r>
        <w:rPr>
          <w:vertAlign w:val="subscript"/>
        </w:rPr>
        <w:t>e</w:t>
      </w:r>
      <w:r>
        <w:rPr>
          <w:vertAlign w:val="subscript"/>
        </w:rPr>
        <w:t>s</w:t>
      </w:r>
      <w:r>
        <w:t xml:space="preserve">. In units of </w:t>
      </w:r>
      <w:r>
        <w:rPr>
          <w:i/>
        </w:rPr>
        <w:t>τ</w:t>
      </w:r>
      <w:r>
        <w:rPr>
          <w:vertAlign w:val="subscript"/>
        </w:rPr>
        <w:t>r</w:t>
      </w:r>
      <w:r>
        <w:rPr>
          <w:vertAlign w:val="subscript"/>
        </w:rPr>
        <w:t>e</w:t>
      </w:r>
      <w:r>
        <w:rPr>
          <w:vertAlign w:val="subscript"/>
        </w:rPr>
        <w:t>s</w:t>
      </w:r>
      <w:r>
        <w:t xml:space="preserve"> and in the exponential model,</w:t>
      </w:r>
    </w:p>
    <w:p>
      <w:pPr>
        <w:keepLines/>
        <w:tabs>
          <w:tab w:pos="4680" w:val="center"/>
          <w:tab w:pos="9360" w:val="right"/>
        </w:tabs>
        <w:spacing w:before="120" w:after="120"/>
      </w:pPr>
      <w:r>
        <w:tab/>
      </w:r>
      <m:oMath>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α</m:t>
            </m:r>
          </m:num>
          <m:den>
            <m:r>
              <m:rPr>
                <m:nor/>
              </m:rPr>
              <w:rPr>
                <w:rFonts w:ascii="Cambria Math" w:hAnsi="Cambria Math"/>
                <w:i w:val="0"/>
              </w:rPr>
              <m:t xml:space="preserve">d</m:t>
            </m:r>
            <m:r>
              <m:rPr>
                <m:sty m:val="i"/>
              </m:rPr>
              <w:rPr>
                <w:rFonts w:ascii="Cambria Math" w:hAnsi="Cambria Math"/>
                <w:i/>
              </w:rPr>
              <m:t xml:space="preserve">t′</m:t>
            </m:r>
          </m:den>
        </m:f>
        <m:r>
          <m:rPr>
            <m:nor/>
          </m:rPr>
          <w:rPr>
            <w:rFonts w:ascii="Cambria Math" w:hAnsi="Cambria Math"/>
            <w:i w:val="0"/>
          </w:rPr>
          <m:t xml:space="preserve"> = </m:t>
        </m:r>
        <m:r>
          <m:rPr>
            <m:sty m:val="i"/>
          </m:rPr>
          <w:rPr>
            <w:rFonts w:ascii="Cambria Math" w:hAnsi="Cambria Math"/>
            <w:i/>
          </w:rPr>
          <m:t xml:space="preserve">D</m:t>
        </m:r>
        <m:r>
          <m:rPr>
            <m:sty m:val="i"/>
          </m:rPr>
          <w:rPr>
            <w:rFonts w:ascii="Cambria Math" w:hAnsi="Cambria Math"/>
            <w:i/>
          </w:rPr>
          <m:t xml:space="preserve">r</m:t>
        </m:r>
        <m:r>
          <m:rPr>
            <m:nor/>
          </m:rPr>
          <w:rPr>
            <w:rFonts w:ascii="Cambria Math" w:hAnsi="Cambria Math"/>
            <w:i w:val="0"/>
          </w:rPr>
          <m:t xml:space="preserve"> − </m:t>
        </m:r>
        <m:r>
          <m:rPr>
            <m:sty m:val="i"/>
          </m:rPr>
          <w:rPr>
            <w:rFonts w:ascii="Cambria Math" w:hAnsi="Cambria Math"/>
            <w:i/>
          </w:rPr>
          <m:t xml:space="preserve">α</m:t>
        </m:r>
        <m:r>
          <m:rPr>
            <m:nor/>
          </m:rPr>
          <w:rPr>
            <w:rFonts w:ascii="Cambria Math" w:hAnsi="Cambria Math"/>
            <w:i w:val="0"/>
          </w:rPr>
          <m:t xml:space="preserve">,   </m:t>
        </m:r>
        <m:f>
          <m:fPr>
            <m:ctrlPr>
              <w:rPr>
                <w:rFonts w:ascii="Cambria Math" w:hAnsi="Cambria Math"/>
                <w:i/>
              </w:rPr>
            </m:ctrlPr>
          </m:fPr>
          <m:num>
            <m:r>
              <m:rPr>
                <m:nor/>
              </m:rPr>
              <w:rPr>
                <w:rFonts w:ascii="Cambria Math" w:hAnsi="Cambria Math"/>
                <w:i w:val="0"/>
              </w:rPr>
              <m:t xml:space="preserve">d</m:t>
            </m:r>
            <m:r>
              <m:rPr>
                <m:sty m:val="i"/>
              </m:rPr>
              <w:rPr>
                <w:rFonts w:ascii="Cambria Math" w:hAnsi="Cambria Math"/>
                <w:i/>
              </w:rPr>
              <m:t xml:space="preserve">θ</m:t>
            </m:r>
          </m:num>
          <m:den>
            <m:r>
              <m:rPr>
                <m:nor/>
              </m:rPr>
              <w:rPr>
                <w:rFonts w:ascii="Cambria Math" w:hAnsi="Cambria Math"/>
                <w:i w:val="0"/>
              </w:rPr>
              <m:t xml:space="preserve">d</m:t>
            </m:r>
            <m:r>
              <m:rPr>
                <m:sty m:val="i"/>
              </m:rPr>
              <w:rPr>
                <w:rFonts w:ascii="Cambria Math" w:hAnsi="Cambria Math"/>
                <w:i/>
              </w:rPr>
              <m:t xml:space="preserve">t′</m:t>
            </m:r>
          </m:den>
        </m:f>
        <m:r>
          <m:rPr>
            <m:nor/>
          </m:rPr>
          <w:rPr>
            <w:rFonts w:ascii="Cambria Math" w:hAnsi="Cambria Math"/>
            <w:i w:val="0"/>
          </w:rPr>
          <m:t xml:space="preserve"> = </m:t>
        </m:r>
        <m:r>
          <m:rPr>
            <m:sty m:val="i"/>
          </m:rPr>
          <w:rPr>
            <w:rFonts w:ascii="Cambria Math" w:hAnsi="Cambria Math"/>
            <w:i/>
          </w:rPr>
          <m:t xml:space="preserve">D</m:t>
        </m:r>
        <m:r>
          <m:rPr>
            <m:sty m:val="i"/>
          </m:rPr>
          <w:rPr>
            <w:rFonts w:ascii="Cambria Math" w:hAnsi="Cambria Math"/>
            <w:i/>
          </w:rPr>
          <m:t xml:space="preserve">r</m:t>
        </m:r>
        <m:r>
          <m:rPr>
            <m:nor/>
          </m:rPr>
          <w:rPr>
            <w:rFonts w:ascii="Cambria Math" w:hAnsi="Cambria Math"/>
            <w:i w:val="0"/>
          </w:rPr>
          <m:t xml:space="preserve"> − </m:t>
        </m:r>
        <m:r>
          <m:rPr>
            <m:sty m:val="i"/>
          </m:rPr>
          <w:rPr>
            <w:rFonts w:ascii="Cambria Math" w:hAnsi="Cambria Math"/>
            <w:i/>
          </w:rPr>
          <m:t xml:space="preserve">θ</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1</m:t>
                </m:r>
              </m:num>
              <m:den>
                <m:r>
                  <m:rPr>
                    <m:sty m:val="i"/>
                  </m:rPr>
                  <w:rPr>
                    <w:rFonts w:ascii="Cambria Math" w:hAnsi="Cambria Math"/>
                    <w:i/>
                  </w:rPr>
                  <m:t xml:space="preserve">ϑ</m:t>
                </m:r>
              </m:den>
            </m:f>
          </m:e>
        </m:d>
        <m:r>
          <m:rPr>
            <m:nor/>
          </m:rPr>
          <w:rPr>
            <w:rFonts w:ascii="Cambria Math" w:hAnsi="Cambria Math"/>
            <w:i w:val="0"/>
          </w:rPr>
          <m:t xml:space="preserve">,   </m:t>
        </m:r>
        <m:r>
          <m:rPr>
            <m:sty m:val="i"/>
          </m:rPr>
          <w:rPr>
            <w:rFonts w:ascii="Cambria Math" w:hAnsi="Cambria Math"/>
            <w:i/>
          </w:rPr>
          <m:t xml:space="preserve">r</m:t>
        </m:r>
        <m:r>
          <m:rPr>
            <m:nor/>
          </m:rPr>
          <w:rPr>
            <w:rFonts w:ascii="Cambria Math" w:hAnsi="Cambria Math"/>
            <w:i w:val="0"/>
          </w:rPr>
          <m:t xml:space="preserve"> = </m:t>
        </m:r>
        <m:d>
          <m:dPr>
            <m:begChr m:val="("/>
            <m:endChr m:val=")"/>
            <m:ctrlPr>
              <w:rPr>
                <w:rFonts w:ascii="Cambria Math" w:hAnsi="Cambria Math"/>
                <w:i/>
              </w:rPr>
            </m:ctrlPr>
          </m:dPr>
          <m:e>
            <m:r>
              <m:rPr>
                <m:sty m:val="i"/>
              </m:rPr>
              <w:rPr>
                <w:rFonts w:ascii="Cambria Math" w:hAnsi="Cambria Math"/>
                <w:i/>
              </w:rPr>
              <m:t xml:space="preserve">ε</m:t>
            </m:r>
            <m:r>
              <m:rPr>
                <m:nor/>
              </m:rPr>
              <w:rPr>
                <w:rFonts w:ascii="Cambria Math" w:hAnsi="Cambria Math"/>
                <w:i w:val="0"/>
              </w:rPr>
              <m:t xml:space="preserve"> + </m:t>
            </m:r>
            <m:r>
              <m:rPr>
                <m:sty m:val="i"/>
              </m:rPr>
              <w:rPr>
                <w:rFonts w:ascii="Cambria Math" w:hAnsi="Cambria Math"/>
                <w:i/>
              </w:rPr>
              <m:t xml:space="preserve">α</m:t>
            </m:r>
          </m:e>
        </m:d>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α</m:t>
                </m:r>
              </m:e>
            </m:d>
          </m:e>
          <m:sup>
            <m:r>
              <m:rPr>
                <m:sty m:val="i"/>
              </m:rPr>
              <w:rPr>
                <w:rFonts w:ascii="Cambria Math" w:hAnsi="Cambria Math"/>
                <w:i/>
              </w:rPr>
              <m:t xml:space="preserve">n</m:t>
            </m:r>
          </m:sup>
        </m:sSup>
        <m:sSup>
          <m:sSupPr>
            <m:ctrlPr>
              <w:rPr>
                <w:rFonts w:ascii="Cambria Math" w:hAnsi="Cambria Math"/>
                <w:i/>
              </w:rPr>
            </m:ctrlPr>
          </m:sSupPr>
          <m:e>
            <m:r>
              <m:rPr>
                <m:nor/>
              </m:rPr>
              <w:rPr>
                <w:rFonts w:ascii="Cambria Math" w:hAnsi="Cambria Math"/>
                <w:i w:val="0"/>
              </w:rPr>
              <m:t xml:space="preserve">e</m:t>
            </m:r>
          </m:e>
          <m:sup>
            <m:r>
              <m:rPr>
                <m:sty m:val="i"/>
              </m:rPr>
              <w:rPr>
                <w:rFonts w:ascii="Cambria Math" w:hAnsi="Cambria Math"/>
                <w:i/>
              </w:rPr>
              <m:t xml:space="preserve">ψθ</m:t>
            </m:r>
          </m:sup>
        </m:sSup>
        <m:r>
          <m:rPr>
            <m:nor/>
          </m:rPr>
          <w:rPr>
            <w:rFonts w:ascii="Cambria Math" w:hAnsi="Cambria Math"/>
            <w:i w:val="0"/>
          </w:rPr>
          <m:t xml:space="preserve">.</m:t>
        </m:r>
      </m:oMath>
      <w:r>
        <w:tab/>
        <w:t xml:space="preserve">(16)</w:t>
      </w:r>
    </w:p>
    <w:p>
      <w:pPr>
        <w:keepNext w:val="0"/>
        <w:jc w:val="both"/>
      </w:pPr>
      <w:r>
        <w:rPr>
          <w:i/>
        </w:rPr>
        <w:t>Control parameter.</w:t>
      </w:r>
      <w:r>
        <w:t xml:space="preserve"> In the exponential model </w:t>
      </w:r>
      <w:r>
        <w:rPr>
          <w:i/>
        </w:rPr>
        <w:t>D</w:t>
      </w:r>
      <w:r>
        <w:t xml:space="preserve"> is varied at fixed </w:t>
      </w:r>
      <w:r>
        <w:rPr>
          <w:i/>
        </w:rPr>
        <w:t>ϑ</w:t>
      </w:r>
      <w:r>
        <w:t xml:space="preserve"> and </w:t>
      </w:r>
      <w:r>
        <w:rPr>
          <w:i/>
        </w:rPr>
        <w:t>ψ</w:t>
      </w:r>
      <w:r>
        <w:t xml:space="preserve">. This is a mathematical parameter sweep, not by itself a physical temperature sweep: a change of the wall temperature also changes </w:t>
      </w:r>
      <w:r>
        <w:rPr>
          <w:i/>
        </w:rPr>
        <w:t>ψ</w:t>
      </w:r>
      <w:r>
        <w:t xml:space="preserve"> = Δ</w:t>
      </w:r>
      <w:r>
        <w:rPr>
          <w:i/>
        </w:rPr>
        <w:t>T</w:t>
      </w:r>
      <w:r>
        <w:rPr>
          <w:vertAlign w:val="subscript"/>
        </w:rPr>
        <w:t>a</w:t>
      </w:r>
      <w:r>
        <w:rPr>
          <w:vertAlign w:val="subscript"/>
        </w:rPr>
        <w:t>d</w:t>
      </w:r>
      <w:r>
        <w:rPr>
          <w:i/>
        </w:rPr>
        <w:t>E</w:t>
      </w:r>
      <w:r>
        <w:rPr>
          <w:vertAlign w:val="subscript"/>
        </w:rPr>
        <w:t>2</w:t>
      </w:r>
      <w:r>
        <w:t>/(RT</w:t>
      </w:r>
      <w:r>
        <w:rPr>
          <w:vertAlign w:val="subscript"/>
        </w:rPr>
        <w:t>∞</w:t>
      </w:r>
      <w:r>
        <w:rPr>
          <w:vertAlign w:val="superscript"/>
        </w:rPr>
        <w:t>2</w:t>
      </w:r>
      <w:r>
        <w:t xml:space="preserve">), </w:t>
      </w:r>
      <w:r>
        <w:rPr>
          <w:i/>
        </w:rPr>
        <w:t>ε</w:t>
      </w:r>
      <w:r>
        <w:t xml:space="preserve"> = </w:t>
      </w:r>
      <w:r>
        <w:rPr>
          <w:i/>
        </w:rPr>
        <w:t>k</w:t>
      </w:r>
      <w:r>
        <w:rPr>
          <w:vertAlign w:val="subscript"/>
        </w:rPr>
        <w:t>1</w:t>
      </w:r>
      <w:r>
        <w:t>/</w:t>
      </w:r>
      <w:r>
        <w:rPr>
          <w:i/>
        </w:rPr>
        <w:t>k</w:t>
      </w:r>
      <w:r>
        <w:rPr>
          <w:vertAlign w:val="subscript"/>
        </w:rPr>
        <w:t>2</w:t>
      </w:r>
      <w:r>
        <w:t xml:space="preserve"> and </w:t>
      </w:r>
      <w:r>
        <w:rPr>
          <w:i/>
        </w:rPr>
        <w:t>Ar</w:t>
      </w:r>
      <w:r>
        <w:t xml:space="preserve">. The ln </w:t>
      </w:r>
      <w:r>
        <w:rPr>
          <w:i/>
        </w:rPr>
        <w:t>D</w:t>
      </w:r>
      <w:r>
        <w:t xml:space="preserve"> windows below are therefore windows in the parameter </w:t>
      </w:r>
      <w:r>
        <w:rPr>
          <w:i/>
        </w:rPr>
        <w:t>D</w:t>
      </w:r>
      <w:r>
        <w:t xml:space="preserve">, and no conversion of ln </w:t>
      </w:r>
      <w:r>
        <w:rPr>
          <w:i/>
        </w:rPr>
        <w:t>D</w:t>
      </w:r>
      <w:r>
        <w:t xml:space="preserve"> into kelvin is claimed from them. A physical temperature path with Arrhenius kinetics, in which </w:t>
      </w:r>
      <w:r>
        <w:rPr>
          <w:i/>
        </w:rPr>
        <w:t>ψ</w:t>
      </w:r>
      <w:r>
        <w:t xml:space="preserve">, </w:t>
      </w:r>
      <w:r>
        <w:rPr>
          <w:i/>
        </w:rPr>
        <w:t>ε</w:t>
      </w:r>
      <w:r>
        <w:t xml:space="preserve"> and </w:t>
      </w:r>
      <w:r>
        <w:rPr>
          <w:i/>
        </w:rPr>
        <w:t>D</w:t>
      </w:r>
      <w:r>
        <w:t xml:space="preserve"> all change with </w:t>
      </w:r>
      <w:r>
        <w:rPr>
          <w:i/>
        </w:rPr>
        <w:t>T</w:t>
      </w:r>
      <w:r>
        <w:rPr>
          <w:vertAlign w:val="subscript"/>
        </w:rPr>
        <w:t>∞</w:t>
      </w:r>
      <w:r>
        <w:t xml:space="preserve">, is simulated separately at the end of this section. A sweep of the flow rate at fixed temperature changes </w:t>
      </w:r>
      <w:r>
        <w:rPr>
          <w:i/>
        </w:rPr>
        <w:t>τ</w:t>
      </w:r>
      <w:r>
        <w:rPr>
          <w:vertAlign w:val="subscript"/>
        </w:rPr>
        <w:t>r</w:t>
      </w:r>
      <w:r>
        <w:rPr>
          <w:vertAlign w:val="subscript"/>
        </w:rPr>
        <w:t>e</w:t>
      </w:r>
      <w:r>
        <w:rPr>
          <w:vertAlign w:val="subscript"/>
        </w:rPr>
        <w:t>s</w:t>
      </w:r>
      <w:r>
        <w:t xml:space="preserve"> and therefore </w:t>
      </w:r>
      <w:r>
        <w:rPr>
          <w:i/>
        </w:rPr>
        <w:t>ϑ</w:t>
      </w:r>
      <w:r>
        <w:t>, which is a different parameter path and is not analyzed here.</w:t>
      </w:r>
    </w:p>
    <w:p>
      <w:pPr>
        <w:keepNext w:val="0"/>
        <w:jc w:val="both"/>
      </w:pPr>
      <w:r>
        <w:rPr>
          <w:b/>
        </w:rPr>
        <w:t>Proposition 5 (steady states).</w:t>
      </w:r>
      <w:r>
        <w:t xml:space="preserve"> The steady states satisfy </w:t>
      </w:r>
      <w:r>
        <w:rPr>
          <w:i/>
        </w:rPr>
        <w:t>θ</w:t>
      </w:r>
      <w:r>
        <w:t xml:space="preserve"> = </w:t>
      </w:r>
      <w:r>
        <w:rPr>
          <w:i/>
        </w:rPr>
        <w:t>ϑα</w:t>
      </w:r>
      <w:r>
        <w:t xml:space="preserve">/(1 + </w:t>
      </w:r>
      <w:r>
        <w:rPr>
          <w:i/>
        </w:rPr>
        <w:t>ϑ</w:t>
      </w:r>
      <w:r>
        <w:t xml:space="preserve">) = </w:t>
      </w:r>
      <w:r>
        <w:rPr>
          <w:i/>
        </w:rPr>
        <w:t>κα</w:t>
      </w:r>
      <w:r>
        <w:t>/</w:t>
      </w:r>
      <w:r>
        <w:rPr>
          <w:i/>
        </w:rPr>
        <w:t>ψ</w:t>
      </w:r>
      <w:r>
        <w:t xml:space="preserve"> and are given parametrically by</w:t>
      </w:r>
    </w:p>
    <w:p>
      <w:pPr>
        <w:keepLines/>
        <w:tabs>
          <w:tab w:pos="4680" w:val="center"/>
          <w:tab w:pos="9360" w:val="right"/>
        </w:tabs>
        <w:spacing w:before="120" w:after="120"/>
      </w:pPr>
      <w:r>
        <w:tab/>
      </w:r>
      <m:oMath>
        <m:r>
          <m:rPr>
            <m:sty m:val="i"/>
          </m:rPr>
          <w:rPr>
            <w:rFonts w:ascii="Cambria Math" w:hAnsi="Cambria Math"/>
            <w:i/>
          </w:rPr>
          <m:t xml:space="preserve">D</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α</m:t>
            </m:r>
          </m:num>
          <m:den>
            <m:d>
              <m:dPr>
                <m:begChr m:val="("/>
                <m:endChr m:val=")"/>
                <m:ctrlPr>
                  <w:rPr>
                    <w:rFonts w:ascii="Cambria Math" w:hAnsi="Cambria Math"/>
                    <w:i/>
                  </w:rPr>
                </m:ctrlPr>
              </m:dPr>
              <m:e>
                <m:r>
                  <m:rPr>
                    <m:sty m:val="i"/>
                  </m:rPr>
                  <w:rPr>
                    <w:rFonts w:ascii="Cambria Math" w:hAnsi="Cambria Math"/>
                    <w:i/>
                  </w:rPr>
                  <m:t xml:space="preserve">ε</m:t>
                </m:r>
                <m:r>
                  <m:rPr>
                    <m:nor/>
                  </m:rPr>
                  <w:rPr>
                    <w:rFonts w:ascii="Cambria Math" w:hAnsi="Cambria Math"/>
                    <w:i w:val="0"/>
                  </w:rPr>
                  <m:t xml:space="preserve"> + </m:t>
                </m:r>
                <m:r>
                  <m:rPr>
                    <m:sty m:val="i"/>
                  </m:rPr>
                  <w:rPr>
                    <w:rFonts w:ascii="Cambria Math" w:hAnsi="Cambria Math"/>
                    <w:i/>
                  </w:rPr>
                  <m:t xml:space="preserve">α</m:t>
                </m:r>
              </m:e>
            </m:d>
            <m:sSup>
              <m:sSupPr>
                <m:ctrlPr>
                  <w:rPr>
                    <w:rFonts w:ascii="Cambria Math" w:hAnsi="Cambria Math"/>
                    <w:i/>
                  </w:rPr>
                </m:ctrlPr>
              </m:sSupPr>
              <m:e>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α</m:t>
                    </m:r>
                  </m:e>
                </m:d>
              </m:e>
              <m:sup>
                <m:r>
                  <m:rPr>
                    <m:sty m:val="i"/>
                  </m:rPr>
                  <w:rPr>
                    <w:rFonts w:ascii="Cambria Math" w:hAnsi="Cambria Math"/>
                    <w:i/>
                  </w:rPr>
                  <m:t xml:space="preserve">n</m:t>
                </m:r>
              </m:sup>
            </m:sSup>
            <m:r>
              <m:rPr>
                <m:nor/>
              </m:rPr>
              <w:rPr>
                <w:rFonts w:ascii="Cambria Math" w:hAnsi="Cambria Math"/>
                <w:i w:val="0"/>
              </w:rPr>
              <m:t xml:space="preserve">exp</m:t>
            </m:r>
            <m:d>
              <m:dPr>
                <m:begChr m:val="("/>
                <m:endChr m:val=")"/>
                <m:ctrlPr>
                  <w:rPr>
                    <w:rFonts w:ascii="Cambria Math" w:hAnsi="Cambria Math"/>
                    <w:i/>
                  </w:rPr>
                </m:ctrlPr>
              </m:dPr>
              <m:e>
                <m:r>
                  <m:rPr>
                    <m:sty m:val="i"/>
                  </m:rPr>
                  <w:rPr>
                    <w:rFonts w:ascii="Cambria Math" w:hAnsi="Cambria Math"/>
                    <w:i/>
                  </w:rPr>
                  <m:t xml:space="preserve">κα</m:t>
                </m:r>
              </m:e>
            </m:d>
          </m:den>
        </m:f>
        <m:r>
          <m:rPr>
            <m:nor/>
          </m:rPr>
          <w:rPr>
            <w:rFonts w:ascii="Cambria Math" w:hAnsi="Cambria Math"/>
            <w:i w:val="0"/>
          </w:rPr>
          <m:t xml:space="preserve">,   </m:t>
        </m:r>
        <m:r>
          <m:rPr>
            <m:sty m:val="i"/>
          </m:rPr>
          <w:rPr>
            <w:rFonts w:ascii="Cambria Math" w:hAnsi="Cambria Math"/>
            <w:i/>
          </w:rPr>
          <m:t xml:space="preserve">κ</m:t>
        </m:r>
        <m:r>
          <m:rPr>
            <m:nor/>
          </m:rPr>
          <w:rPr>
            <w:rFonts w:ascii="Cambria Math" w:hAnsi="Cambria Math"/>
            <w:i w:val="0"/>
          </w:rPr>
          <m:t xml:space="preserve"> = </m:t>
        </m:r>
        <m:f>
          <m:fPr>
            <m:ctrlPr>
              <w:rPr>
                <w:rFonts w:ascii="Cambria Math" w:hAnsi="Cambria Math"/>
                <w:i/>
              </w:rPr>
            </m:ctrlPr>
          </m:fPr>
          <m:num>
            <m:r>
              <m:rPr>
                <m:sty m:val="i"/>
              </m:rPr>
              <w:rPr>
                <w:rFonts w:ascii="Cambria Math" w:hAnsi="Cambria Math"/>
                <w:i/>
              </w:rPr>
              <m:t xml:space="preserve">ψϑ</m:t>
            </m:r>
          </m:num>
          <m:den>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ϑ</m:t>
            </m:r>
          </m:den>
        </m:f>
        <m:r>
          <m:rPr>
            <m:nor/>
          </m:rPr>
          <w:rPr>
            <w:rFonts w:ascii="Cambria Math" w:hAnsi="Cambria Math"/>
            <w:i w:val="0"/>
          </w:rPr>
          <m:t xml:space="preserve">.</m:t>
        </m:r>
      </m:oMath>
      <w:r>
        <w:tab/>
        <w:t xml:space="preserve">(17)</w:t>
      </w:r>
    </w:p>
    <w:p>
      <w:pPr>
        <w:keepNext w:val="0"/>
        <w:jc w:val="both"/>
      </w:pPr>
      <w:r>
        <w:rPr>
          <w:i/>
        </w:rPr>
        <w:t>Proof.</w:t>
      </w:r>
      <w:r>
        <w:t xml:space="preserve"> At steady state the conversion balance gives rD = </w:t>
      </w:r>
      <w:r>
        <w:rPr>
          <w:i/>
        </w:rPr>
        <w:t>α</w:t>
      </w:r>
      <w:r>
        <w:t xml:space="preserve">, and the heat balance gives </w:t>
      </w:r>
      <w:r>
        <w:rPr>
          <w:i/>
        </w:rPr>
        <w:t>θ</w:t>
      </w:r>
      <w:r>
        <w:t>(1 + 1/</w:t>
      </w:r>
      <w:r>
        <w:rPr>
          <w:i/>
        </w:rPr>
        <w:t>ϑ</w:t>
      </w:r>
      <w:r>
        <w:t xml:space="preserve">) = rD = </w:t>
      </w:r>
      <w:r>
        <w:rPr>
          <w:i/>
        </w:rPr>
        <w:t>α</w:t>
      </w:r>
      <w:r>
        <w:t xml:space="preserve">, so </w:t>
      </w:r>
      <w:r>
        <w:rPr>
          <w:i/>
        </w:rPr>
        <w:t>θ</w:t>
      </w:r>
      <w:r>
        <w:t xml:space="preserve"> = </w:t>
      </w:r>
      <w:r>
        <w:rPr>
          <w:i/>
        </w:rPr>
        <w:t>ϑα</w:t>
      </w:r>
      <w:r>
        <w:t xml:space="preserve">/(1 + </w:t>
      </w:r>
      <w:r>
        <w:rPr>
          <w:i/>
        </w:rPr>
        <w:t>ϑ</w:t>
      </w:r>
      <w:r>
        <w:t xml:space="preserve">) = </w:t>
      </w:r>
      <w:r>
        <w:rPr>
          <w:i/>
        </w:rPr>
        <w:t>κα</w:t>
      </w:r>
      <w:r>
        <w:t>/</w:t>
      </w:r>
      <w:r>
        <w:rPr>
          <w:i/>
        </w:rPr>
        <w:t>ψ</w:t>
      </w:r>
      <w:r>
        <w:t xml:space="preserve">; substituting </w:t>
      </w:r>
      <w:r>
        <w:rPr>
          <w:i/>
        </w:rPr>
        <w:t>ψθ</w:t>
      </w:r>
      <w:r>
        <w:t xml:space="preserve"> = </w:t>
      </w:r>
      <w:r>
        <w:rPr>
          <w:i/>
        </w:rPr>
        <w:t>κα</w:t>
      </w:r>
      <w:r>
        <w:t xml:space="preserve"> into rD = </w:t>
      </w:r>
      <w:r>
        <w:rPr>
          <w:i/>
        </w:rPr>
        <w:t>α</w:t>
      </w:r>
      <w:r>
        <w:t xml:space="preserve"> gives the expression. ∎ </w:t>
      </w:r>
      <w:r>
        <w:rPr>
          <w:i/>
        </w:rPr>
        <w:t>D</w:t>
      </w:r>
      <w:r>
        <w:t>(</w:t>
      </w:r>
      <w:r>
        <w:rPr>
          <w:i/>
        </w:rPr>
        <w:t>α</w:t>
      </w:r>
      <w:r>
        <w:t xml:space="preserve">) is non-monotonic, so three steady states coexist in a window of </w:t>
      </w:r>
      <w:r>
        <w:rPr>
          <w:i/>
        </w:rPr>
        <w:t>D</w:t>
      </w:r>
      <w:r>
        <w:t xml:space="preserve">, if and only if </w:t>
      </w:r>
      <w:r>
        <w:rPr>
          <w:i/>
        </w:rPr>
        <w:t>d</w:t>
      </w:r>
      <w:r>
        <w:t xml:space="preserve"> ln </w:t>
      </w:r>
      <w:r>
        <w:rPr>
          <w:i/>
        </w:rPr>
        <w:t>D</w:t>
      </w:r>
      <w:r>
        <w:t>/</w:t>
      </w:r>
      <w:r>
        <w:rPr>
          <w:i/>
        </w:rPr>
        <w:t>dα</w:t>
      </w:r>
      <w:r>
        <w:t xml:space="preserve"> = 0 has two roots, </w:t>
      </w:r>
      <w:r>
        <w:rPr>
          <w:i/>
        </w:rPr>
        <w:t>n</w:t>
      </w:r>
      <w:r>
        <w:t xml:space="preserve">/(1 − </w:t>
      </w:r>
      <w:r>
        <w:rPr>
          <w:i/>
        </w:rPr>
        <w:t>α</w:t>
      </w:r>
      <w:r>
        <w:t xml:space="preserve">) + </w:t>
      </w:r>
      <w:r>
        <w:rPr>
          <w:i/>
        </w:rPr>
        <w:t>ε</w:t>
      </w:r>
      <w:r>
        <w:t>/[</w:t>
      </w:r>
      <w:r>
        <w:rPr>
          <w:i/>
        </w:rPr>
        <w:t>α</w:t>
      </w:r>
      <w:r>
        <w:t>(</w:t>
      </w:r>
      <w:r>
        <w:rPr>
          <w:i/>
        </w:rPr>
        <w:t>ε</w:t>
      </w:r>
      <w:r>
        <w:t xml:space="preserve"> + </w:t>
      </w:r>
      <w:r>
        <w:rPr>
          <w:i/>
        </w:rPr>
        <w:t>α</w:t>
      </w:r>
      <w:r>
        <w:t xml:space="preserve">)] = </w:t>
      </w:r>
      <w:r>
        <w:rPr>
          <w:i/>
        </w:rPr>
        <w:t>κ</w:t>
      </w:r>
      <w:r>
        <w:t xml:space="preserve">. The left side has a single minimum, so three equilibria exist if and only if </w:t>
      </w:r>
      <w:r>
        <w:rPr>
          <w:i/>
        </w:rPr>
        <w:t>κ</w:t>
      </w:r>
      <w:r>
        <w:t xml:space="preserve"> &gt; </w:t>
      </w:r>
      <w:r>
        <w:rPr>
          <w:i/>
        </w:rPr>
        <w:t>κ</w:t>
      </w:r>
      <w:r>
        <w:rPr>
          <w:vertAlign w:val="subscript"/>
        </w:rPr>
        <w:t>c</w:t>
      </w:r>
      <w:r>
        <w:t xml:space="preserve"> = min</w:t>
      </w:r>
      <w:r>
        <w:rPr>
          <w:i/>
          <w:vertAlign w:val="subscript"/>
        </w:rPr>
        <w:t>α</w:t>
      </w:r>
      <w:r>
        <w:t>[</w:t>
      </w:r>
      <w:r>
        <w:rPr>
          <w:i/>
        </w:rPr>
        <w:t>n</w:t>
      </w:r>
      <w:r>
        <w:t xml:space="preserve">/(1 − </w:t>
      </w:r>
      <w:r>
        <w:rPr>
          <w:i/>
        </w:rPr>
        <w:t>α</w:t>
      </w:r>
      <w:r>
        <w:t xml:space="preserve">) + </w:t>
      </w:r>
      <w:r>
        <w:rPr>
          <w:i/>
        </w:rPr>
        <w:t>ε</w:t>
      </w:r>
      <w:r>
        <w:t>/(</w:t>
      </w:r>
      <w:r>
        <w:rPr>
          <w:i/>
        </w:rPr>
        <w:t>α</w:t>
      </w:r>
      <w:r>
        <w:t>(</w:t>
      </w:r>
      <w:r>
        <w:rPr>
          <w:i/>
        </w:rPr>
        <w:t>ε</w:t>
      </w:r>
      <w:r>
        <w:t xml:space="preserve"> + </w:t>
      </w:r>
      <w:r>
        <w:rPr>
          <w:i/>
        </w:rPr>
        <w:t>α</w:t>
      </w:r>
      <w:r>
        <w:t>))] (</w:t>
      </w:r>
      <w:r>
        <w:rPr>
          <w:i/>
        </w:rPr>
        <w:t>κ</w:t>
      </w:r>
      <w:r>
        <w:rPr>
          <w:vertAlign w:val="subscript"/>
        </w:rPr>
        <w:t>c</w:t>
      </w:r>
      <w:r>
        <w:t xml:space="preserve"> = 1.894 for </w:t>
      </w:r>
      <w:r>
        <w:rPr>
          <w:i/>
        </w:rPr>
        <w:t>n</w:t>
      </w:r>
      <w:r>
        <w:t xml:space="preserve"> = 3/2 and </w:t>
      </w:r>
      <w:r>
        <w:rPr>
          <w:i/>
        </w:rPr>
        <w:t>ε</w:t>
      </w:r>
      <w:r>
        <w:t xml:space="preserve"> = 3 × 10</w:t>
      </w:r>
      <w:r>
        <w:rPr>
          <w:vertAlign w:val="superscript"/>
        </w:rPr>
        <w:t>−</w:t>
      </w:r>
      <w:r>
        <w:rPr>
          <w:vertAlign w:val="superscript"/>
        </w:rPr>
        <w:t>3</w:t>
      </w:r>
      <w:r>
        <w:t xml:space="preserve">; </w:t>
      </w:r>
      <w:r>
        <w:rPr>
          <w:i/>
        </w:rPr>
        <w:t>κ</w:t>
      </w:r>
      <w:r>
        <w:rPr>
          <w:vertAlign w:val="subscript"/>
        </w:rPr>
        <w:t>c</w:t>
      </w:r>
      <w:r>
        <w:t xml:space="preserve"> → </w:t>
      </w:r>
      <w:r>
        <w:rPr>
          <w:i/>
        </w:rPr>
        <w:t>n</w:t>
      </w:r>
      <w:r>
        <w:t xml:space="preserve"> as </w:t>
      </w:r>
      <w:r>
        <w:rPr>
          <w:i/>
        </w:rPr>
        <w:t>ε</w:t>
      </w:r>
      <w:r>
        <w:t xml:space="preserve"> → 0). Equilibrium multiplicity does not by itself establish two stable states or switching at both folds.</w:t>
      </w:r>
    </w:p>
    <w:p>
      <w:pPr>
        <w:keepNext w:val="0"/>
        <w:jc w:val="both"/>
      </w:pPr>
      <w:r>
        <w:rPr>
          <w:b/>
        </w:rPr>
        <w:t>Stability.</w:t>
      </w:r>
      <w:r>
        <w:t xml:space="preserve"> Let </w:t>
      </w:r>
      <w:r>
        <w:rPr>
          <w:i/>
        </w:rPr>
        <w:t>q</w:t>
      </w:r>
      <w:r>
        <w:t xml:space="preserve"> = </w:t>
      </w:r>
      <w:r>
        <w:rPr>
          <w:i/>
        </w:rPr>
        <w:t>α</w:t>
      </w:r>
      <w:r>
        <w:t>/(</w:t>
      </w:r>
      <w:r>
        <w:rPr>
          <w:i/>
        </w:rPr>
        <w:t>ε</w:t>
      </w:r>
      <w:r>
        <w:t xml:space="preserve"> + </w:t>
      </w:r>
      <w:r>
        <w:rPr>
          <w:i/>
        </w:rPr>
        <w:t>α</w:t>
      </w:r>
      <w:r>
        <w:t xml:space="preserve">) − </w:t>
      </w:r>
      <w:r>
        <w:rPr>
          <w:i/>
        </w:rPr>
        <w:t>nα</w:t>
      </w:r>
      <w:r>
        <w:t xml:space="preserve">/(1 − </w:t>
      </w:r>
      <w:r>
        <w:rPr>
          <w:i/>
        </w:rPr>
        <w:t>α</w:t>
      </w:r>
      <w:r>
        <w:t xml:space="preserve">). Differentiating Eq. (16) at a steady state, with </w:t>
      </w:r>
      <w:r>
        <w:rPr>
          <w:i/>
        </w:rPr>
        <w:t>D</w:t>
      </w:r>
      <w:r>
        <w:t xml:space="preserve"> and </w:t>
      </w:r>
      <w:r>
        <w:rPr>
          <w:i/>
        </w:rPr>
        <w:t>ϑ</w:t>
      </w:r>
      <w:r>
        <w:t xml:space="preserve"> fixed, gives the Jacobian in the variables (</w:t>
      </w:r>
      <w:r>
        <w:rPr>
          <w:i/>
        </w:rPr>
        <w:t>α</w:t>
      </w:r>
      <w:r>
        <w:t xml:space="preserve">, </w:t>
      </w:r>
      <w:r>
        <w:rPr>
          <w:i/>
        </w:rPr>
        <w:t>θ</w:t>
      </w:r>
      <w:r>
        <w:t>)</w:t>
      </w:r>
    </w:p>
    <w:p>
      <w:pPr>
        <w:keepLines/>
        <w:tabs>
          <w:tab w:pos="4680" w:val="center"/>
          <w:tab w:pos="9360" w:val="right"/>
        </w:tabs>
        <w:spacing w:before="120" w:after="120"/>
      </w:pPr>
      <w:r>
        <w:tab/>
      </w:r>
      <m:oMath>
        <m:r>
          <m:rPr>
            <m:sty m:val="i"/>
          </m:rPr>
          <w:rPr>
            <w:rFonts w:ascii="Cambria Math" w:hAnsi="Cambria Math"/>
            <w:i/>
          </w:rPr>
          <m:t xml:space="preserve">J</m:t>
        </m:r>
        <m:r>
          <m:rPr>
            <m:nor/>
          </m:rPr>
          <w:rPr>
            <w:rFonts w:ascii="Cambria Math" w:hAnsi="Cambria Math"/>
            <w:i w:val="0"/>
          </w:rPr>
          <m:t xml:space="preserve"> = </m:t>
        </m:r>
        <m:r>
          <m:rPr>
            <m:nor/>
          </m:rPr>
          <w:rPr>
            <w:rFonts w:ascii="Cambria Math" w:hAnsi="Cambria Math"/>
            <w:i w:val="0"/>
          </w:rPr>
          <m:t xml:space="preserve">[[ </m:t>
        </m:r>
        <m:r>
          <m:rPr>
            <m:sty m:val="i"/>
          </m:rPr>
          <w:rPr>
            <w:rFonts w:ascii="Cambria Math" w:hAnsi="Cambria Math"/>
            <w:i/>
          </w:rPr>
          <m:t xml:space="preserve">q</m:t>
        </m:r>
        <m:r>
          <m:rPr>
            <m:nor/>
          </m:rPr>
          <w:rPr>
            <w:rFonts w:ascii="Cambria Math" w:hAnsi="Cambria Math"/>
            <w:i w:val="0"/>
          </w:rPr>
          <m:t xml:space="preserve"> − 1 ,  </m:t>
        </m:r>
        <m:r>
          <m:rPr>
            <m:sty m:val="i"/>
          </m:rPr>
          <w:rPr>
            <w:rFonts w:ascii="Cambria Math" w:hAnsi="Cambria Math"/>
            <w:i/>
          </w:rPr>
          <m:t xml:space="preserve">ψα</m:t>
        </m:r>
        <m:r>
          <m:rPr>
            <m:nor/>
          </m:rPr>
          <w:rPr>
            <w:rFonts w:ascii="Cambria Math" w:hAnsi="Cambria Math"/>
            <w:i w:val="0"/>
          </w:rPr>
          <m:t xml:space="preserve"> ] , [ </m:t>
        </m:r>
        <m:r>
          <m:rPr>
            <m:sty m:val="i"/>
          </m:rPr>
          <w:rPr>
            <w:rFonts w:ascii="Cambria Math" w:hAnsi="Cambria Math"/>
            <w:i/>
          </w:rPr>
          <m:t xml:space="preserve">q</m:t>
        </m:r>
        <m:r>
          <m:rPr>
            <m:nor/>
          </m:rPr>
          <w:rPr>
            <w:rFonts w:ascii="Cambria Math" w:hAnsi="Cambria Math"/>
            <w:i w:val="0"/>
          </w:rPr>
          <m:t xml:space="preserve"> ,  </m:t>
        </m:r>
        <m:r>
          <m:rPr>
            <m:sty m:val="i"/>
          </m:rPr>
          <w:rPr>
            <w:rFonts w:ascii="Cambria Math" w:hAnsi="Cambria Math"/>
            <w:i/>
          </w:rPr>
          <m:t xml:space="preserve">ψα</m:t>
        </m:r>
        <m:r>
          <m:rPr>
            <m:nor/>
          </m:rPr>
          <w:rPr>
            <w:rFonts w:ascii="Cambria Math" w:hAnsi="Cambria Math"/>
            <w:i w:val="0"/>
          </w:rPr>
          <m:t xml:space="preserve"> − 1 − 1/</m:t>
        </m:r>
        <m:r>
          <m:rPr>
            <m:sty m:val="i"/>
          </m:rPr>
          <w:rPr>
            <w:rFonts w:ascii="Cambria Math" w:hAnsi="Cambria Math"/>
            <w:i/>
          </w:rPr>
          <m:t xml:space="preserve">ϑ</m:t>
        </m:r>
        <m:r>
          <m:rPr>
            <m:nor/>
          </m:rPr>
          <w:rPr>
            <w:rFonts w:ascii="Cambria Math" w:hAnsi="Cambria Math"/>
            <w:i w:val="0"/>
          </w:rPr>
          <m:t xml:space="preserve"> ]]</m:t>
        </m:r>
      </m:oMath>
      <w:r>
        <w:tab/>
        <w:t xml:space="preserve">(18)</w:t>
      </w:r>
    </w:p>
    <w:p>
      <w:pPr>
        <w:keepNext w:val="0"/>
        <w:jc w:val="both"/>
      </w:pPr>
      <w:r>
        <w:t xml:space="preserve">with trace </w:t>
      </w:r>
      <w:r>
        <w:rPr>
          <w:i/>
        </w:rPr>
        <w:t>q</w:t>
      </w:r>
      <w:r>
        <w:t xml:space="preserve"> + </w:t>
      </w:r>
      <w:r>
        <w:rPr>
          <w:i/>
        </w:rPr>
        <w:t>ψα</w:t>
      </w:r>
      <w:r>
        <w:t xml:space="preserve"> − 2 − 1/</w:t>
      </w:r>
      <w:r>
        <w:rPr>
          <w:i/>
        </w:rPr>
        <w:t>ϑ</w:t>
      </w:r>
      <w:r>
        <w:t xml:space="preserve"> and determinant (1 + 1/</w:t>
      </w:r>
      <w:r>
        <w:rPr>
          <w:i/>
        </w:rPr>
        <w:t>ϑ</w:t>
      </w:r>
      <w:r>
        <w:t xml:space="preserve">)(1 − </w:t>
      </w:r>
      <w:r>
        <w:rPr>
          <w:i/>
        </w:rPr>
        <w:t>q</w:t>
      </w:r>
      <w:r>
        <w:t xml:space="preserve">) − </w:t>
      </w:r>
      <w:r>
        <w:rPr>
          <w:i/>
        </w:rPr>
        <w:t>ψα</w:t>
      </w:r>
      <w:r>
        <w:t xml:space="preserve">. At a fold the determinant vanishes and the other eigenvalue equals the trace. The lower fold has a negative trace for all cases below, so it is a saddle-node at which the lower (unreacted) state disappears. The upper fold has a negative trace, and is a saddle-node at which a stable upper state disappears, only for </w:t>
      </w:r>
      <w:r>
        <w:rPr>
          <w:i/>
        </w:rPr>
        <w:t>ψ</w:t>
      </w:r>
      <w:r>
        <w:t xml:space="preserve"> below about 7.01 (</w:t>
      </w:r>
      <w:r>
        <w:rPr>
          <w:i/>
        </w:rPr>
        <w:t>ϑ</w:t>
      </w:r>
      <w:r>
        <w:t xml:space="preserve"> = 1); above it the trace at the upper fold is positive (+6.50 for </w:t>
      </w:r>
      <w:r>
        <w:rPr>
          <w:i/>
        </w:rPr>
        <w:t>ψ</w:t>
      </w:r>
      <w:r>
        <w:t xml:space="preserve"> = 20: </w:t>
      </w:r>
      <w:r>
        <w:rPr>
          <w:i/>
        </w:rPr>
        <w:t>α</w:t>
      </w:r>
      <w:r>
        <w:t xml:space="preserve"> = 0.8499, ln </w:t>
      </w:r>
      <w:r>
        <w:rPr>
          <w:i/>
        </w:rPr>
        <w:t>D</w:t>
      </w:r>
      <w:r>
        <w:t xml:space="preserve"> = -5.658), so the upper branch near its fold is unstable and becomes stable only above a larger conversion </w:t>
      </w:r>
      <w:r>
        <w:rPr>
          <w:i/>
        </w:rPr>
        <w:t>α</w:t>
      </w:r>
      <w:r>
        <w:rPr>
          <w:vertAlign w:val="subscript"/>
        </w:rPr>
        <w:t>H</w:t>
      </w:r>
      <w:r>
        <w:t xml:space="preserve"> at which the trace vanishes (</w:t>
      </w:r>
      <w:r>
        <w:rPr>
          <w:i/>
        </w:rPr>
        <w:t>α</w:t>
      </w:r>
      <w:r>
        <w:rPr>
          <w:vertAlign w:val="subscript"/>
        </w:rPr>
        <w:t>H</w:t>
      </w:r>
      <w:r>
        <w:t xml:space="preserve"> = 0.9158, ln </w:t>
      </w:r>
      <w:r>
        <w:rPr>
          <w:i/>
        </w:rPr>
        <w:t>D</w:t>
      </w:r>
      <w:r>
        <w:rPr>
          <w:vertAlign w:val="subscript"/>
        </w:rPr>
        <w:t>H</w:t>
      </w:r>
      <w:r>
        <w:t xml:space="preserve"> = -5.450 for </w:t>
      </w:r>
      <w:r>
        <w:rPr>
          <w:i/>
        </w:rPr>
        <w:t>ψ</w:t>
      </w:r>
      <w:r>
        <w:t xml:space="preserve"> = 20, with determinant 14.3 &gt; 0, a Hopf-type point). The window of two stable states is therefore (ln </w:t>
      </w:r>
      <w:r>
        <w:rPr>
          <w:i/>
        </w:rPr>
        <w:t>D</w:t>
      </w:r>
      <w:r>
        <w:rPr>
          <w:vertAlign w:val="subscript"/>
        </w:rPr>
        <w:t>e</w:t>
      </w:r>
      <w:r>
        <w:rPr>
          <w:vertAlign w:val="subscript"/>
        </w:rPr>
        <w:t>x</w:t>
      </w:r>
      <w:r>
        <w:rPr>
          <w:vertAlign w:val="subscript"/>
        </w:rPr>
        <w:t>t</w:t>
      </w:r>
      <w:r>
        <w:t xml:space="preserve">, ln </w:t>
      </w:r>
      <w:r>
        <w:rPr>
          <w:i/>
        </w:rPr>
        <w:t>D</w:t>
      </w:r>
      <w:r>
        <w:rPr>
          <w:vertAlign w:val="subscript"/>
        </w:rPr>
        <w:t>i</w:t>
      </w:r>
      <w:r>
        <w:rPr>
          <w:vertAlign w:val="subscript"/>
        </w:rPr>
        <w:t>g</w:t>
      </w:r>
      <w:r>
        <w:rPr>
          <w:vertAlign w:val="subscript"/>
        </w:rPr>
        <w:t>n</w:t>
      </w:r>
      <w:r>
        <w:t xml:space="preserve">), where ln </w:t>
      </w:r>
      <w:r>
        <w:rPr>
          <w:i/>
        </w:rPr>
        <w:t>D</w:t>
      </w:r>
      <w:r>
        <w:rPr>
          <w:vertAlign w:val="subscript"/>
        </w:rPr>
        <w:t>i</w:t>
      </w:r>
      <w:r>
        <w:rPr>
          <w:vertAlign w:val="subscript"/>
        </w:rPr>
        <w:t>g</w:t>
      </w:r>
      <w:r>
        <w:rPr>
          <w:vertAlign w:val="subscript"/>
        </w:rPr>
        <w:t>n</w:t>
      </w:r>
      <w:r>
        <w:t xml:space="preserve"> is the lower (ignition) fold and ln </w:t>
      </w:r>
      <w:r>
        <w:rPr>
          <w:i/>
        </w:rPr>
        <w:t>D</w:t>
      </w:r>
      <w:r>
        <w:rPr>
          <w:vertAlign w:val="subscript"/>
        </w:rPr>
        <w:t>e</w:t>
      </w:r>
      <w:r>
        <w:rPr>
          <w:vertAlign w:val="subscript"/>
        </w:rPr>
        <w:t>x</w:t>
      </w:r>
      <w:r>
        <w:rPr>
          <w:vertAlign w:val="subscript"/>
        </w:rPr>
        <w:t>t</w:t>
      </w:r>
      <w:r>
        <w:t xml:space="preserve"> is the upper fold when its trace is negative and ln </w:t>
      </w:r>
      <w:r>
        <w:rPr>
          <w:i/>
        </w:rPr>
        <w:t>D</w:t>
      </w:r>
      <w:r>
        <w:rPr>
          <w:vertAlign w:val="subscript"/>
        </w:rPr>
        <w:t>H</w:t>
      </w:r>
      <w:r>
        <w:t xml:space="preserve"> otherwise (Table 7).</w:t>
      </w:r>
    </w:p>
    <w:p>
      <w:pPr>
        <w:keepNext/>
        <w:spacing w:line="276" w:lineRule="auto" w:after="200"/>
      </w:pPr>
      <w:r>
        <w:rPr>
          <w:b/>
          <w:sz w:val="19"/>
        </w:rPr>
        <w:t>Table 7</w:t>
      </w:r>
      <w:r>
        <w:rPr>
          <w:sz w:val="19"/>
        </w:rPr>
        <w:t xml:space="preserve"> Steady states and stability of the continuous-flow reactor (</w:t>
      </w:r>
      <w:r>
        <w:rPr>
          <w:i/>
          <w:sz w:val="19"/>
        </w:rPr>
        <w:t>ϑ</w:t>
      </w:r>
      <w:r>
        <w:rPr>
          <w:sz w:val="19"/>
        </w:rPr>
        <w:t xml:space="preserve"> = 1, </w:t>
      </w:r>
      <w:r>
        <w:rPr>
          <w:i/>
          <w:sz w:val="19"/>
        </w:rPr>
        <w:t>n</w:t>
      </w:r>
      <w:r>
        <w:rPr>
          <w:sz w:val="19"/>
        </w:rPr>
        <w:t xml:space="preserve"> = 3/2, </w:t>
      </w:r>
      <w:r>
        <w:rPr>
          <w:i/>
          <w:sz w:val="19"/>
        </w:rPr>
        <w:t>ε</w:t>
      </w:r>
      <w:r>
        <w:rPr>
          <w:sz w:val="19"/>
        </w:rPr>
        <w:t xml:space="preserve"> = 3 × 10</w:t>
      </w:r>
      <w:r>
        <w:rPr>
          <w:sz w:val="19"/>
          <w:vertAlign w:val="superscript"/>
        </w:rPr>
        <w:t>−</w:t>
      </w:r>
      <w:r>
        <w:rPr>
          <w:sz w:val="19"/>
          <w:vertAlign w:val="superscript"/>
        </w:rPr>
        <w:t>3</w:t>
      </w:r>
      <w:r>
        <w:rPr>
          <w:sz w:val="19"/>
        </w:rPr>
        <w:t xml:space="preserve">, </w:t>
      </w:r>
      <w:r>
        <w:rPr>
          <w:i/>
          <w:sz w:val="19"/>
        </w:rPr>
        <w:t>κ</w:t>
      </w:r>
      <w:r>
        <w:rPr>
          <w:sz w:val="19"/>
          <w:vertAlign w:val="subscript"/>
        </w:rPr>
        <w:t>c</w:t>
      </w:r>
      <w:r>
        <w:rPr>
          <w:sz w:val="19"/>
        </w:rPr>
        <w:t xml:space="preserve"> = 1.894). The upper branch is stable from the upper fold ('fold') or from the Hopf-type point ('hopf'); the attractor loop area is ∫(</w:t>
      </w:r>
      <w:r>
        <w:rPr>
          <w:i/>
          <w:sz w:val="19"/>
        </w:rPr>
        <w:t>α</w:t>
      </w:r>
      <w:r>
        <w:rPr>
          <w:sz w:val="19"/>
          <w:vertAlign w:val="subscript"/>
        </w:rPr>
        <w:t>u</w:t>
      </w:r>
      <w:r>
        <w:rPr>
          <w:sz w:val="19"/>
          <w:vertAlign w:val="subscript"/>
        </w:rPr>
        <w:t>p</w:t>
      </w:r>
      <w:r>
        <w:rPr>
          <w:sz w:val="19"/>
          <w:vertAlign w:val="subscript"/>
        </w:rPr>
        <w:t>p</w:t>
      </w:r>
      <w:r>
        <w:rPr>
          <w:sz w:val="19"/>
          <w:vertAlign w:val="subscript"/>
        </w:rPr>
        <w:t>e</w:t>
      </w:r>
      <w:r>
        <w:rPr>
          <w:sz w:val="19"/>
          <w:vertAlign w:val="subscript"/>
        </w:rPr>
        <w:t>r</w:t>
      </w:r>
      <w:r>
        <w:rPr>
          <w:sz w:val="19"/>
        </w:rPr>
        <w:t xml:space="preserve"> − </w:t>
      </w:r>
      <w:r>
        <w:rPr>
          <w:i/>
          <w:sz w:val="19"/>
        </w:rPr>
        <w:t>α</w:t>
      </w:r>
      <w:r>
        <w:rPr>
          <w:sz w:val="19"/>
          <w:vertAlign w:val="subscript"/>
        </w:rPr>
        <w:t>l</w:t>
      </w:r>
      <w:r>
        <w:rPr>
          <w:sz w:val="19"/>
          <w:vertAlign w:val="subscript"/>
        </w:rPr>
        <w:t>o</w:t>
      </w:r>
      <w:r>
        <w:rPr>
          <w:sz w:val="19"/>
          <w:vertAlign w:val="subscript"/>
        </w:rPr>
        <w:t>w</w:t>
      </w:r>
      <w:r>
        <w:rPr>
          <w:sz w:val="19"/>
          <w:vertAlign w:val="subscript"/>
        </w:rPr>
        <w:t>e</w:t>
      </w:r>
      <w:r>
        <w:rPr>
          <w:sz w:val="19"/>
          <w:vertAlign w:val="subscript"/>
        </w:rPr>
        <w:t>r</w:t>
      </w:r>
      <w:r>
        <w:rPr>
          <w:sz w:val="19"/>
        </w:rPr>
        <w:t xml:space="preserve">) </w:t>
      </w:r>
      <w:r>
        <w:rPr>
          <w:i/>
          <w:sz w:val="19"/>
        </w:rPr>
        <w:t>d</w:t>
      </w:r>
      <w:r>
        <w:rPr>
          <w:sz w:val="19"/>
        </w:rPr>
        <w:t xml:space="preserve"> ln </w:t>
      </w:r>
      <w:r>
        <w:rPr>
          <w:i/>
          <w:sz w:val="19"/>
        </w:rPr>
        <w:t>D</w:t>
      </w:r>
      <w:r>
        <w:rPr>
          <w:sz w:val="19"/>
        </w:rPr>
        <w:t xml:space="preserve"> over the window of two stable states, and the fold-to-fold area uses the full multiplicity interval.</w:t>
      </w:r>
    </w:p>
    <w:tbl>
      <w:tblPr>
        <w:tblStyle w:val="TableGrid"/>
        <w:tblW w:type="auto" w:w="0"/>
        <w:jc w:val="center"/>
        <w:tblLayout w:type="fixed"/>
        <w:tblLook w:firstColumn="1" w:firstRow="1" w:lastColumn="0" w:lastRow="0" w:noHBand="0" w:noVBand="1" w:val="04A0"/>
      </w:tblPr>
      <w:tblGrid>
        <w:gridCol w:w="576"/>
        <w:gridCol w:w="720"/>
        <w:gridCol w:w="1296"/>
        <w:gridCol w:w="1152"/>
        <w:gridCol w:w="1584"/>
        <w:gridCol w:w="1872"/>
        <w:gridCol w:w="1296"/>
        <w:gridCol w:w="1296"/>
      </w:tblGrid>
      <w:tr>
        <w:trPr>
          <w:tblHeader w:val="true"/>
        </w:trPr>
        <w:tc>
          <w:tcPr>
            <w:tcW w:type="dxa" w:w="576"/>
          </w:tcPr>
          <w:p>
            <w:pPr>
              <w:spacing w:line="240" w:lineRule="auto" w:after="20"/>
            </w:pPr>
            <w:r/>
            <w:r>
              <w:rPr>
                <w:b/>
                <w:i/>
                <w:sz w:val="15"/>
              </w:rPr>
              <w:t>ψ</w:t>
            </w:r>
          </w:p>
        </w:tc>
        <w:tc>
          <w:tcPr>
            <w:tcW w:type="dxa" w:w="720"/>
          </w:tcPr>
          <w:p>
            <w:pPr>
              <w:spacing w:line="240" w:lineRule="auto" w:after="20"/>
            </w:pPr>
            <w:r/>
            <w:r>
              <w:rPr>
                <w:b/>
                <w:i/>
                <w:sz w:val="15"/>
              </w:rPr>
              <w:t>κ</w:t>
            </w:r>
          </w:p>
        </w:tc>
        <w:tc>
          <w:tcPr>
            <w:tcW w:type="dxa" w:w="1296"/>
          </w:tcPr>
          <w:p>
            <w:pPr>
              <w:spacing w:line="240" w:lineRule="auto" w:after="20"/>
            </w:pPr>
            <w:r/>
            <w:r>
              <w:rPr>
                <w:b/>
                <w:sz w:val="15"/>
              </w:rPr>
              <w:t>Equilibria</w:t>
            </w:r>
          </w:p>
        </w:tc>
        <w:tc>
          <w:tcPr>
            <w:tcW w:type="dxa" w:w="1152"/>
          </w:tcPr>
          <w:p>
            <w:pPr>
              <w:spacing w:line="240" w:lineRule="auto" w:after="20"/>
            </w:pPr>
            <w:r/>
            <w:r>
              <w:rPr>
                <w:b/>
                <w:sz w:val="15"/>
              </w:rPr>
              <w:t>Trace at upper fold</w:t>
            </w:r>
          </w:p>
        </w:tc>
        <w:tc>
          <w:tcPr>
            <w:tcW w:type="dxa" w:w="1584"/>
          </w:tcPr>
          <w:p>
            <w:pPr>
              <w:spacing w:line="240" w:lineRule="auto" w:after="20"/>
            </w:pPr>
            <w:r/>
            <w:r>
              <w:rPr>
                <w:b/>
                <w:sz w:val="15"/>
              </w:rPr>
              <w:t>Upper stable from</w:t>
            </w:r>
          </w:p>
        </w:tc>
        <w:tc>
          <w:tcPr>
            <w:tcW w:type="dxa" w:w="1872"/>
          </w:tcPr>
          <w:p>
            <w:pPr>
              <w:spacing w:line="240" w:lineRule="auto" w:after="20"/>
            </w:pPr>
            <w:r/>
            <w:r>
              <w:rPr>
                <w:b/>
                <w:sz w:val="15"/>
              </w:rPr>
              <w:t xml:space="preserve">ln </w:t>
            </w:r>
            <w:r>
              <w:rPr>
                <w:b/>
                <w:i/>
                <w:sz w:val="15"/>
              </w:rPr>
              <w:t>D</w:t>
            </w:r>
            <w:r>
              <w:rPr>
                <w:b/>
                <w:sz w:val="15"/>
              </w:rPr>
              <w:t xml:space="preserve"> window of two stable states</w:t>
            </w:r>
          </w:p>
        </w:tc>
        <w:tc>
          <w:tcPr>
            <w:tcW w:type="dxa" w:w="1296"/>
          </w:tcPr>
          <w:p>
            <w:pPr>
              <w:spacing w:line="240" w:lineRule="auto" w:after="20"/>
            </w:pPr>
            <w:r/>
            <w:r>
              <w:rPr>
                <w:b/>
                <w:sz w:val="15"/>
              </w:rPr>
              <w:t>Attractor loop area</w:t>
            </w:r>
          </w:p>
        </w:tc>
        <w:tc>
          <w:tcPr>
            <w:tcW w:type="dxa" w:w="1296"/>
          </w:tcPr>
          <w:p>
            <w:pPr>
              <w:spacing w:line="240" w:lineRule="auto" w:after="20"/>
            </w:pPr>
            <w:r/>
            <w:r>
              <w:rPr>
                <w:b/>
                <w:sz w:val="15"/>
              </w:rPr>
              <w:t>Fold-to-fold area</w:t>
            </w:r>
          </w:p>
        </w:tc>
      </w:tr>
      <w:tr>
        <w:tc>
          <w:tcPr>
            <w:tcW w:type="dxa" w:w="576"/>
          </w:tcPr>
          <w:p>
            <w:pPr>
              <w:spacing w:line="240" w:lineRule="auto" w:after="20"/>
            </w:pPr>
            <w:r/>
            <w:r>
              <w:rPr>
                <w:sz w:val="15"/>
              </w:rPr>
              <w:t>3.0</w:t>
            </w:r>
          </w:p>
        </w:tc>
        <w:tc>
          <w:tcPr>
            <w:tcW w:type="dxa" w:w="720"/>
          </w:tcPr>
          <w:p>
            <w:pPr>
              <w:spacing w:line="240" w:lineRule="auto" w:after="20"/>
            </w:pPr>
            <w:r/>
            <w:r>
              <w:rPr>
                <w:sz w:val="15"/>
              </w:rPr>
              <w:t>1.50</w:t>
            </w:r>
          </w:p>
        </w:tc>
        <w:tc>
          <w:tcPr>
            <w:tcW w:type="dxa" w:w="1296"/>
          </w:tcPr>
          <w:p>
            <w:pPr>
              <w:spacing w:line="240" w:lineRule="auto" w:after="20"/>
            </w:pPr>
            <w:r/>
            <w:r>
              <w:rPr>
                <w:sz w:val="15"/>
              </w:rPr>
              <w:t>1 (</w:t>
            </w:r>
            <w:r>
              <w:rPr>
                <w:i/>
                <w:sz w:val="15"/>
              </w:rPr>
              <w:t>κ</w:t>
            </w:r>
            <w:r>
              <w:rPr>
                <w:sz w:val="15"/>
              </w:rPr>
              <w:t xml:space="preserve"> &lt; </w:t>
            </w:r>
            <w:r>
              <w:rPr>
                <w:i/>
                <w:sz w:val="15"/>
              </w:rPr>
              <w:t>κ</w:t>
            </w:r>
            <w:r>
              <w:rPr>
                <w:sz w:val="15"/>
                <w:vertAlign w:val="subscript"/>
              </w:rPr>
              <w:t>c</w:t>
            </w:r>
            <w:r>
              <w:rPr>
                <w:sz w:val="15"/>
              </w:rPr>
              <w:t>)</w:t>
            </w:r>
          </w:p>
        </w:tc>
        <w:tc>
          <w:tcPr>
            <w:tcW w:type="dxa" w:w="1152"/>
          </w:tcPr>
          <w:p>
            <w:pPr>
              <w:spacing w:line="240" w:lineRule="auto" w:after="20"/>
            </w:pPr>
            <w:r/>
            <w:r>
              <w:rPr>
                <w:sz w:val="15"/>
              </w:rPr>
              <w:t>–</w:t>
            </w:r>
          </w:p>
        </w:tc>
        <w:tc>
          <w:tcPr>
            <w:tcW w:type="dxa" w:w="1584"/>
          </w:tcPr>
          <w:p>
            <w:pPr>
              <w:spacing w:line="240" w:lineRule="auto" w:after="20"/>
            </w:pPr>
            <w:r/>
            <w:r>
              <w:rPr>
                <w:sz w:val="15"/>
              </w:rPr>
              <w:t>–</w:t>
            </w:r>
          </w:p>
        </w:tc>
        <w:tc>
          <w:tcPr>
            <w:tcW w:type="dxa" w:w="1872"/>
          </w:tcPr>
          <w:p>
            <w:pPr>
              <w:spacing w:line="240" w:lineRule="auto" w:after="20"/>
            </w:pPr>
            <w:r/>
            <w:r>
              <w:rPr>
                <w:sz w:val="15"/>
              </w:rPr>
              <w:t>–</w:t>
            </w:r>
          </w:p>
        </w:tc>
        <w:tc>
          <w:tcPr>
            <w:tcW w:type="dxa" w:w="1296"/>
          </w:tcPr>
          <w:p>
            <w:pPr>
              <w:spacing w:line="240" w:lineRule="auto" w:after="20"/>
            </w:pPr>
            <w:r/>
            <w:r>
              <w:rPr>
                <w:sz w:val="15"/>
              </w:rPr>
              <w:t>0</w:t>
            </w:r>
          </w:p>
        </w:tc>
        <w:tc>
          <w:tcPr>
            <w:tcW w:type="dxa" w:w="1296"/>
          </w:tcPr>
          <w:p>
            <w:pPr>
              <w:spacing w:line="240" w:lineRule="auto" w:after="20"/>
            </w:pPr>
            <w:r/>
            <w:r>
              <w:rPr>
                <w:sz w:val="15"/>
              </w:rPr>
              <w:t>0</w:t>
            </w:r>
          </w:p>
        </w:tc>
      </w:tr>
      <w:tr>
        <w:tc>
          <w:tcPr>
            <w:tcW w:type="dxa" w:w="576"/>
          </w:tcPr>
          <w:p>
            <w:pPr>
              <w:spacing w:line="240" w:lineRule="auto" w:after="20"/>
            </w:pPr>
            <w:r/>
            <w:r>
              <w:rPr>
                <w:sz w:val="15"/>
              </w:rPr>
              <w:t>4.5</w:t>
            </w:r>
          </w:p>
        </w:tc>
        <w:tc>
          <w:tcPr>
            <w:tcW w:type="dxa" w:w="720"/>
          </w:tcPr>
          <w:p>
            <w:pPr>
              <w:spacing w:line="240" w:lineRule="auto" w:after="20"/>
            </w:pPr>
            <w:r/>
            <w:r>
              <w:rPr>
                <w:sz w:val="15"/>
              </w:rPr>
              <w:t>2.25</w:t>
            </w:r>
          </w:p>
        </w:tc>
        <w:tc>
          <w:tcPr>
            <w:tcW w:type="dxa" w:w="1296"/>
          </w:tcPr>
          <w:p>
            <w:pPr>
              <w:spacing w:line="240" w:lineRule="auto" w:after="20"/>
            </w:pPr>
            <w:r/>
            <w:r>
              <w:rPr>
                <w:sz w:val="15"/>
              </w:rPr>
              <w:t>3</w:t>
            </w:r>
          </w:p>
        </w:tc>
        <w:tc>
          <w:tcPr>
            <w:tcW w:type="dxa" w:w="1152"/>
          </w:tcPr>
          <w:p>
            <w:pPr>
              <w:spacing w:line="240" w:lineRule="auto" w:after="20"/>
            </w:pPr>
            <w:r/>
            <w:r>
              <w:rPr>
                <w:sz w:val="15"/>
              </w:rPr>
              <w:t>-1.27</w:t>
            </w:r>
          </w:p>
        </w:tc>
        <w:tc>
          <w:tcPr>
            <w:tcW w:type="dxa" w:w="1584"/>
          </w:tcPr>
          <w:p>
            <w:pPr>
              <w:spacing w:line="240" w:lineRule="auto" w:after="20"/>
            </w:pPr>
            <w:r/>
            <w:r>
              <w:rPr>
                <w:sz w:val="15"/>
              </w:rPr>
              <w:t xml:space="preserve">fold, </w:t>
            </w:r>
            <w:r>
              <w:rPr>
                <w:i/>
                <w:sz w:val="15"/>
              </w:rPr>
              <w:t>α</w:t>
            </w:r>
            <w:r>
              <w:rPr>
                <w:sz w:val="15"/>
              </w:rPr>
              <w:t xml:space="preserve"> = 0.325</w:t>
            </w:r>
          </w:p>
        </w:tc>
        <w:tc>
          <w:tcPr>
            <w:tcW w:type="dxa" w:w="1872"/>
          </w:tcPr>
          <w:p>
            <w:pPr>
              <w:spacing w:line="240" w:lineRule="auto" w:after="20"/>
            </w:pPr>
            <w:r/>
            <w:r>
              <w:rPr>
                <w:sz w:val="15"/>
              </w:rPr>
              <w:t>-0.151 to -0.091</w:t>
            </w:r>
          </w:p>
        </w:tc>
        <w:tc>
          <w:tcPr>
            <w:tcW w:type="dxa" w:w="1296"/>
          </w:tcPr>
          <w:p>
            <w:pPr>
              <w:spacing w:line="240" w:lineRule="auto" w:after="20"/>
            </w:pPr>
            <w:r/>
            <w:r>
              <w:rPr>
                <w:sz w:val="15"/>
              </w:rPr>
              <w:t>0.025</w:t>
            </w:r>
          </w:p>
        </w:tc>
        <w:tc>
          <w:tcPr>
            <w:tcW w:type="dxa" w:w="1296"/>
          </w:tcPr>
          <w:p>
            <w:pPr>
              <w:spacing w:line="240" w:lineRule="auto" w:after="20"/>
            </w:pPr>
            <w:r/>
            <w:r>
              <w:rPr>
                <w:sz w:val="15"/>
              </w:rPr>
              <w:t>0.025</w:t>
            </w:r>
          </w:p>
        </w:tc>
      </w:tr>
      <w:tr>
        <w:tc>
          <w:tcPr>
            <w:tcW w:type="dxa" w:w="576"/>
          </w:tcPr>
          <w:p>
            <w:pPr>
              <w:spacing w:line="240" w:lineRule="auto" w:after="20"/>
            </w:pPr>
            <w:r/>
            <w:r>
              <w:rPr>
                <w:sz w:val="15"/>
              </w:rPr>
              <w:t>6.0</w:t>
            </w:r>
          </w:p>
        </w:tc>
        <w:tc>
          <w:tcPr>
            <w:tcW w:type="dxa" w:w="720"/>
          </w:tcPr>
          <w:p>
            <w:pPr>
              <w:spacing w:line="240" w:lineRule="auto" w:after="20"/>
            </w:pPr>
            <w:r/>
            <w:r>
              <w:rPr>
                <w:sz w:val="15"/>
              </w:rPr>
              <w:t>3.00</w:t>
            </w:r>
          </w:p>
        </w:tc>
        <w:tc>
          <w:tcPr>
            <w:tcW w:type="dxa" w:w="1296"/>
          </w:tcPr>
          <w:p>
            <w:pPr>
              <w:spacing w:line="240" w:lineRule="auto" w:after="20"/>
            </w:pPr>
            <w:r/>
            <w:r>
              <w:rPr>
                <w:sz w:val="15"/>
              </w:rPr>
              <w:t>3</w:t>
            </w:r>
          </w:p>
        </w:tc>
        <w:tc>
          <w:tcPr>
            <w:tcW w:type="dxa" w:w="1152"/>
          </w:tcPr>
          <w:p>
            <w:pPr>
              <w:spacing w:line="240" w:lineRule="auto" w:after="20"/>
            </w:pPr>
            <w:r/>
            <w:r>
              <w:rPr>
                <w:sz w:val="15"/>
              </w:rPr>
              <w:t>-0.51</w:t>
            </w:r>
          </w:p>
        </w:tc>
        <w:tc>
          <w:tcPr>
            <w:tcW w:type="dxa" w:w="1584"/>
          </w:tcPr>
          <w:p>
            <w:pPr>
              <w:spacing w:line="240" w:lineRule="auto" w:after="20"/>
            </w:pPr>
            <w:r/>
            <w:r>
              <w:rPr>
                <w:sz w:val="15"/>
              </w:rPr>
              <w:t xml:space="preserve">fold, </w:t>
            </w:r>
            <w:r>
              <w:rPr>
                <w:i/>
                <w:sz w:val="15"/>
              </w:rPr>
              <w:t>α</w:t>
            </w:r>
            <w:r>
              <w:rPr>
                <w:sz w:val="15"/>
              </w:rPr>
              <w:t xml:space="preserve"> = 0.498</w:t>
            </w:r>
          </w:p>
        </w:tc>
        <w:tc>
          <w:tcPr>
            <w:tcW w:type="dxa" w:w="1872"/>
          </w:tcPr>
          <w:p>
            <w:pPr>
              <w:spacing w:line="240" w:lineRule="auto" w:after="20"/>
            </w:pPr>
            <w:r/>
            <w:r>
              <w:rPr>
                <w:sz w:val="15"/>
              </w:rPr>
              <w:t>-0.466 to -0.130</w:t>
            </w:r>
          </w:p>
        </w:tc>
        <w:tc>
          <w:tcPr>
            <w:tcW w:type="dxa" w:w="1296"/>
          </w:tcPr>
          <w:p>
            <w:pPr>
              <w:spacing w:line="240" w:lineRule="auto" w:after="20"/>
            </w:pPr>
            <w:r/>
            <w:r>
              <w:rPr>
                <w:sz w:val="15"/>
              </w:rPr>
              <w:t>0.227</w:t>
            </w:r>
          </w:p>
        </w:tc>
        <w:tc>
          <w:tcPr>
            <w:tcW w:type="dxa" w:w="1296"/>
          </w:tcPr>
          <w:p>
            <w:pPr>
              <w:spacing w:line="240" w:lineRule="auto" w:after="20"/>
            </w:pPr>
            <w:r/>
            <w:r>
              <w:rPr>
                <w:sz w:val="15"/>
              </w:rPr>
              <w:t>0.227</w:t>
            </w:r>
          </w:p>
        </w:tc>
      </w:tr>
      <w:tr>
        <w:tc>
          <w:tcPr>
            <w:tcW w:type="dxa" w:w="576"/>
          </w:tcPr>
          <w:p>
            <w:pPr>
              <w:spacing w:line="240" w:lineRule="auto" w:after="20"/>
            </w:pPr>
            <w:r/>
            <w:r>
              <w:rPr>
                <w:sz w:val="15"/>
              </w:rPr>
              <w:t>8.0</w:t>
            </w:r>
          </w:p>
        </w:tc>
        <w:tc>
          <w:tcPr>
            <w:tcW w:type="dxa" w:w="720"/>
          </w:tcPr>
          <w:p>
            <w:pPr>
              <w:spacing w:line="240" w:lineRule="auto" w:after="20"/>
            </w:pPr>
            <w:r/>
            <w:r>
              <w:rPr>
                <w:sz w:val="15"/>
              </w:rPr>
              <w:t>4.00</w:t>
            </w:r>
          </w:p>
        </w:tc>
        <w:tc>
          <w:tcPr>
            <w:tcW w:type="dxa" w:w="1296"/>
          </w:tcPr>
          <w:p>
            <w:pPr>
              <w:spacing w:line="240" w:lineRule="auto" w:after="20"/>
            </w:pPr>
            <w:r/>
            <w:r>
              <w:rPr>
                <w:sz w:val="15"/>
              </w:rPr>
              <w:t>3</w:t>
            </w:r>
          </w:p>
        </w:tc>
        <w:tc>
          <w:tcPr>
            <w:tcW w:type="dxa" w:w="1152"/>
          </w:tcPr>
          <w:p>
            <w:pPr>
              <w:spacing w:line="240" w:lineRule="auto" w:after="20"/>
            </w:pPr>
            <w:r/>
            <w:r>
              <w:rPr>
                <w:sz w:val="15"/>
              </w:rPr>
              <w:t>+0.50</w:t>
            </w:r>
          </w:p>
        </w:tc>
        <w:tc>
          <w:tcPr>
            <w:tcW w:type="dxa" w:w="1584"/>
          </w:tcPr>
          <w:p>
            <w:pPr>
              <w:spacing w:line="240" w:lineRule="auto" w:after="20"/>
            </w:pPr>
            <w:r/>
            <w:r>
              <w:rPr>
                <w:sz w:val="15"/>
              </w:rPr>
              <w:t xml:space="preserve">hopf, </w:t>
            </w:r>
            <w:r>
              <w:rPr>
                <w:i/>
                <w:sz w:val="15"/>
              </w:rPr>
              <w:t>α</w:t>
            </w:r>
            <w:r>
              <w:rPr>
                <w:sz w:val="15"/>
              </w:rPr>
              <w:t xml:space="preserve"> = 0.710</w:t>
            </w:r>
          </w:p>
        </w:tc>
        <w:tc>
          <w:tcPr>
            <w:tcW w:type="dxa" w:w="1872"/>
          </w:tcPr>
          <w:p>
            <w:pPr>
              <w:spacing w:line="240" w:lineRule="auto" w:after="20"/>
            </w:pPr>
            <w:r/>
            <w:r>
              <w:rPr>
                <w:sz w:val="15"/>
              </w:rPr>
              <w:t>-0.987 to -0.169</w:t>
            </w:r>
          </w:p>
        </w:tc>
        <w:tc>
          <w:tcPr>
            <w:tcW w:type="dxa" w:w="1296"/>
          </w:tcPr>
          <w:p>
            <w:pPr>
              <w:spacing w:line="240" w:lineRule="auto" w:after="20"/>
            </w:pPr>
            <w:r/>
            <w:r>
              <w:rPr>
                <w:sz w:val="15"/>
              </w:rPr>
              <w:t>0.678</w:t>
            </w:r>
          </w:p>
        </w:tc>
        <w:tc>
          <w:tcPr>
            <w:tcW w:type="dxa" w:w="1296"/>
          </w:tcPr>
          <w:p>
            <w:pPr>
              <w:spacing w:line="240" w:lineRule="auto" w:after="20"/>
            </w:pPr>
            <w:r/>
            <w:r>
              <w:rPr>
                <w:sz w:val="15"/>
              </w:rPr>
              <w:t>0.710</w:t>
            </w:r>
          </w:p>
        </w:tc>
      </w:tr>
      <w:tr>
        <w:tc>
          <w:tcPr>
            <w:tcW w:type="dxa" w:w="576"/>
          </w:tcPr>
          <w:p>
            <w:pPr>
              <w:spacing w:line="240" w:lineRule="auto" w:after="20"/>
            </w:pPr>
            <w:r/>
            <w:r>
              <w:rPr>
                <w:sz w:val="15"/>
              </w:rPr>
              <w:t>12.0</w:t>
            </w:r>
          </w:p>
        </w:tc>
        <w:tc>
          <w:tcPr>
            <w:tcW w:type="dxa" w:w="720"/>
          </w:tcPr>
          <w:p>
            <w:pPr>
              <w:spacing w:line="240" w:lineRule="auto" w:after="20"/>
            </w:pPr>
            <w:r/>
            <w:r>
              <w:rPr>
                <w:sz w:val="15"/>
              </w:rPr>
              <w:t>6.00</w:t>
            </w:r>
          </w:p>
        </w:tc>
        <w:tc>
          <w:tcPr>
            <w:tcW w:type="dxa" w:w="1296"/>
          </w:tcPr>
          <w:p>
            <w:pPr>
              <w:spacing w:line="240" w:lineRule="auto" w:after="20"/>
            </w:pPr>
            <w:r/>
            <w:r>
              <w:rPr>
                <w:sz w:val="15"/>
              </w:rPr>
              <w:t>3</w:t>
            </w:r>
          </w:p>
        </w:tc>
        <w:tc>
          <w:tcPr>
            <w:tcW w:type="dxa" w:w="1152"/>
          </w:tcPr>
          <w:p>
            <w:pPr>
              <w:spacing w:line="240" w:lineRule="auto" w:after="20"/>
            </w:pPr>
            <w:r/>
            <w:r>
              <w:rPr>
                <w:sz w:val="15"/>
              </w:rPr>
              <w:t>+2.50</w:t>
            </w:r>
          </w:p>
        </w:tc>
        <w:tc>
          <w:tcPr>
            <w:tcW w:type="dxa" w:w="1584"/>
          </w:tcPr>
          <w:p>
            <w:pPr>
              <w:spacing w:line="240" w:lineRule="auto" w:after="20"/>
            </w:pPr>
            <w:r/>
            <w:r>
              <w:rPr>
                <w:sz w:val="15"/>
              </w:rPr>
              <w:t xml:space="preserve">hopf, </w:t>
            </w:r>
            <w:r>
              <w:rPr>
                <w:i/>
                <w:sz w:val="15"/>
              </w:rPr>
              <w:t>α</w:t>
            </w:r>
            <w:r>
              <w:rPr>
                <w:sz w:val="15"/>
              </w:rPr>
              <w:t xml:space="preserve"> = 0.844</w:t>
            </w:r>
          </w:p>
        </w:tc>
        <w:tc>
          <w:tcPr>
            <w:tcW w:type="dxa" w:w="1872"/>
          </w:tcPr>
          <w:p>
            <w:pPr>
              <w:spacing w:line="240" w:lineRule="auto" w:after="20"/>
            </w:pPr>
            <w:r/>
            <w:r>
              <w:rPr>
                <w:sz w:val="15"/>
              </w:rPr>
              <w:t>-2.280 to -0.225</w:t>
            </w:r>
          </w:p>
        </w:tc>
        <w:tc>
          <w:tcPr>
            <w:tcW w:type="dxa" w:w="1296"/>
          </w:tcPr>
          <w:p>
            <w:pPr>
              <w:spacing w:line="240" w:lineRule="auto" w:after="20"/>
            </w:pPr>
            <w:r/>
            <w:r>
              <w:rPr>
                <w:sz w:val="15"/>
              </w:rPr>
              <w:t>1.921</w:t>
            </w:r>
          </w:p>
        </w:tc>
        <w:tc>
          <w:tcPr>
            <w:tcW w:type="dxa" w:w="1296"/>
          </w:tcPr>
          <w:p>
            <w:pPr>
              <w:spacing w:line="240" w:lineRule="auto" w:after="20"/>
            </w:pPr>
            <w:r/>
            <w:r>
              <w:rPr>
                <w:sz w:val="15"/>
              </w:rPr>
              <w:t>2.040</w:t>
            </w:r>
          </w:p>
        </w:tc>
      </w:tr>
      <w:tr>
        <w:tc>
          <w:tcPr>
            <w:tcW w:type="dxa" w:w="576"/>
          </w:tcPr>
          <w:p>
            <w:pPr>
              <w:spacing w:line="240" w:lineRule="auto" w:after="20"/>
            </w:pPr>
            <w:r/>
            <w:r>
              <w:rPr>
                <w:sz w:val="15"/>
              </w:rPr>
              <w:t>20.0</w:t>
            </w:r>
          </w:p>
        </w:tc>
        <w:tc>
          <w:tcPr>
            <w:tcW w:type="dxa" w:w="720"/>
          </w:tcPr>
          <w:p>
            <w:pPr>
              <w:spacing w:line="240" w:lineRule="auto" w:after="20"/>
            </w:pPr>
            <w:r/>
            <w:r>
              <w:rPr>
                <w:sz w:val="15"/>
              </w:rPr>
              <w:t>10.00</w:t>
            </w:r>
          </w:p>
        </w:tc>
        <w:tc>
          <w:tcPr>
            <w:tcW w:type="dxa" w:w="1296"/>
          </w:tcPr>
          <w:p>
            <w:pPr>
              <w:spacing w:line="240" w:lineRule="auto" w:after="20"/>
            </w:pPr>
            <w:r/>
            <w:r>
              <w:rPr>
                <w:sz w:val="15"/>
              </w:rPr>
              <w:t>3</w:t>
            </w:r>
          </w:p>
        </w:tc>
        <w:tc>
          <w:tcPr>
            <w:tcW w:type="dxa" w:w="1152"/>
          </w:tcPr>
          <w:p>
            <w:pPr>
              <w:spacing w:line="240" w:lineRule="auto" w:after="20"/>
            </w:pPr>
            <w:r/>
            <w:r>
              <w:rPr>
                <w:sz w:val="15"/>
              </w:rPr>
              <w:t>+6.50</w:t>
            </w:r>
          </w:p>
        </w:tc>
        <w:tc>
          <w:tcPr>
            <w:tcW w:type="dxa" w:w="1584"/>
          </w:tcPr>
          <w:p>
            <w:pPr>
              <w:spacing w:line="240" w:lineRule="auto" w:after="20"/>
            </w:pPr>
            <w:r/>
            <w:r>
              <w:rPr>
                <w:sz w:val="15"/>
              </w:rPr>
              <w:t xml:space="preserve">hopf, </w:t>
            </w:r>
            <w:r>
              <w:rPr>
                <w:i/>
                <w:sz w:val="15"/>
              </w:rPr>
              <w:t>α</w:t>
            </w:r>
            <w:r>
              <w:rPr>
                <w:sz w:val="15"/>
              </w:rPr>
              <w:t xml:space="preserve"> = 0.916</w:t>
            </w:r>
          </w:p>
        </w:tc>
        <w:tc>
          <w:tcPr>
            <w:tcW w:type="dxa" w:w="1872"/>
          </w:tcPr>
          <w:p>
            <w:pPr>
              <w:spacing w:line="240" w:lineRule="auto" w:after="20"/>
            </w:pPr>
            <w:r/>
            <w:r>
              <w:rPr>
                <w:sz w:val="15"/>
              </w:rPr>
              <w:t>-5.450 to -0.307</w:t>
            </w:r>
          </w:p>
        </w:tc>
        <w:tc>
          <w:tcPr>
            <w:tcW w:type="dxa" w:w="1296"/>
          </w:tcPr>
          <w:p>
            <w:pPr>
              <w:spacing w:line="240" w:lineRule="auto" w:after="20"/>
            </w:pPr>
            <w:r/>
            <w:r>
              <w:rPr>
                <w:sz w:val="15"/>
              </w:rPr>
              <w:t>5.047</w:t>
            </w:r>
          </w:p>
        </w:tc>
        <w:tc>
          <w:tcPr>
            <w:tcW w:type="dxa" w:w="1296"/>
          </w:tcPr>
          <w:p>
            <w:pPr>
              <w:spacing w:line="240" w:lineRule="auto" w:after="20"/>
            </w:pPr>
            <w:r/>
            <w:r>
              <w:rPr>
                <w:sz w:val="15"/>
              </w:rPr>
              <w:t>5.236</w:t>
            </w:r>
          </w:p>
        </w:tc>
      </w:tr>
    </w:tbl>
    <w:p>
      <w:pPr>
        <w:spacing w:after="40"/>
      </w:pPr>
    </w:p>
    <w:p>
      <w:pPr>
        <w:keepNext w:val="0"/>
        <w:jc w:val="both"/>
      </w:pPr>
      <w:r>
        <w:rPr>
          <w:i/>
        </w:rPr>
        <w:t>Verification by attractors.</w:t>
      </w:r>
      <w:r>
        <w:t xml:space="preserve"> We integrated Eq. (16) at fixed </w:t>
      </w:r>
      <w:r>
        <w:rPr>
          <w:i/>
        </w:rPr>
        <w:t>D</w:t>
      </w:r>
      <w:r>
        <w:t xml:space="preserve"> from the unreacted state, from a mid-conversion state and from small perturbations of the upper steady state, for nine values of ln </w:t>
      </w:r>
      <w:r>
        <w:rPr>
          <w:i/>
        </w:rPr>
        <w:t>D</w:t>
      </w:r>
      <w:r>
        <w:t xml:space="preserve"> around each window (</w:t>
      </w:r>
      <w:r>
        <w:rPr>
          <w:i/>
        </w:rPr>
        <w:t>ψ</w:t>
      </w:r>
      <w:r>
        <w:t xml:space="preserve"> = 4.5 and 20). Two distinct long-time states were found for exactly those values of ln </w:t>
      </w:r>
      <w:r>
        <w:rPr>
          <w:i/>
        </w:rPr>
        <w:t>D</w:t>
      </w:r>
      <w:r>
        <w:t xml:space="preserve"> that lie inside the window of Table 7 (</w:t>
      </w:r>
      <w:r>
        <w:rPr>
          <w:i/>
        </w:rPr>
        <w:t>ψ</w:t>
      </w:r>
      <w:r>
        <w:t xml:space="preserve"> = 4.5: 3 of 3 inside values show two attractors; </w:t>
      </w:r>
      <w:r>
        <w:rPr>
          <w:i/>
        </w:rPr>
        <w:t>ψ</w:t>
      </w:r>
      <w:r>
        <w:t xml:space="preserve"> = 20: 5 of 5), one state outside it, and no sustained oscillation anywhere (largest late-time oscillation amplitude in </w:t>
      </w:r>
      <w:r>
        <w:rPr>
          <w:i/>
        </w:rPr>
        <w:t>α</w:t>
      </w:r>
      <w:r>
        <w:t xml:space="preserve">: 2.8e-16). At </w:t>
      </w:r>
      <w:r>
        <w:rPr>
          <w:i/>
        </w:rPr>
        <w:t>ψ</w:t>
      </w:r>
      <w:r>
        <w:t xml:space="preserve"> = 20 the perturbed upper state collapses to the lower state for ln </w:t>
      </w:r>
      <w:r>
        <w:rPr>
          <w:i/>
        </w:rPr>
        <w:t>D</w:t>
      </w:r>
      <w:r>
        <w:t xml:space="preserve"> just below ln </w:t>
      </w:r>
      <w:r>
        <w:rPr>
          <w:i/>
        </w:rPr>
        <w:t>D</w:t>
      </w:r>
      <w:r>
        <w:rPr>
          <w:vertAlign w:val="subscript"/>
        </w:rPr>
        <w:t>H</w:t>
      </w:r>
      <w:r>
        <w:t>, so the loss of stability at the Hopf-type point is, in these simulations, abrupt (subcritical-like), not a transition to a stable cycle; the unstable cycle, if any, was not computed.</w:t>
      </w:r>
    </w:p>
    <w:p>
      <w:pPr>
        <w:keepNext w:val="0"/>
        <w:jc w:val="both"/>
      </w:pPr>
      <w:r>
        <w:rPr>
          <w:i/>
        </w:rPr>
        <w:t>The Hopf-type point (ψ = 20).</w:t>
      </w:r>
      <w:r>
        <w:t xml:space="preserve"> At </w:t>
      </w:r>
      <w:r>
        <w:rPr>
          <w:i/>
        </w:rPr>
        <w:t>α</w:t>
      </w:r>
      <w:r>
        <w:rPr>
          <w:vertAlign w:val="subscript"/>
        </w:rPr>
        <w:t>H</w:t>
      </w:r>
      <w:r>
        <w:t xml:space="preserve"> = 0.9158 (ln </w:t>
      </w:r>
      <w:r>
        <w:rPr>
          <w:i/>
        </w:rPr>
        <w:t>D</w:t>
      </w:r>
      <w:r>
        <w:rPr>
          <w:vertAlign w:val="subscript"/>
        </w:rPr>
        <w:t>H</w:t>
      </w:r>
      <w:r>
        <w:t xml:space="preserve"> = -5.450) the Jacobian has a purely imaginary pair ±</w:t>
      </w:r>
      <w:r>
        <w:rPr>
          <w:i/>
        </w:rPr>
        <w:t>iω</w:t>
      </w:r>
      <w:r>
        <w:t xml:space="preserve"> with </w:t>
      </w:r>
      <w:r>
        <w:rPr>
          <w:i/>
        </w:rPr>
        <w:t>ω</w:t>
      </w:r>
      <w:r>
        <w:t xml:space="preserve"> = 3.784 (period 1.66 residence times) and determinant 14.3 &gt; 0; the real part of the pair has nonzero speed, dRe </w:t>
      </w:r>
      <w:r>
        <w:rPr>
          <w:i/>
        </w:rPr>
        <w:t>λ</w:t>
      </w:r>
      <w:r>
        <w:t>/</w:t>
      </w:r>
      <w:r>
        <w:rPr>
          <w:i/>
        </w:rPr>
        <w:t>d</w:t>
      </w:r>
      <w:r>
        <w:t xml:space="preserve"> ln </w:t>
      </w:r>
      <w:r>
        <w:rPr>
          <w:i/>
        </w:rPr>
        <w:t>D</w:t>
      </w:r>
      <w:r>
        <w:t xml:space="preserve"> = -12.25 (transversality), so the eigenvalues cross the imaginary axis. Along the upper branch the eigenvalues are real at the fold (0 and 6.50), an unstable node, then an unstable focus, then a stable focus above ln </w:t>
      </w:r>
      <w:r>
        <w:rPr>
          <w:i/>
        </w:rPr>
        <w:t>D</w:t>
      </w:r>
      <w:r>
        <w:rPr>
          <w:vertAlign w:val="subscript"/>
        </w:rPr>
        <w:t>H</w:t>
      </w:r>
      <w:r>
        <w:t xml:space="preserve"> and a stable node far above. Whether the bifurcation is sub- or supercritical was probed numerically by the radius of the basin of the upper state: the smallest perturbation in </w:t>
      </w:r>
      <w:r>
        <w:rPr>
          <w:i/>
        </w:rPr>
        <w:t>θ</w:t>
      </w:r>
      <w:r>
        <w:t xml:space="preserve"> that sends the trajectory to the lower state is 0.0045 at ln </w:t>
      </w:r>
      <w:r>
        <w:rPr>
          <w:i/>
        </w:rPr>
        <w:t>D</w:t>
      </w:r>
      <w:r>
        <w:t xml:space="preserve"> = ln </w:t>
      </w:r>
      <w:r>
        <w:rPr>
          <w:i/>
        </w:rPr>
        <w:t>D</w:t>
      </w:r>
      <w:r>
        <w:rPr>
          <w:vertAlign w:val="subscript"/>
        </w:rPr>
        <w:t>H</w:t>
      </w:r>
      <w:r>
        <w:t xml:space="preserve"> + 0.01 and varies as the distance from the Hopf-type point to the power 0.57 (prefactor 0.045), so an unstable cycle that shrinks onto the equilibrium at ln </w:t>
      </w:r>
      <w:r>
        <w:rPr>
          <w:i/>
        </w:rPr>
        <w:t>D</w:t>
      </w:r>
      <w:r>
        <w:rPr>
          <w:vertAlign w:val="subscript"/>
        </w:rPr>
        <w:t>H</w:t>
      </w:r>
      <w:r>
        <w:t xml:space="preserve"> is indicated, i.e. a subcritical bifurcation. This is numerical evidence, not a proof: the first Lyapunov coefficient and the cycle itself were not computed.</w:t>
      </w:r>
    </w:p>
    <w:p>
      <w:pPr>
        <w:keepNext w:val="0"/>
        <w:jc w:val="both"/>
      </w:pPr>
      <w:r>
        <w:rPr>
          <w:i/>
        </w:rPr>
        <w:t>Sweeps.</w:t>
      </w:r>
      <w:r>
        <w:t xml:space="preserve"> We swept ln </w:t>
      </w:r>
      <w:r>
        <w:rPr>
          <w:i/>
        </w:rPr>
        <w:t>D</w:t>
      </w:r>
      <w:r>
        <w:t xml:space="preserve"> up and down at rates </w:t>
      </w:r>
      <w:r>
        <w:rPr>
          <w:i/>
        </w:rPr>
        <w:t>v</w:t>
      </w:r>
      <w:r>
        <w:t xml:space="preserve"> = 0.02, 0.01, 0.005, 0.002, 0.001, 0.0005 and 0.0002 per residence time (protocol in Appendix A: start at the unreacted state, dwell 20 residence times at each turning point, sweep bounds ±2 in ln </w:t>
      </w:r>
      <w:r>
        <w:rPr>
          <w:i/>
        </w:rPr>
        <w:t>D</w:t>
      </w:r>
      <w:r>
        <w:t xml:space="preserve"> beyond the window). For </w:t>
      </w:r>
      <w:r>
        <w:rPr>
          <w:i/>
        </w:rPr>
        <w:t>ψ</w:t>
      </w:r>
      <w:r>
        <w:t xml:space="preserve"> = 4.5, where the upper fold is a saddle-node, the sweep area decreases toward the attractor loop area (0.025; integrated 0.037 at </w:t>
      </w:r>
      <w:r>
        <w:rPr>
          <w:i/>
        </w:rPr>
        <w:t>v</w:t>
      </w:r>
      <w:r>
        <w:t xml:space="preserve"> = 0.0002; fit </w:t>
      </w:r>
      <w:r>
        <w:rPr>
          <w:i/>
        </w:rPr>
        <w:t>A</w:t>
      </w:r>
      <w:r>
        <w:rPr>
          <w:vertAlign w:val="subscript"/>
        </w:rPr>
        <w:t>0</w:t>
      </w:r>
      <w:r>
        <w:t xml:space="preserve"> = 0.025, </w:t>
      </w:r>
      <w:r>
        <w:rPr>
          <w:i/>
        </w:rPr>
        <w:t>p</w:t>
      </w:r>
      <w:r>
        <w:t xml:space="preserve"> = 0.63). For </w:t>
      </w:r>
      <w:r>
        <w:rPr>
          <w:i/>
        </w:rPr>
        <w:t>ψ</w:t>
      </w:r>
      <w:r>
        <w:t xml:space="preserve"> = 3 (</w:t>
      </w:r>
      <w:r>
        <w:rPr>
          <w:i/>
        </w:rPr>
        <w:t>κ</w:t>
      </w:r>
      <w:r>
        <w:t xml:space="preserve"> = 1.50 &lt; </w:t>
      </w:r>
      <w:r>
        <w:rPr>
          <w:i/>
        </w:rPr>
        <w:t>κ</w:t>
      </w:r>
      <w:r>
        <w:rPr>
          <w:vertAlign w:val="subscript"/>
        </w:rPr>
        <w:t>c</w:t>
      </w:r>
      <w:r>
        <w:t xml:space="preserve">) there is no static loop and the area at </w:t>
      </w:r>
      <w:r>
        <w:rPr>
          <w:i/>
        </w:rPr>
        <w:t>v</w:t>
      </w:r>
      <w:r>
        <w:t xml:space="preserve"> = 0.0002 is 0.002. A finite-rate loop exists below the threshold as well, so only convergence with </w:t>
      </w:r>
      <w:r>
        <w:rPr>
          <w:i/>
        </w:rPr>
        <w:t>v</w:t>
      </w:r>
      <w:r>
        <w:t xml:space="preserve"> distinguishes a static loop from a rate-dependent one (Table 8). </w:t>
      </w:r>
      <w:r>
        <w:rPr>
          <w:b/>
        </w:rPr>
        <w:t xml:space="preserve">For </w:t>
      </w:r>
      <w:r>
        <w:rPr>
          <w:b/>
          <w:i/>
        </w:rPr>
        <w:t>ψ</w:t>
      </w:r>
      <w:r>
        <w:rPr>
          <w:b/>
        </w:rPr>
        <w:t xml:space="preserve"> = 8 and 20, where the upper branch loses stability at the Hopf-type point, convergence of the sweep area to the attractor loop area is not confirmed.</w:t>
      </w:r>
      <w:r>
        <w:t xml:space="preserve"> For </w:t>
      </w:r>
      <w:r>
        <w:rPr>
          <w:i/>
        </w:rPr>
        <w:t>ψ</w:t>
      </w:r>
      <w:r>
        <w:t xml:space="preserve"> = 20 the integrated area falls from 5.427 to 5.144 over the rates and a power-law fit A(</w:t>
      </w:r>
      <w:r>
        <w:rPr>
          <w:i/>
        </w:rPr>
        <w:t>v</w:t>
      </w:r>
      <w:r>
        <w:t xml:space="preserve">) = </w:t>
      </w:r>
      <w:r>
        <w:rPr>
          <w:i/>
        </w:rPr>
        <w:t>A</w:t>
      </w:r>
      <w:r>
        <w:rPr>
          <w:vertAlign w:val="subscript"/>
        </w:rPr>
        <w:t>0</w:t>
      </w:r>
      <w:r>
        <w:t xml:space="preserve"> + cv</w:t>
      </w:r>
      <w:r>
        <w:rPr>
          <w:vertAlign w:val="superscript"/>
        </w:rPr>
        <w:t>p</w:t>
      </w:r>
      <w:r>
        <w:t xml:space="preserve"> gives </w:t>
      </w:r>
      <w:r>
        <w:rPr>
          <w:i/>
        </w:rPr>
        <w:t>A</w:t>
      </w:r>
      <w:r>
        <w:rPr>
          <w:vertAlign w:val="subscript"/>
        </w:rPr>
        <w:t>0</w:t>
      </w:r>
      <w:r>
        <w:t xml:space="preserve"> = 5.119 (</w:t>
      </w:r>
      <w:r>
        <w:rPr>
          <w:i/>
        </w:rPr>
        <w:t>p</w:t>
      </w:r>
      <w:r>
        <w:t xml:space="preserve"> = 0.62), above the attractor loop area 5.047; for </w:t>
      </w:r>
      <w:r>
        <w:rPr>
          <w:i/>
        </w:rPr>
        <w:t>ψ</w:t>
      </w:r>
      <w:r>
        <w:t xml:space="preserve"> = 8 the attractor loop area is 0.678, the integrated area at </w:t>
      </w:r>
      <w:r>
        <w:rPr>
          <w:i/>
        </w:rPr>
        <w:t>v</w:t>
      </w:r>
      <w:r>
        <w:t xml:space="preserve"> = 0.0002 is 0.722 and the fit gives 0.706.</w:t>
      </w:r>
    </w:p>
    <w:p>
      <w:pPr>
        <w:keepNext w:val="0"/>
        <w:jc w:val="both"/>
      </w:pPr>
      <w:r>
        <w:rPr>
          <w:i/>
        </w:rPr>
        <w:t>Why the Hopf-type case is not simply a slow limit.</w:t>
      </w:r>
      <w:r>
        <w:t xml:space="preserve"> The downward switching of the sweeps at </w:t>
      </w:r>
      <w:r>
        <w:rPr>
          <w:i/>
        </w:rPr>
        <w:t>ψ</w:t>
      </w:r>
      <w:r>
        <w:t xml:space="preserve"> = 20 occurs between the Hopf-type point (ln </w:t>
      </w:r>
      <w:r>
        <w:rPr>
          <w:i/>
        </w:rPr>
        <w:t>D</w:t>
      </w:r>
      <w:r>
        <w:t xml:space="preserve"> = -5.45) and the upper fold (-5.66), where the unstable upper equilibrium still exists. In a noise-free system a trajectory that follows the stable branch would stay on the unstable equilibrium until it disappears at the fold, and the loop would extend to the fold-to-fold area (5.236); in a real or numerical system, perturbations of size set by the noise grow and the exit occurs earlier. The simulations show exactly this dependence: at </w:t>
      </w:r>
      <w:r>
        <w:rPr>
          <w:i/>
        </w:rPr>
        <w:t>v</w:t>
      </w:r>
      <w:r>
        <w:t xml:space="preserve"> = 0.001 the switching value of ln </w:t>
      </w:r>
      <w:r>
        <w:rPr>
          <w:i/>
        </w:rPr>
        <w:t>D</w:t>
      </w:r>
      <w:r>
        <w:t xml:space="preserve"> is -5.575, -5.533, -5.502 and -5.508 for integrator tolerances (rtol) of 10</w:t>
      </w:r>
      <w:r>
        <w:rPr>
          <w:vertAlign w:val="superscript"/>
        </w:rPr>
        <w:t>−</w:t>
      </w:r>
      <w:r>
        <w:rPr>
          <w:vertAlign w:val="superscript"/>
        </w:rPr>
        <w:t>6</w:t>
      </w:r>
      <w:r>
        <w:t>, 10</w:t>
      </w:r>
      <w:r>
        <w:rPr>
          <w:vertAlign w:val="superscript"/>
        </w:rPr>
        <w:t>−</w:t>
      </w:r>
      <w:r>
        <w:rPr>
          <w:vertAlign w:val="superscript"/>
        </w:rPr>
        <w:t>8</w:t>
      </w:r>
      <w:r>
        <w:t>, 10</w:t>
      </w:r>
      <w:r>
        <w:rPr>
          <w:vertAlign w:val="superscript"/>
        </w:rPr>
        <w:t>−</w:t>
      </w:r>
      <w:r>
        <w:rPr>
          <w:vertAlign w:val="superscript"/>
        </w:rPr>
        <w:t>1</w:t>
      </w:r>
      <w:r>
        <w:rPr>
          <w:vertAlign w:val="superscript"/>
        </w:rPr>
        <w:t>0</w:t>
      </w:r>
      <w:r>
        <w:t xml:space="preserve"> and 10</w:t>
      </w:r>
      <w:r>
        <w:rPr>
          <w:vertAlign w:val="superscript"/>
        </w:rPr>
        <w:t>−</w:t>
      </w:r>
      <w:r>
        <w:rPr>
          <w:vertAlign w:val="superscript"/>
        </w:rPr>
        <w:t>1</w:t>
      </w:r>
      <w:r>
        <w:rPr>
          <w:vertAlign w:val="superscript"/>
        </w:rPr>
        <w:t>2</w:t>
      </w:r>
      <w:r>
        <w:t xml:space="preserve">, with areas 5.200, 5.162, 5.134 and 5.140, while it does not depend on the turning point of the sweep (ln </w:t>
      </w:r>
      <w:r>
        <w:rPr>
          <w:i/>
        </w:rPr>
        <w:t>D</w:t>
      </w:r>
      <w:r>
        <w:rPr>
          <w:vertAlign w:val="subscript"/>
        </w:rPr>
        <w:t>i</w:t>
      </w:r>
      <w:r>
        <w:rPr>
          <w:vertAlign w:val="subscript"/>
        </w:rPr>
        <w:t>g</w:t>
      </w:r>
      <w:r>
        <w:rPr>
          <w:vertAlign w:val="subscript"/>
        </w:rPr>
        <w:t>n</w:t>
      </w:r>
      <w:r>
        <w:t xml:space="preserve"> + 0.5 to + 3: -5.539 to -5.533). At the slower rates (</w:t>
      </w:r>
      <w:r>
        <w:rPr>
          <w:i/>
        </w:rPr>
        <w:t>v</w:t>
      </w:r>
      <w:r>
        <w:t xml:space="preserve"> ≤ 0.002) the sweep loop through a Hopf-type point lies between the attractor loop area (5.047) and the fold-to-fold area (5.236), and its limit at vanishing sweep rate depends on the noise level; whether it tends to the attractor loop area as the noise-limited exit approaches the Hopf-type point requires a slow-passage analysis that is not attempted here.</w:t>
      </w:r>
    </w:p>
    <w:p>
      <w:pPr>
        <w:keepNext/>
        <w:spacing w:line="276" w:lineRule="auto" w:after="200"/>
      </w:pPr>
      <w:r>
        <w:rPr>
          <w:b/>
          <w:sz w:val="19"/>
        </w:rPr>
        <w:t>Table 8</w:t>
      </w:r>
      <w:r>
        <w:rPr>
          <w:sz w:val="19"/>
        </w:rPr>
        <w:t xml:space="preserve"> Integrated hysteresis-loop area ∮</w:t>
      </w:r>
      <w:r>
        <w:rPr>
          <w:i/>
          <w:sz w:val="19"/>
        </w:rPr>
        <w:t>α</w:t>
      </w:r>
      <w:r>
        <w:rPr>
          <w:sz w:val="19"/>
        </w:rPr>
        <w:t xml:space="preserve"> </w:t>
      </w:r>
      <w:r>
        <w:rPr>
          <w:i/>
          <w:sz w:val="19"/>
        </w:rPr>
        <w:t>d</w:t>
      </w:r>
      <w:r>
        <w:rPr>
          <w:sz w:val="19"/>
        </w:rPr>
        <w:t xml:space="preserve"> ln </w:t>
      </w:r>
      <w:r>
        <w:rPr>
          <w:i/>
          <w:sz w:val="19"/>
        </w:rPr>
        <w:t>D</w:t>
      </w:r>
      <w:r>
        <w:rPr>
          <w:sz w:val="19"/>
        </w:rPr>
        <w:t xml:space="preserve"> of the sweeps at seven sweep rates </w:t>
      </w:r>
      <w:r>
        <w:rPr>
          <w:i/>
          <w:sz w:val="19"/>
        </w:rPr>
        <w:t>v</w:t>
      </w:r>
      <w:r>
        <w:rPr>
          <w:sz w:val="19"/>
        </w:rPr>
        <w:t xml:space="preserve"> (per residence time), with the attractor loop area, the fold-to-fold multiplicity area and a power-law fit A(</w:t>
      </w:r>
      <w:r>
        <w:rPr>
          <w:i/>
          <w:sz w:val="19"/>
        </w:rPr>
        <w:t>v</w:t>
      </w:r>
      <w:r>
        <w:rPr>
          <w:sz w:val="19"/>
        </w:rPr>
        <w:t xml:space="preserve">) = </w:t>
      </w:r>
      <w:r>
        <w:rPr>
          <w:i/>
          <w:sz w:val="19"/>
        </w:rPr>
        <w:t>A</w:t>
      </w:r>
      <w:r>
        <w:rPr>
          <w:sz w:val="19"/>
          <w:vertAlign w:val="subscript"/>
        </w:rPr>
        <w:t>0</w:t>
      </w:r>
      <w:r>
        <w:rPr>
          <w:sz w:val="19"/>
        </w:rPr>
        <w:t xml:space="preserve"> + cv</w:t>
      </w:r>
      <w:r>
        <w:rPr>
          <w:sz w:val="19"/>
          <w:vertAlign w:val="superscript"/>
        </w:rPr>
        <w:t>p</w:t>
      </w:r>
      <w:r>
        <w:rPr>
          <w:sz w:val="19"/>
        </w:rPr>
        <w:t xml:space="preserve"> (</w:t>
      </w:r>
      <w:r>
        <w:rPr>
          <w:i/>
          <w:sz w:val="19"/>
        </w:rPr>
        <w:t>ϑ</w:t>
      </w:r>
      <w:r>
        <w:rPr>
          <w:sz w:val="19"/>
        </w:rPr>
        <w:t xml:space="preserve"> = 1, </w:t>
      </w:r>
      <w:r>
        <w:rPr>
          <w:i/>
          <w:sz w:val="19"/>
        </w:rPr>
        <w:t>n</w:t>
      </w:r>
      <w:r>
        <w:rPr>
          <w:sz w:val="19"/>
        </w:rPr>
        <w:t xml:space="preserve"> = 3/2, </w:t>
      </w:r>
      <w:r>
        <w:rPr>
          <w:i/>
          <w:sz w:val="19"/>
        </w:rPr>
        <w:t>ε</w:t>
      </w:r>
      <w:r>
        <w:rPr>
          <w:sz w:val="19"/>
        </w:rPr>
        <w:t xml:space="preserve"> = 3 × 10</w:t>
      </w:r>
      <w:r>
        <w:rPr>
          <w:sz w:val="19"/>
          <w:vertAlign w:val="superscript"/>
        </w:rPr>
        <w:t>−</w:t>
      </w:r>
      <w:r>
        <w:rPr>
          <w:sz w:val="19"/>
          <w:vertAlign w:val="superscript"/>
        </w:rPr>
        <w:t>3</w:t>
      </w:r>
      <w:r>
        <w:rPr>
          <w:sz w:val="19"/>
        </w:rPr>
        <w:t>).</w:t>
      </w:r>
    </w:p>
    <w:tbl>
      <w:tblPr>
        <w:tblStyle w:val="TableGrid"/>
        <w:tblW w:type="auto" w:w="0"/>
        <w:jc w:val="center"/>
        <w:tblLayout w:type="fixed"/>
        <w:tblLook w:firstColumn="1" w:firstRow="1" w:lastColumn="0" w:lastRow="0" w:noHBand="0" w:noVBand="1" w:val="04A0"/>
      </w:tblPr>
      <w:tblGrid>
        <w:gridCol w:w="504"/>
        <w:gridCol w:w="648"/>
        <w:gridCol w:w="1008"/>
        <w:gridCol w:w="1008"/>
        <w:gridCol w:w="720"/>
        <w:gridCol w:w="720"/>
        <w:gridCol w:w="720"/>
        <w:gridCol w:w="720"/>
        <w:gridCol w:w="720"/>
        <w:gridCol w:w="720"/>
        <w:gridCol w:w="720"/>
        <w:gridCol w:w="1224"/>
      </w:tblGrid>
      <w:tr>
        <w:trPr>
          <w:tblHeader w:val="true"/>
        </w:trPr>
        <w:tc>
          <w:tcPr>
            <w:tcW w:type="dxa" w:w="504"/>
          </w:tcPr>
          <w:p>
            <w:pPr>
              <w:spacing w:line="240" w:lineRule="auto" w:after="20"/>
            </w:pPr>
            <w:r/>
            <w:r>
              <w:rPr>
                <w:b/>
                <w:i/>
                <w:sz w:val="14"/>
              </w:rPr>
              <w:t>ψ</w:t>
            </w:r>
          </w:p>
        </w:tc>
        <w:tc>
          <w:tcPr>
            <w:tcW w:type="dxa" w:w="648"/>
          </w:tcPr>
          <w:p>
            <w:pPr>
              <w:spacing w:line="240" w:lineRule="auto" w:after="20"/>
            </w:pPr>
            <w:r/>
            <w:r>
              <w:rPr>
                <w:b/>
                <w:i/>
                <w:sz w:val="14"/>
              </w:rPr>
              <w:t>κ</w:t>
            </w:r>
          </w:p>
        </w:tc>
        <w:tc>
          <w:tcPr>
            <w:tcW w:type="dxa" w:w="1008"/>
          </w:tcPr>
          <w:p>
            <w:pPr>
              <w:spacing w:line="240" w:lineRule="auto" w:after="20"/>
            </w:pPr>
            <w:r/>
            <w:r>
              <w:rPr>
                <w:b/>
                <w:sz w:val="14"/>
              </w:rPr>
              <w:t>Attractor loop area</w:t>
            </w:r>
          </w:p>
        </w:tc>
        <w:tc>
          <w:tcPr>
            <w:tcW w:type="dxa" w:w="1008"/>
          </w:tcPr>
          <w:p>
            <w:pPr>
              <w:spacing w:line="240" w:lineRule="auto" w:after="20"/>
            </w:pPr>
            <w:r/>
            <w:r>
              <w:rPr>
                <w:b/>
                <w:sz w:val="14"/>
              </w:rPr>
              <w:t>Fold-to-fold area</w:t>
            </w:r>
          </w:p>
        </w:tc>
        <w:tc>
          <w:tcPr>
            <w:tcW w:type="dxa" w:w="720"/>
          </w:tcPr>
          <w:p>
            <w:pPr>
              <w:spacing w:line="240" w:lineRule="auto" w:after="20"/>
            </w:pPr>
            <w:r/>
            <w:r>
              <w:rPr>
                <w:b/>
                <w:i/>
                <w:sz w:val="14"/>
              </w:rPr>
              <w:t>v</w:t>
            </w:r>
            <w:r>
              <w:rPr>
                <w:b/>
                <w:sz w:val="14"/>
              </w:rPr>
              <w:t xml:space="preserve"> = 0.02</w:t>
            </w:r>
          </w:p>
        </w:tc>
        <w:tc>
          <w:tcPr>
            <w:tcW w:type="dxa" w:w="720"/>
          </w:tcPr>
          <w:p>
            <w:pPr>
              <w:spacing w:line="240" w:lineRule="auto" w:after="20"/>
            </w:pPr>
            <w:r/>
            <w:r>
              <w:rPr>
                <w:b/>
                <w:sz w:val="14"/>
              </w:rPr>
              <w:t>0.01</w:t>
            </w:r>
          </w:p>
        </w:tc>
        <w:tc>
          <w:tcPr>
            <w:tcW w:type="dxa" w:w="720"/>
          </w:tcPr>
          <w:p>
            <w:pPr>
              <w:spacing w:line="240" w:lineRule="auto" w:after="20"/>
            </w:pPr>
            <w:r/>
            <w:r>
              <w:rPr>
                <w:b/>
                <w:sz w:val="14"/>
              </w:rPr>
              <w:t>0.005</w:t>
            </w:r>
          </w:p>
        </w:tc>
        <w:tc>
          <w:tcPr>
            <w:tcW w:type="dxa" w:w="720"/>
          </w:tcPr>
          <w:p>
            <w:pPr>
              <w:spacing w:line="240" w:lineRule="auto" w:after="20"/>
            </w:pPr>
            <w:r/>
            <w:r>
              <w:rPr>
                <w:b/>
                <w:sz w:val="14"/>
              </w:rPr>
              <w:t>0.002</w:t>
            </w:r>
          </w:p>
        </w:tc>
        <w:tc>
          <w:tcPr>
            <w:tcW w:type="dxa" w:w="720"/>
          </w:tcPr>
          <w:p>
            <w:pPr>
              <w:spacing w:line="240" w:lineRule="auto" w:after="20"/>
            </w:pPr>
            <w:r/>
            <w:r>
              <w:rPr>
                <w:b/>
                <w:sz w:val="14"/>
              </w:rPr>
              <w:t>0.001</w:t>
            </w:r>
          </w:p>
        </w:tc>
        <w:tc>
          <w:tcPr>
            <w:tcW w:type="dxa" w:w="720"/>
          </w:tcPr>
          <w:p>
            <w:pPr>
              <w:spacing w:line="240" w:lineRule="auto" w:after="20"/>
            </w:pPr>
            <w:r/>
            <w:r>
              <w:rPr>
                <w:b/>
                <w:sz w:val="14"/>
              </w:rPr>
              <w:t>0.0005</w:t>
            </w:r>
          </w:p>
        </w:tc>
        <w:tc>
          <w:tcPr>
            <w:tcW w:type="dxa" w:w="720"/>
          </w:tcPr>
          <w:p>
            <w:pPr>
              <w:spacing w:line="240" w:lineRule="auto" w:after="20"/>
            </w:pPr>
            <w:r/>
            <w:r>
              <w:rPr>
                <w:b/>
                <w:sz w:val="14"/>
              </w:rPr>
              <w:t>0.0002</w:t>
            </w:r>
          </w:p>
        </w:tc>
        <w:tc>
          <w:tcPr>
            <w:tcW w:type="dxa" w:w="1224"/>
          </w:tcPr>
          <w:p>
            <w:pPr>
              <w:spacing w:line="240" w:lineRule="auto" w:after="20"/>
            </w:pPr>
            <w:r/>
            <w:r>
              <w:rPr>
                <w:b/>
                <w:sz w:val="14"/>
              </w:rPr>
              <w:t xml:space="preserve">Fit </w:t>
            </w:r>
            <w:r>
              <w:rPr>
                <w:b/>
                <w:i/>
                <w:sz w:val="14"/>
              </w:rPr>
              <w:t>A</w:t>
            </w:r>
            <w:r>
              <w:rPr>
                <w:b/>
                <w:sz w:val="14"/>
                <w:vertAlign w:val="subscript"/>
              </w:rPr>
              <w:t>0</w:t>
            </w:r>
            <w:r>
              <w:rPr>
                <w:b/>
                <w:sz w:val="14"/>
              </w:rPr>
              <w:t xml:space="preserve"> (p)</w:t>
            </w:r>
          </w:p>
        </w:tc>
      </w:tr>
      <w:tr>
        <w:tc>
          <w:tcPr>
            <w:tcW w:type="dxa" w:w="504"/>
          </w:tcPr>
          <w:p>
            <w:pPr>
              <w:spacing w:line="240" w:lineRule="auto" w:after="20"/>
            </w:pPr>
            <w:r/>
            <w:r>
              <w:rPr>
                <w:sz w:val="14"/>
              </w:rPr>
              <w:t>3.0</w:t>
            </w:r>
          </w:p>
        </w:tc>
        <w:tc>
          <w:tcPr>
            <w:tcW w:type="dxa" w:w="648"/>
          </w:tcPr>
          <w:p>
            <w:pPr>
              <w:spacing w:line="240" w:lineRule="auto" w:after="20"/>
            </w:pPr>
            <w:r/>
            <w:r>
              <w:rPr>
                <w:sz w:val="14"/>
              </w:rPr>
              <w:t>1.50</w:t>
            </w:r>
          </w:p>
        </w:tc>
        <w:tc>
          <w:tcPr>
            <w:tcW w:type="dxa" w:w="1008"/>
          </w:tcPr>
          <w:p>
            <w:pPr>
              <w:spacing w:line="240" w:lineRule="auto" w:after="20"/>
            </w:pPr>
            <w:r/>
            <w:r>
              <w:rPr>
                <w:sz w:val="14"/>
              </w:rPr>
              <w:t>0.000</w:t>
            </w:r>
          </w:p>
        </w:tc>
        <w:tc>
          <w:tcPr>
            <w:tcW w:type="dxa" w:w="1008"/>
          </w:tcPr>
          <w:p>
            <w:pPr>
              <w:spacing w:line="240" w:lineRule="auto" w:after="20"/>
            </w:pPr>
            <w:r/>
            <w:r>
              <w:rPr>
                <w:sz w:val="14"/>
              </w:rPr>
              <w:t>0.000</w:t>
            </w:r>
          </w:p>
        </w:tc>
        <w:tc>
          <w:tcPr>
            <w:tcW w:type="dxa" w:w="720"/>
          </w:tcPr>
          <w:p>
            <w:pPr>
              <w:spacing w:line="240" w:lineRule="auto" w:after="20"/>
            </w:pPr>
            <w:r/>
            <w:r>
              <w:rPr>
                <w:sz w:val="14"/>
              </w:rPr>
              <w:t>0.125</w:t>
            </w:r>
          </w:p>
        </w:tc>
        <w:tc>
          <w:tcPr>
            <w:tcW w:type="dxa" w:w="720"/>
          </w:tcPr>
          <w:p>
            <w:pPr>
              <w:spacing w:line="240" w:lineRule="auto" w:after="20"/>
            </w:pPr>
            <w:r/>
            <w:r>
              <w:rPr>
                <w:sz w:val="14"/>
              </w:rPr>
              <w:t>0.069</w:t>
            </w:r>
          </w:p>
        </w:tc>
        <w:tc>
          <w:tcPr>
            <w:tcW w:type="dxa" w:w="720"/>
          </w:tcPr>
          <w:p>
            <w:pPr>
              <w:spacing w:line="240" w:lineRule="auto" w:after="20"/>
            </w:pPr>
            <w:r/>
            <w:r>
              <w:rPr>
                <w:sz w:val="14"/>
              </w:rPr>
              <w:t>0.037</w:t>
            </w:r>
          </w:p>
        </w:tc>
        <w:tc>
          <w:tcPr>
            <w:tcW w:type="dxa" w:w="720"/>
          </w:tcPr>
          <w:p>
            <w:pPr>
              <w:spacing w:line="240" w:lineRule="auto" w:after="20"/>
            </w:pPr>
            <w:r/>
            <w:r>
              <w:rPr>
                <w:sz w:val="14"/>
              </w:rPr>
              <w:t>0.016</w:t>
            </w:r>
          </w:p>
        </w:tc>
        <w:tc>
          <w:tcPr>
            <w:tcW w:type="dxa" w:w="720"/>
          </w:tcPr>
          <w:p>
            <w:pPr>
              <w:spacing w:line="240" w:lineRule="auto" w:after="20"/>
            </w:pPr>
            <w:r/>
            <w:r>
              <w:rPr>
                <w:sz w:val="14"/>
              </w:rPr>
              <w:t>0.008</w:t>
            </w:r>
          </w:p>
        </w:tc>
        <w:tc>
          <w:tcPr>
            <w:tcW w:type="dxa" w:w="720"/>
          </w:tcPr>
          <w:p>
            <w:pPr>
              <w:spacing w:line="240" w:lineRule="auto" w:after="20"/>
            </w:pPr>
            <w:r/>
            <w:r>
              <w:rPr>
                <w:sz w:val="14"/>
              </w:rPr>
              <w:t>0.004</w:t>
            </w:r>
          </w:p>
        </w:tc>
        <w:tc>
          <w:tcPr>
            <w:tcW w:type="dxa" w:w="720"/>
          </w:tcPr>
          <w:p>
            <w:pPr>
              <w:spacing w:line="240" w:lineRule="auto" w:after="20"/>
            </w:pPr>
            <w:r/>
            <w:r>
              <w:rPr>
                <w:sz w:val="14"/>
              </w:rPr>
              <w:t>0.002</w:t>
            </w:r>
          </w:p>
        </w:tc>
        <w:tc>
          <w:tcPr>
            <w:tcW w:type="dxa" w:w="1224"/>
          </w:tcPr>
          <w:p>
            <w:pPr>
              <w:spacing w:line="240" w:lineRule="auto" w:after="20"/>
            </w:pPr>
            <w:r/>
            <w:r>
              <w:rPr>
                <w:sz w:val="14"/>
              </w:rPr>
              <w:t>-0.001 (0.86)</w:t>
            </w:r>
          </w:p>
        </w:tc>
      </w:tr>
      <w:tr>
        <w:tc>
          <w:tcPr>
            <w:tcW w:type="dxa" w:w="504"/>
          </w:tcPr>
          <w:p>
            <w:pPr>
              <w:spacing w:line="240" w:lineRule="auto" w:after="20"/>
            </w:pPr>
            <w:r/>
            <w:r>
              <w:rPr>
                <w:sz w:val="14"/>
              </w:rPr>
              <w:t>4.5</w:t>
            </w:r>
          </w:p>
        </w:tc>
        <w:tc>
          <w:tcPr>
            <w:tcW w:type="dxa" w:w="648"/>
          </w:tcPr>
          <w:p>
            <w:pPr>
              <w:spacing w:line="240" w:lineRule="auto" w:after="20"/>
            </w:pPr>
            <w:r/>
            <w:r>
              <w:rPr>
                <w:sz w:val="14"/>
              </w:rPr>
              <w:t>2.25</w:t>
            </w:r>
          </w:p>
        </w:tc>
        <w:tc>
          <w:tcPr>
            <w:tcW w:type="dxa" w:w="1008"/>
          </w:tcPr>
          <w:p>
            <w:pPr>
              <w:spacing w:line="240" w:lineRule="auto" w:after="20"/>
            </w:pPr>
            <w:r/>
            <w:r>
              <w:rPr>
                <w:sz w:val="14"/>
              </w:rPr>
              <w:t>0.025</w:t>
            </w:r>
          </w:p>
        </w:tc>
        <w:tc>
          <w:tcPr>
            <w:tcW w:type="dxa" w:w="1008"/>
          </w:tcPr>
          <w:p>
            <w:pPr>
              <w:spacing w:line="240" w:lineRule="auto" w:after="20"/>
            </w:pPr>
            <w:r/>
            <w:r>
              <w:rPr>
                <w:sz w:val="14"/>
              </w:rPr>
              <w:t>0.025</w:t>
            </w:r>
          </w:p>
        </w:tc>
        <w:tc>
          <w:tcPr>
            <w:tcW w:type="dxa" w:w="720"/>
          </w:tcPr>
          <w:p>
            <w:pPr>
              <w:spacing w:line="240" w:lineRule="auto" w:after="20"/>
            </w:pPr>
            <w:r/>
            <w:r>
              <w:rPr>
                <w:sz w:val="14"/>
              </w:rPr>
              <w:t>0.248</w:t>
            </w:r>
          </w:p>
        </w:tc>
        <w:tc>
          <w:tcPr>
            <w:tcW w:type="dxa" w:w="720"/>
          </w:tcPr>
          <w:p>
            <w:pPr>
              <w:spacing w:line="240" w:lineRule="auto" w:after="20"/>
            </w:pPr>
            <w:r/>
            <w:r>
              <w:rPr>
                <w:sz w:val="14"/>
              </w:rPr>
              <w:t>0.170</w:t>
            </w:r>
          </w:p>
        </w:tc>
        <w:tc>
          <w:tcPr>
            <w:tcW w:type="dxa" w:w="720"/>
          </w:tcPr>
          <w:p>
            <w:pPr>
              <w:spacing w:line="240" w:lineRule="auto" w:after="20"/>
            </w:pPr>
            <w:r/>
            <w:r>
              <w:rPr>
                <w:sz w:val="14"/>
              </w:rPr>
              <w:t>0.118</w:t>
            </w:r>
          </w:p>
        </w:tc>
        <w:tc>
          <w:tcPr>
            <w:tcW w:type="dxa" w:w="720"/>
          </w:tcPr>
          <w:p>
            <w:pPr>
              <w:spacing w:line="240" w:lineRule="auto" w:after="20"/>
            </w:pPr>
            <w:r/>
            <w:r>
              <w:rPr>
                <w:sz w:val="14"/>
              </w:rPr>
              <w:t>0.077</w:t>
            </w:r>
          </w:p>
        </w:tc>
        <w:tc>
          <w:tcPr>
            <w:tcW w:type="dxa" w:w="720"/>
          </w:tcPr>
          <w:p>
            <w:pPr>
              <w:spacing w:line="240" w:lineRule="auto" w:after="20"/>
            </w:pPr>
            <w:r/>
            <w:r>
              <w:rPr>
                <w:sz w:val="14"/>
              </w:rPr>
              <w:t>0.059</w:t>
            </w:r>
          </w:p>
        </w:tc>
        <w:tc>
          <w:tcPr>
            <w:tcW w:type="dxa" w:w="720"/>
          </w:tcPr>
          <w:p>
            <w:pPr>
              <w:spacing w:line="240" w:lineRule="auto" w:after="20"/>
            </w:pPr>
            <w:r/>
            <w:r>
              <w:rPr>
                <w:sz w:val="14"/>
              </w:rPr>
              <w:t>0.047</w:t>
            </w:r>
          </w:p>
        </w:tc>
        <w:tc>
          <w:tcPr>
            <w:tcW w:type="dxa" w:w="720"/>
          </w:tcPr>
          <w:p>
            <w:pPr>
              <w:spacing w:line="240" w:lineRule="auto" w:after="20"/>
            </w:pPr>
            <w:r/>
            <w:r>
              <w:rPr>
                <w:sz w:val="14"/>
              </w:rPr>
              <w:t>0.037</w:t>
            </w:r>
          </w:p>
        </w:tc>
        <w:tc>
          <w:tcPr>
            <w:tcW w:type="dxa" w:w="1224"/>
          </w:tcPr>
          <w:p>
            <w:pPr>
              <w:spacing w:line="240" w:lineRule="auto" w:after="20"/>
            </w:pPr>
            <w:r/>
            <w:r>
              <w:rPr>
                <w:sz w:val="14"/>
              </w:rPr>
              <w:t>0.025 (0.63)</w:t>
            </w:r>
          </w:p>
        </w:tc>
      </w:tr>
      <w:tr>
        <w:tc>
          <w:tcPr>
            <w:tcW w:type="dxa" w:w="504"/>
          </w:tcPr>
          <w:p>
            <w:pPr>
              <w:spacing w:line="240" w:lineRule="auto" w:after="20"/>
            </w:pPr>
            <w:r/>
            <w:r>
              <w:rPr>
                <w:sz w:val="14"/>
              </w:rPr>
              <w:t>8.0</w:t>
            </w:r>
          </w:p>
        </w:tc>
        <w:tc>
          <w:tcPr>
            <w:tcW w:type="dxa" w:w="648"/>
          </w:tcPr>
          <w:p>
            <w:pPr>
              <w:spacing w:line="240" w:lineRule="auto" w:after="20"/>
            </w:pPr>
            <w:r/>
            <w:r>
              <w:rPr>
                <w:sz w:val="14"/>
              </w:rPr>
              <w:t>4.00</w:t>
            </w:r>
          </w:p>
        </w:tc>
        <w:tc>
          <w:tcPr>
            <w:tcW w:type="dxa" w:w="1008"/>
          </w:tcPr>
          <w:p>
            <w:pPr>
              <w:spacing w:line="240" w:lineRule="auto" w:after="20"/>
            </w:pPr>
            <w:r/>
            <w:r>
              <w:rPr>
                <w:sz w:val="14"/>
              </w:rPr>
              <w:t>0.678</w:t>
            </w:r>
          </w:p>
        </w:tc>
        <w:tc>
          <w:tcPr>
            <w:tcW w:type="dxa" w:w="1008"/>
          </w:tcPr>
          <w:p>
            <w:pPr>
              <w:spacing w:line="240" w:lineRule="auto" w:after="20"/>
            </w:pPr>
            <w:r/>
            <w:r>
              <w:rPr>
                <w:sz w:val="14"/>
              </w:rPr>
              <w:t>0.710</w:t>
            </w:r>
          </w:p>
        </w:tc>
        <w:tc>
          <w:tcPr>
            <w:tcW w:type="dxa" w:w="720"/>
          </w:tcPr>
          <w:p>
            <w:pPr>
              <w:spacing w:line="240" w:lineRule="auto" w:after="20"/>
            </w:pPr>
            <w:r/>
            <w:r>
              <w:rPr>
                <w:sz w:val="14"/>
              </w:rPr>
              <w:t>0.976</w:t>
            </w:r>
          </w:p>
        </w:tc>
        <w:tc>
          <w:tcPr>
            <w:tcW w:type="dxa" w:w="720"/>
          </w:tcPr>
          <w:p>
            <w:pPr>
              <w:spacing w:line="240" w:lineRule="auto" w:after="20"/>
            </w:pPr>
            <w:r/>
            <w:r>
              <w:rPr>
                <w:sz w:val="14"/>
              </w:rPr>
              <w:t>0.884</w:t>
            </w:r>
          </w:p>
        </w:tc>
        <w:tc>
          <w:tcPr>
            <w:tcW w:type="dxa" w:w="720"/>
          </w:tcPr>
          <w:p>
            <w:pPr>
              <w:spacing w:line="240" w:lineRule="auto" w:after="20"/>
            </w:pPr>
            <w:r/>
            <w:r>
              <w:rPr>
                <w:sz w:val="14"/>
              </w:rPr>
              <w:t>0.823</w:t>
            </w:r>
          </w:p>
        </w:tc>
        <w:tc>
          <w:tcPr>
            <w:tcW w:type="dxa" w:w="720"/>
          </w:tcPr>
          <w:p>
            <w:pPr>
              <w:spacing w:line="240" w:lineRule="auto" w:after="20"/>
            </w:pPr>
            <w:r/>
            <w:r>
              <w:rPr>
                <w:sz w:val="14"/>
              </w:rPr>
              <w:t>0.773</w:t>
            </w:r>
          </w:p>
        </w:tc>
        <w:tc>
          <w:tcPr>
            <w:tcW w:type="dxa" w:w="720"/>
          </w:tcPr>
          <w:p>
            <w:pPr>
              <w:spacing w:line="240" w:lineRule="auto" w:after="20"/>
            </w:pPr>
            <w:r/>
            <w:r>
              <w:rPr>
                <w:sz w:val="14"/>
              </w:rPr>
              <w:t>0.751</w:t>
            </w:r>
          </w:p>
        </w:tc>
        <w:tc>
          <w:tcPr>
            <w:tcW w:type="dxa" w:w="720"/>
          </w:tcPr>
          <w:p>
            <w:pPr>
              <w:spacing w:line="240" w:lineRule="auto" w:after="20"/>
            </w:pPr>
            <w:r/>
            <w:r>
              <w:rPr>
                <w:sz w:val="14"/>
              </w:rPr>
              <w:t>0.736</w:t>
            </w:r>
          </w:p>
        </w:tc>
        <w:tc>
          <w:tcPr>
            <w:tcW w:type="dxa" w:w="720"/>
          </w:tcPr>
          <w:p>
            <w:pPr>
              <w:spacing w:line="240" w:lineRule="auto" w:after="20"/>
            </w:pPr>
            <w:r/>
            <w:r>
              <w:rPr>
                <w:sz w:val="14"/>
              </w:rPr>
              <w:t>0.722</w:t>
            </w:r>
          </w:p>
        </w:tc>
        <w:tc>
          <w:tcPr>
            <w:tcW w:type="dxa" w:w="1224"/>
          </w:tcPr>
          <w:p>
            <w:pPr>
              <w:spacing w:line="240" w:lineRule="auto" w:after="20"/>
            </w:pPr>
            <w:r/>
            <w:r>
              <w:rPr>
                <w:sz w:val="14"/>
              </w:rPr>
              <w:t>0.706 (0.60)</w:t>
            </w:r>
          </w:p>
        </w:tc>
      </w:tr>
      <w:tr>
        <w:tc>
          <w:tcPr>
            <w:tcW w:type="dxa" w:w="504"/>
          </w:tcPr>
          <w:p>
            <w:pPr>
              <w:spacing w:line="240" w:lineRule="auto" w:after="20"/>
            </w:pPr>
            <w:r/>
            <w:r>
              <w:rPr>
                <w:sz w:val="14"/>
              </w:rPr>
              <w:t>20.0</w:t>
            </w:r>
          </w:p>
        </w:tc>
        <w:tc>
          <w:tcPr>
            <w:tcW w:type="dxa" w:w="648"/>
          </w:tcPr>
          <w:p>
            <w:pPr>
              <w:spacing w:line="240" w:lineRule="auto" w:after="20"/>
            </w:pPr>
            <w:r/>
            <w:r>
              <w:rPr>
                <w:sz w:val="14"/>
              </w:rPr>
              <w:t>10.00</w:t>
            </w:r>
          </w:p>
        </w:tc>
        <w:tc>
          <w:tcPr>
            <w:tcW w:type="dxa" w:w="1008"/>
          </w:tcPr>
          <w:p>
            <w:pPr>
              <w:spacing w:line="240" w:lineRule="auto" w:after="20"/>
            </w:pPr>
            <w:r/>
            <w:r>
              <w:rPr>
                <w:sz w:val="14"/>
              </w:rPr>
              <w:t>5.047</w:t>
            </w:r>
          </w:p>
        </w:tc>
        <w:tc>
          <w:tcPr>
            <w:tcW w:type="dxa" w:w="1008"/>
          </w:tcPr>
          <w:p>
            <w:pPr>
              <w:spacing w:line="240" w:lineRule="auto" w:after="20"/>
            </w:pPr>
            <w:r/>
            <w:r>
              <w:rPr>
                <w:sz w:val="14"/>
              </w:rPr>
              <w:t>5.236</w:t>
            </w:r>
          </w:p>
        </w:tc>
        <w:tc>
          <w:tcPr>
            <w:tcW w:type="dxa" w:w="720"/>
          </w:tcPr>
          <w:p>
            <w:pPr>
              <w:spacing w:line="240" w:lineRule="auto" w:after="20"/>
            </w:pPr>
            <w:r/>
            <w:r>
              <w:rPr>
                <w:sz w:val="14"/>
              </w:rPr>
              <w:t>5.427</w:t>
            </w:r>
          </w:p>
        </w:tc>
        <w:tc>
          <w:tcPr>
            <w:tcW w:type="dxa" w:w="720"/>
          </w:tcPr>
          <w:p>
            <w:pPr>
              <w:spacing w:line="240" w:lineRule="auto" w:after="20"/>
            </w:pPr>
            <w:r/>
            <w:r>
              <w:rPr>
                <w:sz w:val="14"/>
              </w:rPr>
              <w:t>5.340</w:t>
            </w:r>
          </w:p>
        </w:tc>
        <w:tc>
          <w:tcPr>
            <w:tcW w:type="dxa" w:w="720"/>
          </w:tcPr>
          <w:p>
            <w:pPr>
              <w:spacing w:line="240" w:lineRule="auto" w:after="20"/>
            </w:pPr>
            <w:r/>
            <w:r>
              <w:rPr>
                <w:sz w:val="14"/>
              </w:rPr>
              <w:t>5.246</w:t>
            </w:r>
          </w:p>
        </w:tc>
        <w:tc>
          <w:tcPr>
            <w:tcW w:type="dxa" w:w="720"/>
          </w:tcPr>
          <w:p>
            <w:pPr>
              <w:spacing w:line="240" w:lineRule="auto" w:after="20"/>
            </w:pPr>
            <w:r/>
            <w:r>
              <w:rPr>
                <w:sz w:val="14"/>
              </w:rPr>
              <w:t>5.186</w:t>
            </w:r>
          </w:p>
        </w:tc>
        <w:tc>
          <w:tcPr>
            <w:tcW w:type="dxa" w:w="720"/>
          </w:tcPr>
          <w:p>
            <w:pPr>
              <w:spacing w:line="240" w:lineRule="auto" w:after="20"/>
            </w:pPr>
            <w:r/>
            <w:r>
              <w:rPr>
                <w:sz w:val="14"/>
              </w:rPr>
              <w:t>5.168</w:t>
            </w:r>
          </w:p>
        </w:tc>
        <w:tc>
          <w:tcPr>
            <w:tcW w:type="dxa" w:w="720"/>
          </w:tcPr>
          <w:p>
            <w:pPr>
              <w:spacing w:line="240" w:lineRule="auto" w:after="20"/>
            </w:pPr>
            <w:r/>
            <w:r>
              <w:rPr>
                <w:sz w:val="14"/>
              </w:rPr>
              <w:t>5.149</w:t>
            </w:r>
          </w:p>
        </w:tc>
        <w:tc>
          <w:tcPr>
            <w:tcW w:type="dxa" w:w="720"/>
          </w:tcPr>
          <w:p>
            <w:pPr>
              <w:spacing w:line="240" w:lineRule="auto" w:after="20"/>
            </w:pPr>
            <w:r/>
            <w:r>
              <w:rPr>
                <w:sz w:val="14"/>
              </w:rPr>
              <w:t>5.144</w:t>
            </w:r>
          </w:p>
        </w:tc>
        <w:tc>
          <w:tcPr>
            <w:tcW w:type="dxa" w:w="1224"/>
          </w:tcPr>
          <w:p>
            <w:pPr>
              <w:spacing w:line="240" w:lineRule="auto" w:after="20"/>
            </w:pPr>
            <w:r/>
            <w:r>
              <w:rPr>
                <w:sz w:val="14"/>
              </w:rPr>
              <w:t>5.119 (0.62)</w:t>
            </w:r>
          </w:p>
        </w:tc>
      </w:tr>
    </w:tbl>
    <w:p>
      <w:pPr>
        <w:spacing w:after="40"/>
      </w:pPr>
    </w:p>
    <w:p>
      <w:pPr>
        <w:keepNext/>
        <w:spacing w:before="160" w:after="40"/>
        <w:jc w:val="center"/>
      </w:pPr>
      <w:r>
        <w:drawing>
          <wp:inline xmlns:a="http://schemas.openxmlformats.org/drawingml/2006/main" xmlns:pic="http://schemas.openxmlformats.org/drawingml/2006/picture">
            <wp:extent cx="4297680" cy="4572000"/>
            <wp:docPr id="4" name="Picture 4" descr="Three panels. (a) Steady conversion against ln D with solid stable and dashed unstable parts and marked fold and Hopf points. (b) Up and down sweep loops. (c) Loop area against sweep rate approaching the attractor loop area."/>
            <wp:cNvGraphicFramePr>
              <a:graphicFrameLocks noChangeAspect="1"/>
            </wp:cNvGraphicFramePr>
            <a:graphic>
              <a:graphicData uri="http://schemas.openxmlformats.org/drawingml/2006/picture">
                <pic:pic>
                  <pic:nvPicPr>
                    <pic:cNvPr id="0" name="fig4_flow_reactor.png"/>
                    <pic:cNvPicPr/>
                  </pic:nvPicPr>
                  <pic:blipFill>
                    <a:blip r:embed="rId13"/>
                    <a:stretch>
                      <a:fillRect/>
                    </a:stretch>
                  </pic:blipFill>
                  <pic:spPr>
                    <a:xfrm>
                      <a:off x="0" y="0"/>
                      <a:ext cx="4297680" cy="4572000"/>
                    </a:xfrm>
                    <a:prstGeom prst="rect"/>
                  </pic:spPr>
                </pic:pic>
              </a:graphicData>
            </a:graphic>
          </wp:inline>
        </w:drawing>
      </w:r>
    </w:p>
    <w:p>
      <w:pPr>
        <w:keepNext w:val="0"/>
        <w:spacing w:line="276" w:lineRule="auto" w:after="200"/>
      </w:pPr>
      <w:r>
        <w:rPr>
          <w:b/>
          <w:sz w:val="19"/>
        </w:rPr>
        <w:t>Fig. 4</w:t>
      </w:r>
      <w:r>
        <w:rPr>
          <w:sz w:val="19"/>
        </w:rPr>
        <w:t xml:space="preserve"> (a) Steady-state curve of the flow reactor at </w:t>
      </w:r>
      <w:r>
        <w:rPr>
          <w:i/>
          <w:sz w:val="19"/>
        </w:rPr>
        <w:t>ψ</w:t>
      </w:r>
      <w:r>
        <w:rPr>
          <w:sz w:val="19"/>
        </w:rPr>
        <w:t xml:space="preserve"> = 20 (</w:t>
      </w:r>
      <w:r>
        <w:rPr>
          <w:i/>
          <w:sz w:val="19"/>
        </w:rPr>
        <w:t>κ</w:t>
      </w:r>
      <w:r>
        <w:rPr>
          <w:sz w:val="19"/>
        </w:rPr>
        <w:t xml:space="preserve"> = 10) with stable (solid) and unstable (dashed) segments, the two folds (squares) and the Hopf-type point (circle). (b) Sweep loops at two rates against the steady states. (c) Loop area from numerical integration (points, not joined by a line) against sweep rate, the power-law fit (line), and the attractor loop area (dashed)</w:t>
      </w:r>
    </w:p>
    <w:p>
      <w:pPr>
        <w:keepNext w:val="0"/>
        <w:jc w:val="both"/>
      </w:pPr>
      <w:r>
        <w:rPr>
          <w:i/>
        </w:rPr>
        <w:t>Physical temperature path with Arrhenius kinetics.</w:t>
      </w:r>
      <w:r>
        <w:t xml:space="preserve"> To avoid the fixed-</w:t>
      </w:r>
      <w:r>
        <w:rPr>
          <w:i/>
        </w:rPr>
        <w:t>ψ</w:t>
      </w:r>
      <w:r>
        <w:t xml:space="preserve"> approximation, the continuous-flow reactor was also simulated with both </w:t>
      </w:r>
      <w:r>
        <w:rPr>
          <w:i/>
        </w:rPr>
        <w:t>k</w:t>
      </w:r>
      <w:r>
        <w:rPr>
          <w:vertAlign w:val="subscript"/>
        </w:rPr>
        <w:t>1</w:t>
      </w:r>
      <w:r>
        <w:t>(</w:t>
      </w:r>
      <w:r>
        <w:rPr>
          <w:i/>
        </w:rPr>
        <w:t>T</w:t>
      </w:r>
      <w:r>
        <w:t xml:space="preserve">) and </w:t>
      </w:r>
      <w:r>
        <w:rPr>
          <w:i/>
        </w:rPr>
        <w:t>k</w:t>
      </w:r>
      <w:r>
        <w:rPr>
          <w:vertAlign w:val="subscript"/>
        </w:rPr>
        <w:t>2</w:t>
      </w:r>
      <w:r>
        <w:t>(</w:t>
      </w:r>
      <w:r>
        <w:rPr>
          <w:i/>
        </w:rPr>
        <w:t>T</w:t>
      </w:r>
      <w:r>
        <w:t xml:space="preserve">) Arrhenius (Table 2), </w:t>
      </w:r>
      <w:r>
        <w:rPr>
          <w:i/>
        </w:rPr>
        <w:t>τ</w:t>
      </w:r>
      <w:r>
        <w:rPr>
          <w:vertAlign w:val="subscript"/>
        </w:rPr>
        <w:t>r</w:t>
      </w:r>
      <w:r>
        <w:rPr>
          <w:vertAlign w:val="subscript"/>
        </w:rPr>
        <w:t>e</w:t>
      </w:r>
      <w:r>
        <w:rPr>
          <w:vertAlign w:val="subscript"/>
        </w:rPr>
        <w:t>s</w:t>
      </w:r>
      <w:r>
        <w:t xml:space="preserve"> = </w:t>
      </w:r>
      <w:r>
        <w:rPr>
          <w:i/>
        </w:rPr>
        <w:t>τ</w:t>
      </w:r>
      <w:r>
        <w:rPr>
          <w:vertAlign w:val="subscript"/>
        </w:rPr>
        <w:t>t</w:t>
      </w:r>
      <w:r>
        <w:rPr>
          <w:vertAlign w:val="subscript"/>
        </w:rPr>
        <w:t>h</w:t>
      </w:r>
      <w:r>
        <w:t xml:space="preserve"> = 3 min (</w:t>
      </w:r>
      <w:r>
        <w:rPr>
          <w:i/>
        </w:rPr>
        <w:t>ϑ</w:t>
      </w:r>
      <w:r>
        <w:t xml:space="preserve"> = 1), </w:t>
      </w:r>
      <w:r>
        <w:rPr>
          <w:i/>
        </w:rPr>
        <w:t>n</w:t>
      </w:r>
      <w:r>
        <w:t xml:space="preserve"> = 3/2 and a wall temperature </w:t>
      </w:r>
      <w:r>
        <w:rPr>
          <w:i/>
        </w:rPr>
        <w:t>T</w:t>
      </w:r>
      <w:r>
        <w:rPr>
          <w:vertAlign w:val="subscript"/>
        </w:rPr>
        <w:t>∞</w:t>
      </w:r>
      <w:r>
        <w:t xml:space="preserve"> that is varied, so that </w:t>
      </w:r>
      <w:r>
        <w:rPr>
          <w:i/>
        </w:rPr>
        <w:t>ψ</w:t>
      </w:r>
      <w:r>
        <w:t xml:space="preserve">, </w:t>
      </w:r>
      <w:r>
        <w:rPr>
          <w:i/>
        </w:rPr>
        <w:t>ε</w:t>
      </w:r>
      <w:r>
        <w:t xml:space="preserve"> and </w:t>
      </w:r>
      <w:r>
        <w:rPr>
          <w:i/>
        </w:rPr>
        <w:t>D</w:t>
      </w:r>
      <w:r>
        <w:t xml:space="preserve"> change along the path. The steady states are obtained exactly (conversion balance solved for </w:t>
      </w:r>
      <w:r>
        <w:rPr>
          <w:i/>
        </w:rPr>
        <w:t>T</w:t>
      </w:r>
      <w:r>
        <w:t xml:space="preserve"> at given </w:t>
      </w:r>
      <w:r>
        <w:rPr>
          <w:i/>
        </w:rPr>
        <w:t>α</w:t>
      </w:r>
      <w:r>
        <w:t xml:space="preserve">, </w:t>
      </w:r>
      <w:r>
        <w:rPr>
          <w:i/>
        </w:rPr>
        <w:t>T</w:t>
      </w:r>
      <w:r>
        <w:rPr>
          <w:vertAlign w:val="subscript"/>
        </w:rPr>
        <w:t>∞</w:t>
      </w:r>
      <w:r>
        <w:t xml:space="preserve"> = </w:t>
      </w:r>
      <w:r>
        <w:rPr>
          <w:i/>
        </w:rPr>
        <w:t>T</w:t>
      </w:r>
      <w:r>
        <w:t xml:space="preserve"> − Δ</w:t>
      </w:r>
      <w:r>
        <w:rPr>
          <w:i/>
        </w:rPr>
        <w:t>T</w:t>
      </w:r>
      <w:r>
        <w:rPr>
          <w:vertAlign w:val="subscript"/>
        </w:rPr>
        <w:t>a</w:t>
      </w:r>
      <w:r>
        <w:rPr>
          <w:vertAlign w:val="subscript"/>
        </w:rPr>
        <w:t>d</w:t>
      </w:r>
      <w:r>
        <w:rPr>
          <w:i/>
        </w:rPr>
        <w:t>ϑα</w:t>
      </w:r>
      <w:r>
        <w:t xml:space="preserve">/(1 + </w:t>
      </w:r>
      <w:r>
        <w:rPr>
          <w:i/>
        </w:rPr>
        <w:t>ϑ</w:t>
      </w:r>
      <w:r>
        <w:t>)) and their stability from the numerical Jacobian (Table 9). For Δ</w:t>
      </w:r>
      <w:r>
        <w:rPr>
          <w:i/>
        </w:rPr>
        <w:t>T</w:t>
      </w:r>
      <w:r>
        <w:rPr>
          <w:vertAlign w:val="subscript"/>
        </w:rPr>
        <w:t>a</w:t>
      </w:r>
      <w:r>
        <w:rPr>
          <w:vertAlign w:val="subscript"/>
        </w:rPr>
        <w:t>d</w:t>
      </w:r>
      <w:r>
        <w:t xml:space="preserve"> = 220 K the ignition fold is at </w:t>
      </w:r>
      <w:r>
        <w:rPr>
          <w:i/>
        </w:rPr>
        <w:t>T</w:t>
      </w:r>
      <w:r>
        <w:rPr>
          <w:vertAlign w:val="subscript"/>
        </w:rPr>
        <w:t>∞</w:t>
      </w:r>
      <w:r>
        <w:t xml:space="preserve"> = 152.09 °C and the upper branch is stable from </w:t>
      </w:r>
      <w:r>
        <w:rPr>
          <w:i/>
        </w:rPr>
        <w:t>T</w:t>
      </w:r>
      <w:r>
        <w:rPr>
          <w:vertAlign w:val="subscript"/>
        </w:rPr>
        <w:t>∞</w:t>
      </w:r>
      <w:r>
        <w:t xml:space="preserve"> = 127.89 °C (a Hopf-type point, 0.74 K above the upper fold at 127.15 °C), giving a window of two stable states of 24.2 K; the local </w:t>
      </w:r>
      <w:r>
        <w:rPr>
          <w:i/>
        </w:rPr>
        <w:t>ψ</w:t>
      </w:r>
      <w:r>
        <w:t xml:space="preserve"> is 9.3 at the ignition fold and 7.9 at the upper fold. For Δ</w:t>
      </w:r>
      <w:r>
        <w:rPr>
          <w:i/>
        </w:rPr>
        <w:t>T</w:t>
      </w:r>
      <w:r>
        <w:rPr>
          <w:vertAlign w:val="subscript"/>
        </w:rPr>
        <w:t>a</w:t>
      </w:r>
      <w:r>
        <w:rPr>
          <w:vertAlign w:val="subscript"/>
        </w:rPr>
        <w:t>d</w:t>
      </w:r>
      <w:r>
        <w:t xml:space="preserve"> = 160 K the window is 9.4 K (upper fold stable) and for 120 K it is 2.1 K. The fixed-</w:t>
      </w:r>
      <w:r>
        <w:rPr>
          <w:i/>
        </w:rPr>
        <w:t>ψ</w:t>
      </w:r>
      <w:r>
        <w:t xml:space="preserve"> exponential-model estimate evaluated with the local </w:t>
      </w:r>
      <w:r>
        <w:rPr>
          <w:i/>
        </w:rPr>
        <w:t>ψ</w:t>
      </w:r>
      <w:r>
        <w:t xml:space="preserve"> and </w:t>
      </w:r>
      <w:r>
        <w:rPr>
          <w:i/>
        </w:rPr>
        <w:t>ε</w:t>
      </w:r>
      <w:r>
        <w:t xml:space="preserve"> at the ignition fold gives 26.6, 11.2 and 2.7 K for Δ</w:t>
      </w:r>
      <w:r>
        <w:rPr>
          <w:i/>
        </w:rPr>
        <w:t>T</w:t>
      </w:r>
      <w:r>
        <w:rPr>
          <w:vertAlign w:val="subscript"/>
        </w:rPr>
        <w:t>a</w:t>
      </w:r>
      <w:r>
        <w:rPr>
          <w:vertAlign w:val="subscript"/>
        </w:rPr>
        <w:t>d</w:t>
      </w:r>
      <w:r>
        <w:t xml:space="preserve"> = 220, 160 and 120 K: of the right order but not equal to the simulated widths, which is why the physical path is simulated rather than inferred. Temperature ramps at 2, 0.5, 0.1, 0.02 K per residence time give loop areas ∮</w:t>
      </w:r>
      <w:r>
        <w:rPr>
          <w:i/>
        </w:rPr>
        <w:t>α</w:t>
      </w:r>
      <w:r>
        <w:t xml:space="preserve"> dT</w:t>
      </w:r>
      <w:r>
        <w:rPr>
          <w:vertAlign w:val="subscript"/>
        </w:rPr>
        <w:t>∞</w:t>
      </w:r>
      <w:r>
        <w:t xml:space="preserve"> of 35.7, 26.4, 22.2, 20.8 K at Δ</w:t>
      </w:r>
      <w:r>
        <w:rPr>
          <w:i/>
        </w:rPr>
        <w:t>T</w:t>
      </w:r>
      <w:r>
        <w:rPr>
          <w:vertAlign w:val="subscript"/>
        </w:rPr>
        <w:t>a</w:t>
      </w:r>
      <w:r>
        <w:rPr>
          <w:vertAlign w:val="subscript"/>
        </w:rPr>
        <w:t>d</w:t>
      </w:r>
      <w:r>
        <w:t xml:space="preserve"> = 220 K, decreasing with the ramp rate; as in the exponential model, the approach to a static limit is slow and is not claimed.</w:t>
      </w:r>
    </w:p>
    <w:p>
      <w:pPr>
        <w:keepNext/>
        <w:spacing w:line="276" w:lineRule="auto" w:after="200"/>
      </w:pPr>
      <w:r>
        <w:rPr>
          <w:b/>
          <w:sz w:val="19"/>
        </w:rPr>
        <w:t>Table 9</w:t>
      </w:r>
      <w:r>
        <w:rPr>
          <w:sz w:val="19"/>
        </w:rPr>
        <w:t xml:space="preserve"> Window of two stable states on a physical temperature path with Arrhenius kinetics (</w:t>
      </w:r>
      <w:r>
        <w:rPr>
          <w:i/>
          <w:sz w:val="19"/>
        </w:rPr>
        <w:t>τ</w:t>
      </w:r>
      <w:r>
        <w:rPr>
          <w:sz w:val="19"/>
          <w:vertAlign w:val="subscript"/>
        </w:rPr>
        <w:t>r</w:t>
      </w:r>
      <w:r>
        <w:rPr>
          <w:sz w:val="19"/>
          <w:vertAlign w:val="subscript"/>
        </w:rPr>
        <w:t>e</w:t>
      </w:r>
      <w:r>
        <w:rPr>
          <w:sz w:val="19"/>
          <w:vertAlign w:val="subscript"/>
        </w:rPr>
        <w:t>s</w:t>
      </w:r>
      <w:r>
        <w:rPr>
          <w:sz w:val="19"/>
        </w:rPr>
        <w:t xml:space="preserve"> = </w:t>
      </w:r>
      <w:r>
        <w:rPr>
          <w:i/>
          <w:sz w:val="19"/>
        </w:rPr>
        <w:t>τ</w:t>
      </w:r>
      <w:r>
        <w:rPr>
          <w:sz w:val="19"/>
          <w:vertAlign w:val="subscript"/>
        </w:rPr>
        <w:t>t</w:t>
      </w:r>
      <w:r>
        <w:rPr>
          <w:sz w:val="19"/>
          <w:vertAlign w:val="subscript"/>
        </w:rPr>
        <w:t>h</w:t>
      </w:r>
      <w:r>
        <w:rPr>
          <w:sz w:val="19"/>
        </w:rPr>
        <w:t xml:space="preserve"> = 3 min, </w:t>
      </w:r>
      <w:r>
        <w:rPr>
          <w:i/>
          <w:sz w:val="19"/>
        </w:rPr>
        <w:t>n</w:t>
      </w:r>
      <w:r>
        <w:rPr>
          <w:sz w:val="19"/>
        </w:rPr>
        <w:t xml:space="preserve"> = 3/2): steady states exact, stability from the numerical Jacobian; the last column is the fixed-</w:t>
      </w:r>
      <w:r>
        <w:rPr>
          <w:i/>
          <w:sz w:val="19"/>
        </w:rPr>
        <w:t>ψ</w:t>
      </w:r>
      <w:r>
        <w:rPr>
          <w:sz w:val="19"/>
        </w:rPr>
        <w:t xml:space="preserve"> exponential-model estimate at the local </w:t>
      </w:r>
      <w:r>
        <w:rPr>
          <w:i/>
          <w:sz w:val="19"/>
        </w:rPr>
        <w:t>ψ</w:t>
      </w:r>
      <w:r>
        <w:rPr>
          <w:sz w:val="19"/>
        </w:rPr>
        <w:t xml:space="preserve"> and </w:t>
      </w:r>
      <w:r>
        <w:rPr>
          <w:i/>
          <w:sz w:val="19"/>
        </w:rPr>
        <w:t>ε</w:t>
      </w:r>
      <w:r>
        <w:rPr>
          <w:sz w:val="19"/>
        </w:rPr>
        <w:t xml:space="preserve"> of the ignition fold, for comparison.</w:t>
      </w:r>
    </w:p>
    <w:tbl>
      <w:tblPr>
        <w:tblStyle w:val="TableGrid"/>
        <w:tblW w:type="auto" w:w="0"/>
        <w:jc w:val="center"/>
        <w:tblLayout w:type="fixed"/>
        <w:tblLook w:firstColumn="1" w:firstRow="1" w:lastColumn="0" w:lastRow="0" w:noHBand="0" w:noVBand="1" w:val="04A0"/>
      </w:tblPr>
      <w:tblGrid>
        <w:gridCol w:w="864"/>
        <w:gridCol w:w="1296"/>
        <w:gridCol w:w="1296"/>
        <w:gridCol w:w="1296"/>
        <w:gridCol w:w="1440"/>
        <w:gridCol w:w="720"/>
        <w:gridCol w:w="1008"/>
        <w:gridCol w:w="1296"/>
      </w:tblGrid>
      <w:tr>
        <w:trPr>
          <w:tblHeader w:val="true"/>
        </w:trPr>
        <w:tc>
          <w:tcPr>
            <w:tcW w:type="dxa" w:w="864"/>
          </w:tcPr>
          <w:p>
            <w:pPr>
              <w:spacing w:line="240" w:lineRule="auto" w:after="20"/>
            </w:pPr>
            <w:r/>
            <w:r>
              <w:rPr>
                <w:b/>
                <w:sz w:val="15"/>
              </w:rPr>
              <w:t>Δ</w:t>
            </w:r>
            <w:r>
              <w:rPr>
                <w:b/>
                <w:i/>
                <w:sz w:val="15"/>
              </w:rPr>
              <w:t>T</w:t>
            </w:r>
            <w:r>
              <w:rPr>
                <w:b/>
                <w:sz w:val="15"/>
                <w:vertAlign w:val="subscript"/>
              </w:rPr>
              <w:t>a</w:t>
            </w:r>
            <w:r>
              <w:rPr>
                <w:b/>
                <w:sz w:val="15"/>
                <w:vertAlign w:val="subscript"/>
              </w:rPr>
              <w:t>d</w:t>
            </w:r>
            <w:r>
              <w:rPr>
                <w:b/>
                <w:sz w:val="15"/>
              </w:rPr>
              <w:t xml:space="preserve"> (K)</w:t>
            </w:r>
          </w:p>
        </w:tc>
        <w:tc>
          <w:tcPr>
            <w:tcW w:type="dxa" w:w="1296"/>
          </w:tcPr>
          <w:p>
            <w:pPr>
              <w:spacing w:line="240" w:lineRule="auto" w:after="20"/>
            </w:pPr>
            <w:r/>
            <w:r>
              <w:rPr>
                <w:b/>
                <w:i/>
                <w:sz w:val="15"/>
              </w:rPr>
              <w:t>T</w:t>
            </w:r>
            <w:r>
              <w:rPr>
                <w:b/>
                <w:sz w:val="15"/>
                <w:vertAlign w:val="subscript"/>
              </w:rPr>
              <w:t>∞</w:t>
            </w:r>
            <w:r>
              <w:rPr>
                <w:b/>
                <w:sz w:val="15"/>
              </w:rPr>
              <w:t xml:space="preserve"> at ignition fold (°C)</w:t>
            </w:r>
          </w:p>
        </w:tc>
        <w:tc>
          <w:tcPr>
            <w:tcW w:type="dxa" w:w="1296"/>
          </w:tcPr>
          <w:p>
            <w:pPr>
              <w:spacing w:line="240" w:lineRule="auto" w:after="20"/>
            </w:pPr>
            <w:r/>
            <w:r>
              <w:rPr>
                <w:b/>
                <w:i/>
                <w:sz w:val="15"/>
              </w:rPr>
              <w:t>ψ</w:t>
            </w:r>
            <w:r>
              <w:rPr>
                <w:b/>
                <w:sz w:val="15"/>
              </w:rPr>
              <w:t xml:space="preserve">, </w:t>
            </w:r>
            <w:r>
              <w:rPr>
                <w:b/>
                <w:i/>
                <w:sz w:val="15"/>
              </w:rPr>
              <w:t>ε</w:t>
            </w:r>
            <w:r>
              <w:rPr>
                <w:b/>
                <w:sz w:val="15"/>
              </w:rPr>
              <w:t xml:space="preserve"> at that fold</w:t>
            </w:r>
          </w:p>
        </w:tc>
        <w:tc>
          <w:tcPr>
            <w:tcW w:type="dxa" w:w="1296"/>
          </w:tcPr>
          <w:p>
            <w:pPr>
              <w:spacing w:line="240" w:lineRule="auto" w:after="20"/>
            </w:pPr>
            <w:r/>
            <w:r>
              <w:rPr>
                <w:b/>
                <w:i/>
                <w:sz w:val="15"/>
              </w:rPr>
              <w:t>T</w:t>
            </w:r>
            <w:r>
              <w:rPr>
                <w:b/>
                <w:sz w:val="15"/>
                <w:vertAlign w:val="subscript"/>
              </w:rPr>
              <w:t>∞</w:t>
            </w:r>
            <w:r>
              <w:rPr>
                <w:b/>
                <w:sz w:val="15"/>
              </w:rPr>
              <w:t xml:space="preserve"> at upper fold (°C)</w:t>
            </w:r>
          </w:p>
        </w:tc>
        <w:tc>
          <w:tcPr>
            <w:tcW w:type="dxa" w:w="1440"/>
          </w:tcPr>
          <w:p>
            <w:pPr>
              <w:spacing w:line="240" w:lineRule="auto" w:after="20"/>
            </w:pPr>
            <w:r/>
            <w:r>
              <w:rPr>
                <w:b/>
                <w:sz w:val="15"/>
              </w:rPr>
              <w:t>Upper branch stable from (°C)</w:t>
            </w:r>
          </w:p>
        </w:tc>
        <w:tc>
          <w:tcPr>
            <w:tcW w:type="dxa" w:w="720"/>
          </w:tcPr>
          <w:p>
            <w:pPr>
              <w:spacing w:line="240" w:lineRule="auto" w:after="20"/>
            </w:pPr>
            <w:r/>
            <w:r>
              <w:rPr>
                <w:b/>
                <w:sz w:val="15"/>
              </w:rPr>
              <w:t>How</w:t>
            </w:r>
          </w:p>
        </w:tc>
        <w:tc>
          <w:tcPr>
            <w:tcW w:type="dxa" w:w="1008"/>
          </w:tcPr>
          <w:p>
            <w:pPr>
              <w:spacing w:line="240" w:lineRule="auto" w:after="20"/>
            </w:pPr>
            <w:r/>
            <w:r>
              <w:rPr>
                <w:b/>
                <w:sz w:val="15"/>
              </w:rPr>
              <w:t>Window (K)</w:t>
            </w:r>
          </w:p>
        </w:tc>
        <w:tc>
          <w:tcPr>
            <w:tcW w:type="dxa" w:w="1296"/>
          </w:tcPr>
          <w:p>
            <w:pPr>
              <w:spacing w:line="240" w:lineRule="auto" w:after="20"/>
            </w:pPr>
            <w:r/>
            <w:r>
              <w:rPr>
                <w:b/>
                <w:sz w:val="15"/>
              </w:rPr>
              <w:t>Fixed-</w:t>
            </w:r>
            <w:r>
              <w:rPr>
                <w:b/>
                <w:i/>
                <w:sz w:val="15"/>
              </w:rPr>
              <w:t>ψ</w:t>
            </w:r>
            <w:r>
              <w:rPr>
                <w:b/>
                <w:sz w:val="15"/>
              </w:rPr>
              <w:t xml:space="preserve"> estimate (K)</w:t>
            </w:r>
          </w:p>
        </w:tc>
      </w:tr>
      <w:tr>
        <w:tc>
          <w:tcPr>
            <w:tcW w:type="dxa" w:w="864"/>
          </w:tcPr>
          <w:p>
            <w:pPr>
              <w:spacing w:line="240" w:lineRule="auto" w:after="20"/>
            </w:pPr>
            <w:r/>
            <w:r>
              <w:rPr>
                <w:sz w:val="15"/>
              </w:rPr>
              <w:t>120</w:t>
            </w:r>
          </w:p>
        </w:tc>
        <w:tc>
          <w:tcPr>
            <w:tcW w:type="dxa" w:w="1296"/>
          </w:tcPr>
          <w:p>
            <w:pPr>
              <w:spacing w:line="240" w:lineRule="auto" w:after="20"/>
            </w:pPr>
            <w:r/>
            <w:r>
              <w:rPr>
                <w:sz w:val="15"/>
              </w:rPr>
              <w:t>154.70</w:t>
            </w:r>
          </w:p>
        </w:tc>
        <w:tc>
          <w:tcPr>
            <w:tcW w:type="dxa" w:w="1296"/>
          </w:tcPr>
          <w:p>
            <w:pPr>
              <w:spacing w:line="240" w:lineRule="auto" w:after="20"/>
            </w:pPr>
            <w:r/>
            <w:r>
              <w:rPr>
                <w:sz w:val="15"/>
              </w:rPr>
              <w:t>5.02, 0.0052</w:t>
            </w:r>
          </w:p>
        </w:tc>
        <w:tc>
          <w:tcPr>
            <w:tcW w:type="dxa" w:w="1296"/>
          </w:tcPr>
          <w:p>
            <w:pPr>
              <w:spacing w:line="240" w:lineRule="auto" w:after="20"/>
            </w:pPr>
            <w:r/>
            <w:r>
              <w:rPr>
                <w:sz w:val="15"/>
              </w:rPr>
              <w:t>152.61</w:t>
            </w:r>
          </w:p>
        </w:tc>
        <w:tc>
          <w:tcPr>
            <w:tcW w:type="dxa" w:w="1440"/>
          </w:tcPr>
          <w:p>
            <w:pPr>
              <w:spacing w:line="240" w:lineRule="auto" w:after="20"/>
            </w:pPr>
            <w:r/>
            <w:r>
              <w:rPr>
                <w:sz w:val="15"/>
              </w:rPr>
              <w:t>152.61</w:t>
            </w:r>
          </w:p>
        </w:tc>
        <w:tc>
          <w:tcPr>
            <w:tcW w:type="dxa" w:w="720"/>
          </w:tcPr>
          <w:p>
            <w:pPr>
              <w:spacing w:line="240" w:lineRule="auto" w:after="20"/>
            </w:pPr>
            <w:r/>
            <w:r>
              <w:rPr>
                <w:sz w:val="15"/>
              </w:rPr>
              <w:t>fold</w:t>
            </w:r>
          </w:p>
        </w:tc>
        <w:tc>
          <w:tcPr>
            <w:tcW w:type="dxa" w:w="1008"/>
          </w:tcPr>
          <w:p>
            <w:pPr>
              <w:spacing w:line="240" w:lineRule="auto" w:after="20"/>
            </w:pPr>
            <w:r/>
            <w:r>
              <w:rPr>
                <w:sz w:val="15"/>
              </w:rPr>
              <w:t>2.1</w:t>
            </w:r>
          </w:p>
        </w:tc>
        <w:tc>
          <w:tcPr>
            <w:tcW w:type="dxa" w:w="1296"/>
          </w:tcPr>
          <w:p>
            <w:pPr>
              <w:spacing w:line="240" w:lineRule="auto" w:after="20"/>
            </w:pPr>
            <w:r/>
            <w:r>
              <w:rPr>
                <w:sz w:val="15"/>
              </w:rPr>
              <w:t>2.7</w:t>
            </w:r>
          </w:p>
        </w:tc>
      </w:tr>
      <w:tr>
        <w:tc>
          <w:tcPr>
            <w:tcW w:type="dxa" w:w="864"/>
          </w:tcPr>
          <w:p>
            <w:pPr>
              <w:spacing w:line="240" w:lineRule="auto" w:after="20"/>
            </w:pPr>
            <w:r/>
            <w:r>
              <w:rPr>
                <w:sz w:val="15"/>
              </w:rPr>
              <w:t>160</w:t>
            </w:r>
          </w:p>
        </w:tc>
        <w:tc>
          <w:tcPr>
            <w:tcW w:type="dxa" w:w="1296"/>
          </w:tcPr>
          <w:p>
            <w:pPr>
              <w:spacing w:line="240" w:lineRule="auto" w:after="20"/>
            </w:pPr>
            <w:r/>
            <w:r>
              <w:rPr>
                <w:sz w:val="15"/>
              </w:rPr>
              <w:t>153.45</w:t>
            </w:r>
          </w:p>
        </w:tc>
        <w:tc>
          <w:tcPr>
            <w:tcW w:type="dxa" w:w="1296"/>
          </w:tcPr>
          <w:p>
            <w:pPr>
              <w:spacing w:line="240" w:lineRule="auto" w:after="20"/>
            </w:pPr>
            <w:r/>
            <w:r>
              <w:rPr>
                <w:sz w:val="15"/>
              </w:rPr>
              <w:t>6.74, 0.0053</w:t>
            </w:r>
          </w:p>
        </w:tc>
        <w:tc>
          <w:tcPr>
            <w:tcW w:type="dxa" w:w="1296"/>
          </w:tcPr>
          <w:p>
            <w:pPr>
              <w:spacing w:line="240" w:lineRule="auto" w:after="20"/>
            </w:pPr>
            <w:r/>
            <w:r>
              <w:rPr>
                <w:sz w:val="15"/>
              </w:rPr>
              <w:t>144.01</w:t>
            </w:r>
          </w:p>
        </w:tc>
        <w:tc>
          <w:tcPr>
            <w:tcW w:type="dxa" w:w="1440"/>
          </w:tcPr>
          <w:p>
            <w:pPr>
              <w:spacing w:line="240" w:lineRule="auto" w:after="20"/>
            </w:pPr>
            <w:r/>
            <w:r>
              <w:rPr>
                <w:sz w:val="15"/>
              </w:rPr>
              <w:t>144.01</w:t>
            </w:r>
          </w:p>
        </w:tc>
        <w:tc>
          <w:tcPr>
            <w:tcW w:type="dxa" w:w="720"/>
          </w:tcPr>
          <w:p>
            <w:pPr>
              <w:spacing w:line="240" w:lineRule="auto" w:after="20"/>
            </w:pPr>
            <w:r/>
            <w:r>
              <w:rPr>
                <w:sz w:val="15"/>
              </w:rPr>
              <w:t>fold</w:t>
            </w:r>
          </w:p>
        </w:tc>
        <w:tc>
          <w:tcPr>
            <w:tcW w:type="dxa" w:w="1008"/>
          </w:tcPr>
          <w:p>
            <w:pPr>
              <w:spacing w:line="240" w:lineRule="auto" w:after="20"/>
            </w:pPr>
            <w:r/>
            <w:r>
              <w:rPr>
                <w:sz w:val="15"/>
              </w:rPr>
              <w:t>9.4</w:t>
            </w:r>
          </w:p>
        </w:tc>
        <w:tc>
          <w:tcPr>
            <w:tcW w:type="dxa" w:w="1296"/>
          </w:tcPr>
          <w:p>
            <w:pPr>
              <w:spacing w:line="240" w:lineRule="auto" w:after="20"/>
            </w:pPr>
            <w:r/>
            <w:r>
              <w:rPr>
                <w:sz w:val="15"/>
              </w:rPr>
              <w:t>11.2</w:t>
            </w:r>
          </w:p>
        </w:tc>
      </w:tr>
      <w:tr>
        <w:tc>
          <w:tcPr>
            <w:tcW w:type="dxa" w:w="864"/>
          </w:tcPr>
          <w:p>
            <w:pPr>
              <w:spacing w:line="240" w:lineRule="auto" w:after="20"/>
            </w:pPr>
            <w:r/>
            <w:r>
              <w:rPr>
                <w:sz w:val="15"/>
              </w:rPr>
              <w:t>220</w:t>
            </w:r>
          </w:p>
        </w:tc>
        <w:tc>
          <w:tcPr>
            <w:tcW w:type="dxa" w:w="1296"/>
          </w:tcPr>
          <w:p>
            <w:pPr>
              <w:spacing w:line="240" w:lineRule="auto" w:after="20"/>
            </w:pPr>
            <w:r/>
            <w:r>
              <w:rPr>
                <w:sz w:val="15"/>
              </w:rPr>
              <w:t>152.09</w:t>
            </w:r>
          </w:p>
        </w:tc>
        <w:tc>
          <w:tcPr>
            <w:tcW w:type="dxa" w:w="1296"/>
          </w:tcPr>
          <w:p>
            <w:pPr>
              <w:spacing w:line="240" w:lineRule="auto" w:after="20"/>
            </w:pPr>
            <w:r/>
            <w:r>
              <w:rPr>
                <w:sz w:val="15"/>
              </w:rPr>
              <w:t>9.32, 0.0053</w:t>
            </w:r>
          </w:p>
        </w:tc>
        <w:tc>
          <w:tcPr>
            <w:tcW w:type="dxa" w:w="1296"/>
          </w:tcPr>
          <w:p>
            <w:pPr>
              <w:spacing w:line="240" w:lineRule="auto" w:after="20"/>
            </w:pPr>
            <w:r/>
            <w:r>
              <w:rPr>
                <w:sz w:val="15"/>
              </w:rPr>
              <w:t>127.15</w:t>
            </w:r>
          </w:p>
        </w:tc>
        <w:tc>
          <w:tcPr>
            <w:tcW w:type="dxa" w:w="1440"/>
          </w:tcPr>
          <w:p>
            <w:pPr>
              <w:spacing w:line="240" w:lineRule="auto" w:after="20"/>
            </w:pPr>
            <w:r/>
            <w:r>
              <w:rPr>
                <w:sz w:val="15"/>
              </w:rPr>
              <w:t>127.89</w:t>
            </w:r>
          </w:p>
        </w:tc>
        <w:tc>
          <w:tcPr>
            <w:tcW w:type="dxa" w:w="720"/>
          </w:tcPr>
          <w:p>
            <w:pPr>
              <w:spacing w:line="240" w:lineRule="auto" w:after="20"/>
            </w:pPr>
            <w:r/>
            <w:r>
              <w:rPr>
                <w:sz w:val="15"/>
              </w:rPr>
              <w:t>hopf</w:t>
            </w:r>
          </w:p>
        </w:tc>
        <w:tc>
          <w:tcPr>
            <w:tcW w:type="dxa" w:w="1008"/>
          </w:tcPr>
          <w:p>
            <w:pPr>
              <w:spacing w:line="240" w:lineRule="auto" w:after="20"/>
            </w:pPr>
            <w:r/>
            <w:r>
              <w:rPr>
                <w:sz w:val="15"/>
              </w:rPr>
              <w:t>24.2</w:t>
            </w:r>
          </w:p>
        </w:tc>
        <w:tc>
          <w:tcPr>
            <w:tcW w:type="dxa" w:w="1296"/>
          </w:tcPr>
          <w:p>
            <w:pPr>
              <w:spacing w:line="240" w:lineRule="auto" w:after="20"/>
            </w:pPr>
            <w:r/>
            <w:r>
              <w:rPr>
                <w:sz w:val="15"/>
              </w:rPr>
              <w:t>26.6</w:t>
            </w:r>
          </w:p>
        </w:tc>
      </w:tr>
    </w:tbl>
    <w:p>
      <w:pPr>
        <w:spacing w:after="40"/>
      </w:pPr>
    </w:p>
    <w:p>
      <w:pPr>
        <w:keepNext/>
        <w:spacing w:before="160" w:after="40"/>
        <w:jc w:val="center"/>
      </w:pPr>
      <w:r>
        <w:drawing>
          <wp:inline xmlns:a="http://schemas.openxmlformats.org/drawingml/2006/main" xmlns:pic="http://schemas.openxmlformats.org/drawingml/2006/picture">
            <wp:extent cx="4297680" cy="2377440"/>
            <wp:docPr id="5" name="Picture 5" descr="Two panels. (a) Conversion against wall temperature with stable and unstable steady states and up and down temperature ramps. (b) Extinction value of ln D against integrator tolerance lying between the Hopf-type point and the upper fold."/>
            <wp:cNvGraphicFramePr>
              <a:graphicFrameLocks noChangeAspect="1"/>
            </wp:cNvGraphicFramePr>
            <a:graphic>
              <a:graphicData uri="http://schemas.openxmlformats.org/drawingml/2006/picture">
                <pic:pic>
                  <pic:nvPicPr>
                    <pic:cNvPr id="0" name="fig5_arrhenius_path.png"/>
                    <pic:cNvPicPr/>
                  </pic:nvPicPr>
                  <pic:blipFill>
                    <a:blip r:embed="rId14"/>
                    <a:stretch>
                      <a:fillRect/>
                    </a:stretch>
                  </pic:blipFill>
                  <pic:spPr>
                    <a:xfrm>
                      <a:off x="0" y="0"/>
                      <a:ext cx="4297680" cy="2377440"/>
                    </a:xfrm>
                    <a:prstGeom prst="rect"/>
                  </pic:spPr>
                </pic:pic>
              </a:graphicData>
            </a:graphic>
          </wp:inline>
        </w:drawing>
      </w:r>
    </w:p>
    <w:p>
      <w:pPr>
        <w:keepNext w:val="0"/>
        <w:spacing w:line="276" w:lineRule="auto" w:after="200"/>
      </w:pPr>
      <w:r>
        <w:rPr>
          <w:b/>
          <w:sz w:val="19"/>
        </w:rPr>
        <w:t>Fig. 5</w:t>
      </w:r>
      <w:r>
        <w:rPr>
          <w:sz w:val="19"/>
        </w:rPr>
        <w:t xml:space="preserve"> (a) Steady states (solid: stable; dashed: unstable) and temperature ramps on the Arrhenius path (Δ</w:t>
      </w:r>
      <w:r>
        <w:rPr>
          <w:i/>
          <w:sz w:val="19"/>
        </w:rPr>
        <w:t>T</w:t>
      </w:r>
      <w:r>
        <w:rPr>
          <w:sz w:val="19"/>
          <w:vertAlign w:val="subscript"/>
        </w:rPr>
        <w:t>a</w:t>
      </w:r>
      <w:r>
        <w:rPr>
          <w:sz w:val="19"/>
          <w:vertAlign w:val="subscript"/>
        </w:rPr>
        <w:t>d</w:t>
      </w:r>
      <w:r>
        <w:rPr>
          <w:sz w:val="19"/>
        </w:rPr>
        <w:t xml:space="preserve"> = 220 K, </w:t>
      </w:r>
      <w:r>
        <w:rPr>
          <w:i/>
          <w:sz w:val="19"/>
        </w:rPr>
        <w:t>τ</w:t>
      </w:r>
      <w:r>
        <w:rPr>
          <w:sz w:val="19"/>
          <w:vertAlign w:val="subscript"/>
        </w:rPr>
        <w:t>r</w:t>
      </w:r>
      <w:r>
        <w:rPr>
          <w:sz w:val="19"/>
          <w:vertAlign w:val="subscript"/>
        </w:rPr>
        <w:t>e</w:t>
      </w:r>
      <w:r>
        <w:rPr>
          <w:sz w:val="19"/>
          <w:vertAlign w:val="subscript"/>
        </w:rPr>
        <w:t>s</w:t>
      </w:r>
      <w:r>
        <w:rPr>
          <w:sz w:val="19"/>
        </w:rPr>
        <w:t xml:space="preserve"> = </w:t>
      </w:r>
      <w:r>
        <w:rPr>
          <w:i/>
          <w:sz w:val="19"/>
        </w:rPr>
        <w:t>τ</w:t>
      </w:r>
      <w:r>
        <w:rPr>
          <w:sz w:val="19"/>
          <w:vertAlign w:val="subscript"/>
        </w:rPr>
        <w:t>t</w:t>
      </w:r>
      <w:r>
        <w:rPr>
          <w:sz w:val="19"/>
          <w:vertAlign w:val="subscript"/>
        </w:rPr>
        <w:t>h</w:t>
      </w:r>
      <w:r>
        <w:rPr>
          <w:sz w:val="19"/>
        </w:rPr>
        <w:t xml:space="preserve"> = 3 min); the dash-dot lines mark the stable window. (b) Value of ln </w:t>
      </w:r>
      <w:r>
        <w:rPr>
          <w:i/>
          <w:sz w:val="19"/>
        </w:rPr>
        <w:t>D</w:t>
      </w:r>
      <w:r>
        <w:rPr>
          <w:sz w:val="19"/>
        </w:rPr>
        <w:t xml:space="preserve"> at which the sweep of the exponential model (</w:t>
      </w:r>
      <w:r>
        <w:rPr>
          <w:i/>
          <w:sz w:val="19"/>
        </w:rPr>
        <w:t>ψ</w:t>
      </w:r>
      <w:r>
        <w:rPr>
          <w:sz w:val="19"/>
        </w:rPr>
        <w:t xml:space="preserve"> = 20, </w:t>
      </w:r>
      <w:r>
        <w:rPr>
          <w:i/>
          <w:sz w:val="19"/>
        </w:rPr>
        <w:t>v</w:t>
      </w:r>
      <w:r>
        <w:rPr>
          <w:sz w:val="19"/>
        </w:rPr>
        <w:t xml:space="preserve"> = 0.001) leaves the upper branch, against the integrator tolerance (points: numerical integrations, not joined by a line), between the Hopf-type point and the upper fold</w:t>
      </w:r>
    </w:p>
    <w:p>
      <w:pPr>
        <w:pStyle w:val="Heading2"/>
      </w:pPr>
      <w:r>
        <w:rPr>
          <w:rFonts w:ascii="Times New Roman" w:hAnsi="Times New Roman"/>
        </w:rPr>
        <w:t>3.6 Closed forms as fitting functions: a synthetic-data test</w:t>
      </w:r>
    </w:p>
    <w:p>
      <w:pPr>
        <w:keepNext w:val="0"/>
        <w:jc w:val="both"/>
      </w:pPr>
      <w:r>
        <w:t xml:space="preserve">With a known logistic width </w:t>
      </w:r>
      <w:r>
        <w:rPr>
          <w:i/>
        </w:rPr>
        <w:t>w</w:t>
      </w:r>
      <w:r>
        <w:rPr>
          <w:vertAlign w:val="subscript"/>
        </w:rPr>
        <w:t>0</w:t>
      </w:r>
      <w:r>
        <w:t xml:space="preserve">, the storage curves depend on the capsule population only through the open fraction, i.e. through </w:t>
      </w:r>
      <w:r>
        <w:rPr>
          <w:i/>
        </w:rPr>
        <w:t>z</w:t>
      </w:r>
      <w:r>
        <w:t xml:space="preserve"> = (</w:t>
      </w:r>
      <w:r>
        <w:rPr>
          <w:i/>
        </w:rPr>
        <w:t>T</w:t>
      </w:r>
      <w:r>
        <w:rPr>
          <w:vertAlign w:val="subscript"/>
        </w:rPr>
        <w:t>m</w:t>
      </w:r>
      <w:r>
        <w:t xml:space="preserve"> − </w:t>
      </w:r>
      <w:r>
        <w:rPr>
          <w:i/>
        </w:rPr>
        <w:t>T</w:t>
      </w:r>
      <w:r>
        <w:rPr>
          <w:vertAlign w:val="subscript"/>
        </w:rPr>
        <w:t>s</w:t>
      </w:r>
      <w:r>
        <w:t>)/</w:t>
      </w:r>
      <w:r>
        <w:rPr>
          <w:i/>
        </w:rPr>
        <w:t>σ</w:t>
      </w:r>
      <w:r>
        <w:rPr>
          <w:vertAlign w:val="subscript"/>
        </w:rPr>
        <w:t>e</w:t>
      </w:r>
      <w:r>
        <w:rPr>
          <w:vertAlign w:val="subscript"/>
        </w:rPr>
        <w:t>f</w:t>
      </w:r>
      <w:r>
        <w:rPr>
          <w:vertAlign w:val="subscript"/>
        </w:rPr>
        <w:t>f</w:t>
      </w:r>
      <w:r>
        <w:t xml:space="preserve"> at each storage temperature, so the pair (</w:t>
      </w:r>
      <w:r>
        <w:rPr>
          <w:i/>
        </w:rPr>
        <w:t>T</w:t>
      </w:r>
      <w:r>
        <w:rPr>
          <w:vertAlign w:val="subscript"/>
        </w:rPr>
        <w:t>m</w:t>
      </w:r>
      <w:r>
        <w:t xml:space="preserve">, </w:t>
      </w:r>
      <w:r>
        <w:rPr>
          <w:i/>
        </w:rPr>
        <w:t>σ</w:t>
      </w:r>
      <w:r>
        <w:t xml:space="preserve">) is determined only through the line </w:t>
      </w:r>
      <w:r>
        <w:rPr>
          <w:i/>
        </w:rPr>
        <w:t>z</w:t>
      </w:r>
      <w:r>
        <w:t>(</w:t>
      </w:r>
      <w:r>
        <w:rPr>
          <w:i/>
        </w:rPr>
        <w:t>T</w:t>
      </w:r>
      <w:r>
        <w:rPr>
          <w:vertAlign w:val="subscript"/>
        </w:rPr>
        <w:t>s</w:t>
      </w:r>
      <w:r>
        <w:t>) = (</w:t>
      </w:r>
      <w:r>
        <w:rPr>
          <w:i/>
        </w:rPr>
        <w:t>T</w:t>
      </w:r>
      <w:r>
        <w:rPr>
          <w:vertAlign w:val="subscript"/>
        </w:rPr>
        <w:t>m</w:t>
      </w:r>
      <w:r>
        <w:t xml:space="preserve"> − </w:t>
      </w:r>
      <w:r>
        <w:rPr>
          <w:i/>
        </w:rPr>
        <w:t>T</w:t>
      </w:r>
      <w:r>
        <w:rPr>
          <w:vertAlign w:val="subscript"/>
        </w:rPr>
        <w:t>s</w:t>
      </w:r>
      <w:r>
        <w:t>)/</w:t>
      </w:r>
      <w:r>
        <w:rPr>
          <w:i/>
        </w:rPr>
        <w:t>σ</w:t>
      </w:r>
      <w:r>
        <w:rPr>
          <w:vertAlign w:val="subscript"/>
        </w:rPr>
        <w:t>e</w:t>
      </w:r>
      <w:r>
        <w:rPr>
          <w:vertAlign w:val="subscript"/>
        </w:rPr>
        <w:t>f</w:t>
      </w:r>
      <w:r>
        <w:rPr>
          <w:vertAlign w:val="subscript"/>
        </w:rPr>
        <w:t>f</w:t>
      </w:r>
      <w:r>
        <w:t xml:space="preserve">; an unknown </w:t>
      </w:r>
      <w:r>
        <w:rPr>
          <w:i/>
        </w:rPr>
        <w:t>w</w:t>
      </w:r>
      <w:r>
        <w:rPr>
          <w:vertAlign w:val="subscript"/>
        </w:rPr>
        <w:t>0</w:t>
      </w:r>
      <w:r>
        <w:t xml:space="preserve"> would add a third, confounded parameter. To see how well the pair can be recovered, synthetic isothermal storage curves were generated with the </w:t>
      </w:r>
      <w:r>
        <w:rPr>
          <w:i/>
        </w:rPr>
        <w:t>population ODE</w:t>
      </w:r>
      <w:r>
        <w:t xml:space="preserve"> (not with the closed form) for </w:t>
      </w:r>
      <w:r>
        <w:rPr>
          <w:i/>
        </w:rPr>
        <w:t>σ</w:t>
      </w:r>
      <w:r>
        <w:t xml:space="preserve"> = 5.0 °C, </w:t>
      </w:r>
      <w:r>
        <w:rPr>
          <w:i/>
        </w:rPr>
        <w:t>T</w:t>
      </w:r>
      <w:r>
        <w:rPr>
          <w:vertAlign w:val="subscript"/>
        </w:rPr>
        <w:t>m</w:t>
      </w:r>
      <w:r>
        <w:t xml:space="preserve"> = 118 °C and </w:t>
      </w:r>
      <w:r>
        <w:rPr>
          <w:i/>
        </w:rPr>
        <w:t>w</w:t>
      </w:r>
      <w:r>
        <w:rPr>
          <w:vertAlign w:val="subscript"/>
        </w:rPr>
        <w:t>0</w:t>
      </w:r>
      <w:r>
        <w:t xml:space="preserve"> = 0.5 °C at three storage temperatures (112, 108, 105 °C) and five times (30–150 min), with Gaussian noise of 0.002 in conversion, and fitted by least squares with the closed form (known </w:t>
      </w:r>
      <w:r>
        <w:rPr>
          <w:i/>
        </w:rPr>
        <w:t>w</w:t>
      </w:r>
      <w:r>
        <w:rPr>
          <w:vertAlign w:val="subscript"/>
        </w:rPr>
        <w:t>0</w:t>
      </w:r>
      <w:r>
        <w:t xml:space="preserve">; 200 noise realizations). The estimates are </w:t>
      </w:r>
      <w:r>
        <w:rPr>
          <w:i/>
        </w:rPr>
        <w:t>σ</w:t>
      </w:r>
      <w:r>
        <w:t xml:space="preserve">̂ = 7.5 ± 2.6 °C and </w:t>
      </w:r>
      <w:r>
        <w:rPr>
          <w:i/>
        </w:rPr>
        <w:t>T</w:t>
      </w:r>
      <w:r>
        <w:t>̂</w:t>
      </w:r>
      <w:r>
        <w:rPr>
          <w:vertAlign w:val="subscript"/>
        </w:rPr>
        <w:t>m</w:t>
      </w:r>
      <w:r>
        <w:t xml:space="preserve"> = 120.9 ± 3.1 °C with a correlation of 0.97 (Fig. 6): the two parameters are almost degenerate in this design, and </w:t>
      </w:r>
      <w:r>
        <w:rPr>
          <w:i/>
        </w:rPr>
        <w:t>σ</w:t>
      </w:r>
      <w:r>
        <w:t xml:space="preserve">̂ is biased high along the degenerate direction. An independent constraint on </w:t>
      </w:r>
      <w:r>
        <w:rPr>
          <w:i/>
        </w:rPr>
        <w:t>T</w:t>
      </w:r>
      <w:r>
        <w:rPr>
          <w:vertAlign w:val="subscript"/>
        </w:rPr>
        <w:t>m</w:t>
      </w:r>
      <w:r>
        <w:t xml:space="preserve">, here a prior of 0.5 °C (as from a calorimetric endotherm), markedly improved recovery in this tested design, to </w:t>
      </w:r>
      <w:r>
        <w:rPr>
          <w:i/>
        </w:rPr>
        <w:t>σ</w:t>
      </w:r>
      <w:r>
        <w:t>̂ = 5.1 ± 0.4 °C. Other temperatures, times or noise levels may also improve identifiability; no claim is made about real calorimetry.</w:t>
      </w:r>
    </w:p>
    <w:p>
      <w:pPr>
        <w:keepNext/>
        <w:spacing w:before="160" w:after="40"/>
        <w:jc w:val="center"/>
      </w:pPr>
      <w:r>
        <w:drawing>
          <wp:inline xmlns:a="http://schemas.openxmlformats.org/drawingml/2006/main" xmlns:pic="http://schemas.openxmlformats.org/drawingml/2006/picture">
            <wp:extent cx="3017520" cy="2560320"/>
            <wp:docPr id="6" name="Picture 6" descr="Scatter of recovered mean melting temperature and spread, elongated along a degenerate direction around the true value."/>
            <wp:cNvGraphicFramePr>
              <a:graphicFrameLocks noChangeAspect="1"/>
            </wp:cNvGraphicFramePr>
            <a:graphic>
              <a:graphicData uri="http://schemas.openxmlformats.org/drawingml/2006/picture">
                <pic:pic>
                  <pic:nvPicPr>
                    <pic:cNvPr id="0" name="fig6_recovery.png"/>
                    <pic:cNvPicPr/>
                  </pic:nvPicPr>
                  <pic:blipFill>
                    <a:blip r:embed="rId15"/>
                    <a:stretch>
                      <a:fillRect/>
                    </a:stretch>
                  </pic:blipFill>
                  <pic:spPr>
                    <a:xfrm>
                      <a:off x="0" y="0"/>
                      <a:ext cx="3017520" cy="2560320"/>
                    </a:xfrm>
                    <a:prstGeom prst="rect"/>
                  </pic:spPr>
                </pic:pic>
              </a:graphicData>
            </a:graphic>
          </wp:inline>
        </w:drawing>
      </w:r>
    </w:p>
    <w:p>
      <w:pPr>
        <w:keepNext w:val="0"/>
        <w:spacing w:line="276" w:lineRule="auto" w:after="200"/>
      </w:pPr>
      <w:r>
        <w:rPr>
          <w:b/>
          <w:sz w:val="19"/>
        </w:rPr>
        <w:t>Fig. 6</w:t>
      </w:r>
      <w:r>
        <w:rPr>
          <w:sz w:val="19"/>
        </w:rPr>
        <w:t xml:space="preserve"> Least-squares recovery of (</w:t>
      </w:r>
      <w:r>
        <w:rPr>
          <w:i/>
          <w:sz w:val="19"/>
        </w:rPr>
        <w:t>T</w:t>
      </w:r>
      <w:r>
        <w:rPr>
          <w:sz w:val="19"/>
          <w:vertAlign w:val="subscript"/>
        </w:rPr>
        <w:t>m</w:t>
      </w:r>
      <w:r>
        <w:rPr>
          <w:sz w:val="19"/>
        </w:rPr>
        <w:t xml:space="preserve">, </w:t>
      </w:r>
      <w:r>
        <w:rPr>
          <w:i/>
          <w:sz w:val="19"/>
        </w:rPr>
        <w:t>σ</w:t>
      </w:r>
      <w:r>
        <w:rPr>
          <w:sz w:val="19"/>
        </w:rPr>
        <w:t>) from noisy synthetic storage curves; each point is one noise realization (every fifth shown)</w:t>
      </w:r>
    </w:p>
    <w:p>
      <w:pPr>
        <w:pStyle w:val="Heading1"/>
      </w:pPr>
      <w:r>
        <w:rPr>
          <w:rFonts w:ascii="Times New Roman" w:hAnsi="Times New Roman"/>
        </w:rPr>
        <w:t>4 Status of the claims and approximations</w:t>
      </w:r>
    </w:p>
    <w:p>
      <w:pPr>
        <w:keepNext/>
        <w:spacing w:line="276" w:lineRule="auto" w:after="200"/>
      </w:pPr>
      <w:r>
        <w:rPr>
          <w:b/>
          <w:sz w:val="19"/>
        </w:rPr>
        <w:t>Table 10</w:t>
      </w:r>
      <w:r>
        <w:rPr>
          <w:sz w:val="19"/>
        </w:rPr>
        <w:t xml:space="preserve"> Status of the principal results, their assumptions, and where they fail or have not been tested. All parameters are illustrative.</w:t>
      </w:r>
    </w:p>
    <w:tbl>
      <w:tblPr>
        <w:tblStyle w:val="TableGrid"/>
        <w:tblW w:type="auto" w:w="0"/>
        <w:jc w:val="center"/>
        <w:tblLayout w:type="fixed"/>
        <w:tblLook w:firstColumn="1" w:firstRow="1" w:lastColumn="0" w:lastRow="0" w:noHBand="0" w:noVBand="1" w:val="04A0"/>
      </w:tblPr>
      <w:tblGrid>
        <w:gridCol w:w="2160"/>
        <w:gridCol w:w="2160"/>
        <w:gridCol w:w="2592"/>
        <w:gridCol w:w="2880"/>
      </w:tblGrid>
      <w:tr>
        <w:trPr>
          <w:tblHeader w:val="true"/>
        </w:trPr>
        <w:tc>
          <w:tcPr>
            <w:tcW w:type="dxa" w:w="2160"/>
          </w:tcPr>
          <w:p>
            <w:pPr>
              <w:spacing w:line="240" w:lineRule="auto" w:after="20"/>
            </w:pPr>
            <w:r/>
            <w:r>
              <w:rPr>
                <w:b/>
                <w:sz w:val="16"/>
              </w:rPr>
              <w:t>Result</w:t>
            </w:r>
          </w:p>
        </w:tc>
        <w:tc>
          <w:tcPr>
            <w:tcW w:type="dxa" w:w="2160"/>
          </w:tcPr>
          <w:p>
            <w:pPr>
              <w:spacing w:line="240" w:lineRule="auto" w:after="20"/>
            </w:pPr>
            <w:r/>
            <w:r>
              <w:rPr>
                <w:b/>
                <w:sz w:val="16"/>
              </w:rPr>
              <w:t>Status</w:t>
            </w:r>
          </w:p>
        </w:tc>
        <w:tc>
          <w:tcPr>
            <w:tcW w:type="dxa" w:w="2592"/>
          </w:tcPr>
          <w:p>
            <w:pPr>
              <w:spacing w:line="240" w:lineRule="auto" w:after="20"/>
            </w:pPr>
            <w:r/>
            <w:r>
              <w:rPr>
                <w:b/>
                <w:sz w:val="16"/>
              </w:rPr>
              <w:t>Assumption it rests on</w:t>
            </w:r>
          </w:p>
        </w:tc>
        <w:tc>
          <w:tcPr>
            <w:tcW w:type="dxa" w:w="2880"/>
          </w:tcPr>
          <w:p>
            <w:pPr>
              <w:spacing w:line="240" w:lineRule="auto" w:after="20"/>
            </w:pPr>
            <w:r/>
            <w:r>
              <w:rPr>
                <w:b/>
                <w:sz w:val="16"/>
              </w:rPr>
              <w:t>Where it fails or is untested</w:t>
            </w:r>
          </w:p>
        </w:tc>
      </w:tr>
      <w:tr>
        <w:tc>
          <w:tcPr>
            <w:tcW w:type="dxa" w:w="2160"/>
          </w:tcPr>
          <w:p>
            <w:pPr>
              <w:spacing w:line="240" w:lineRule="auto" w:after="20"/>
            </w:pPr>
            <w:r/>
            <w:r>
              <w:rPr>
                <w:sz w:val="16"/>
              </w:rPr>
              <w:t>Availability clock (Prop. 1)</w:t>
            </w:r>
          </w:p>
        </w:tc>
        <w:tc>
          <w:tcPr>
            <w:tcW w:type="dxa" w:w="2160"/>
          </w:tcPr>
          <w:p>
            <w:pPr>
              <w:spacing w:line="240" w:lineRule="auto" w:after="20"/>
            </w:pPr>
            <w:r/>
            <w:r>
              <w:rPr>
                <w:sz w:val="16"/>
              </w:rPr>
              <w:t>Exact</w:t>
            </w:r>
          </w:p>
        </w:tc>
        <w:tc>
          <w:tcPr>
            <w:tcW w:type="dxa" w:w="2592"/>
          </w:tcPr>
          <w:p>
            <w:pPr>
              <w:spacing w:line="240" w:lineRule="auto" w:after="20"/>
            </w:pPr>
            <w:r/>
            <w:r>
              <w:rPr>
                <w:sz w:val="16"/>
              </w:rPr>
              <w:t xml:space="preserve">Constant temperature; </w:t>
            </w:r>
            <w:r>
              <w:rPr>
                <w:i/>
                <w:sz w:val="16"/>
              </w:rPr>
              <w:t>α</w:t>
            </w:r>
            <w:r>
              <w:rPr>
                <w:sz w:val="16"/>
              </w:rPr>
              <w:t xml:space="preserve">(0) = 0, </w:t>
            </w:r>
            <w:r>
              <w:rPr>
                <w:i/>
                <w:sz w:val="16"/>
              </w:rPr>
              <w:t>C</w:t>
            </w:r>
            <w:r>
              <w:rPr>
                <w:i/>
                <w:sz w:val="16"/>
                <w:vertAlign w:val="subscript"/>
              </w:rPr>
              <w:t>i</w:t>
            </w:r>
            <w:r>
              <w:rPr>
                <w:sz w:val="16"/>
              </w:rPr>
              <w:t>(0) = 0; one availability function ⟨</w:t>
            </w:r>
            <w:r>
              <w:rPr>
                <w:i/>
                <w:sz w:val="16"/>
              </w:rPr>
              <w:t>C</w:t>
            </w:r>
            <w:r>
              <w:rPr>
                <w:sz w:val="16"/>
              </w:rPr>
              <w:t>⟩(</w:t>
            </w:r>
            <w:r>
              <w:rPr>
                <w:i/>
                <w:sz w:val="16"/>
              </w:rPr>
              <w:t>t</w:t>
            </w:r>
            <w:r>
              <w:rPr>
                <w:sz w:val="16"/>
              </w:rPr>
              <w:t>)</w:t>
            </w:r>
          </w:p>
        </w:tc>
        <w:tc>
          <w:tcPr>
            <w:tcW w:type="dxa" w:w="2880"/>
          </w:tcPr>
          <w:p>
            <w:pPr>
              <w:spacing w:line="240" w:lineRule="auto" w:after="20"/>
            </w:pPr>
            <w:r/>
            <w:r>
              <w:rPr>
                <w:sz w:val="16"/>
              </w:rPr>
              <w:t>Temperature transients and exotherm; the delay is conversion dependent (Eq. (6)), and incomplete activation changes the clock</w:t>
            </w:r>
          </w:p>
        </w:tc>
      </w:tr>
      <w:tr>
        <w:tc>
          <w:tcPr>
            <w:tcW w:type="dxa" w:w="2160"/>
          </w:tcPr>
          <w:p>
            <w:pPr>
              <w:spacing w:line="240" w:lineRule="auto" w:after="20"/>
            </w:pPr>
            <w:r/>
            <w:r>
              <w:rPr>
                <w:sz w:val="16"/>
              </w:rPr>
              <w:t>Isothermal time and sharpness (Prop. 2)</w:t>
            </w:r>
          </w:p>
        </w:tc>
        <w:tc>
          <w:tcPr>
            <w:tcW w:type="dxa" w:w="2160"/>
          </w:tcPr>
          <w:p>
            <w:pPr>
              <w:spacing w:line="240" w:lineRule="auto" w:after="20"/>
            </w:pPr>
            <w:r/>
            <w:r>
              <w:rPr>
                <w:sz w:val="16"/>
              </w:rPr>
              <w:t xml:space="preserve">Exact (quadrature); </w:t>
            </w:r>
            <w:r>
              <w:rPr>
                <w:i/>
                <w:sz w:val="16"/>
              </w:rPr>
              <w:t>n</w:t>
            </w:r>
            <w:r>
              <w:rPr>
                <w:sz w:val="16"/>
              </w:rPr>
              <w:t xml:space="preserve"> = 1 closed form; sharpness law asymptotic</w:t>
            </w:r>
          </w:p>
        </w:tc>
        <w:tc>
          <w:tcPr>
            <w:tcW w:type="dxa" w:w="2592"/>
          </w:tcPr>
          <w:p>
            <w:pPr>
              <w:spacing w:line="240" w:lineRule="auto" w:after="20"/>
            </w:pPr>
            <w:r/>
            <w:r>
              <w:rPr>
                <w:i/>
                <w:sz w:val="16"/>
              </w:rPr>
              <w:t>m</w:t>
            </w:r>
            <w:r>
              <w:rPr>
                <w:sz w:val="16"/>
              </w:rPr>
              <w:t xml:space="preserve"> = 1; no diffusion control</w:t>
            </w:r>
          </w:p>
        </w:tc>
        <w:tc>
          <w:tcPr>
            <w:tcW w:type="dxa" w:w="2880"/>
          </w:tcPr>
          <w:p>
            <w:pPr>
              <w:spacing w:line="240" w:lineRule="auto" w:after="20"/>
            </w:pPr>
            <w:r/>
            <w:r>
              <w:rPr>
                <w:sz w:val="16"/>
              </w:rPr>
              <w:t xml:space="preserve">Sharpness law only for </w:t>
            </w:r>
            <w:r>
              <w:rPr>
                <w:i/>
                <w:sz w:val="16"/>
              </w:rPr>
              <w:t>n</w:t>
            </w:r>
            <w:r>
              <w:rPr>
                <w:sz w:val="16"/>
              </w:rPr>
              <w:t xml:space="preserve"> = 1 and </w:t>
            </w:r>
            <w:r>
              <w:rPr>
                <w:i/>
                <w:sz w:val="16"/>
              </w:rPr>
              <w:t>b</w:t>
            </w:r>
            <w:r>
              <w:rPr>
                <w:sz w:val="16"/>
              </w:rPr>
              <w:t xml:space="preserve"> ≫ 9a; vitrification not modelled</w:t>
            </w:r>
          </w:p>
        </w:tc>
      </w:tr>
      <w:tr>
        <w:tc>
          <w:tcPr>
            <w:tcW w:type="dxa" w:w="2160"/>
          </w:tcPr>
          <w:p>
            <w:pPr>
              <w:spacing w:line="240" w:lineRule="auto" w:after="20"/>
            </w:pPr>
            <w:r/>
            <w:r>
              <w:rPr>
                <w:sz w:val="16"/>
              </w:rPr>
              <w:t xml:space="preserve">Storage conversion and </w:t>
            </w:r>
            <w:r>
              <w:rPr>
                <w:i/>
                <w:sz w:val="16"/>
              </w:rPr>
              <w:t>σ</w:t>
            </w:r>
            <w:r>
              <w:rPr>
                <w:sz w:val="16"/>
                <w:vertAlign w:val="superscript"/>
              </w:rPr>
              <w:t>*</w:t>
            </w:r>
            <w:r>
              <w:rPr>
                <w:sz w:val="16"/>
              </w:rPr>
              <w:t xml:space="preserve"> (Prop. 3)</w:t>
            </w:r>
          </w:p>
        </w:tc>
        <w:tc>
          <w:tcPr>
            <w:tcW w:type="dxa" w:w="2160"/>
          </w:tcPr>
          <w:p>
            <w:pPr>
              <w:spacing w:line="240" w:lineRule="auto" w:after="20"/>
            </w:pPr>
            <w:r/>
            <w:r>
              <w:rPr>
                <w:sz w:val="16"/>
              </w:rPr>
              <w:t>Linearized closed form; probit approximation; verified to a few percent</w:t>
            </w:r>
          </w:p>
        </w:tc>
        <w:tc>
          <w:tcPr>
            <w:tcW w:type="dxa" w:w="2592"/>
          </w:tcPr>
          <w:p>
            <w:pPr>
              <w:spacing w:line="240" w:lineRule="auto" w:after="20"/>
            </w:pPr>
            <w:r/>
            <w:r>
              <w:rPr>
                <w:sz w:val="16"/>
              </w:rPr>
              <w:t>Gaussian spread; equal-mass independent capsules; small conversion</w:t>
            </w:r>
          </w:p>
        </w:tc>
        <w:tc>
          <w:tcPr>
            <w:tcW w:type="dxa" w:w="2880"/>
          </w:tcPr>
          <w:p>
            <w:pPr>
              <w:spacing w:line="240" w:lineRule="auto" w:after="20"/>
            </w:pPr>
            <w:r/>
            <w:r>
              <w:rPr>
                <w:sz w:val="16"/>
              </w:rPr>
              <w:t>Large tolerance (</w:t>
            </w:r>
            <w:r>
              <w:rPr>
                <w:i/>
                <w:sz w:val="16"/>
              </w:rPr>
              <w:t>η</w:t>
            </w:r>
            <w:r>
              <w:rPr>
                <w:sz w:val="16"/>
              </w:rPr>
              <w:t xml:space="preserve"> ≳ 0.05); skewed or bimodal distributions; capsule–capsule heat exchange</w:t>
            </w:r>
          </w:p>
        </w:tc>
      </w:tr>
      <w:tr>
        <w:tc>
          <w:tcPr>
            <w:tcW w:type="dxa" w:w="2160"/>
          </w:tcPr>
          <w:p>
            <w:pPr>
              <w:spacing w:line="240" w:lineRule="auto" w:after="20"/>
            </w:pPr>
            <w:r/>
            <w:r>
              <w:rPr>
                <w:sz w:val="16"/>
              </w:rPr>
              <w:t>Critical number (Prop. 4)</w:t>
            </w:r>
          </w:p>
        </w:tc>
        <w:tc>
          <w:tcPr>
            <w:tcW w:type="dxa" w:w="2160"/>
          </w:tcPr>
          <w:p>
            <w:pPr>
              <w:spacing w:line="240" w:lineRule="auto" w:after="20"/>
            </w:pPr>
            <w:r/>
            <w:r>
              <w:rPr>
                <w:sz w:val="16"/>
              </w:rPr>
              <w:t>Frozen-conversion fold, closed form; operational thresholds numerical</w:t>
            </w:r>
          </w:p>
        </w:tc>
        <w:tc>
          <w:tcPr>
            <w:tcW w:type="dxa" w:w="2592"/>
          </w:tcPr>
          <w:p>
            <w:pPr>
              <w:spacing w:line="240" w:lineRule="auto" w:after="20"/>
            </w:pPr>
            <w:r/>
            <w:r>
              <w:rPr>
                <w:sz w:val="16"/>
              </w:rPr>
              <w:t xml:space="preserve">Exponential comparison model; ungated; </w:t>
            </w:r>
            <w:r>
              <w:rPr>
                <w:i/>
                <w:sz w:val="16"/>
              </w:rPr>
              <w:t>Θ</w:t>
            </w:r>
            <w:r>
              <w:rPr>
                <w:sz w:val="16"/>
              </w:rPr>
              <w:t xml:space="preserve"> → 0</w:t>
            </w:r>
          </w:p>
        </w:tc>
        <w:tc>
          <w:tcPr>
            <w:tcW w:type="dxa" w:w="2880"/>
          </w:tcPr>
          <w:p>
            <w:pPr>
              <w:spacing w:line="240" w:lineRule="auto" w:after="20"/>
            </w:pPr>
            <w:r/>
            <w:r>
              <w:rPr>
                <w:sz w:val="16"/>
              </w:rPr>
              <w:t xml:space="preserve">Finite </w:t>
            </w:r>
            <w:r>
              <w:rPr>
                <w:i/>
                <w:sz w:val="16"/>
              </w:rPr>
              <w:t>Θ</w:t>
            </w:r>
            <w:r>
              <w:rPr>
                <w:sz w:val="16"/>
              </w:rPr>
              <w:t xml:space="preserve"> shifts </w:t>
            </w:r>
            <w:r>
              <w:rPr>
                <w:i/>
                <w:sz w:val="16"/>
              </w:rPr>
              <w:t>Π</w:t>
            </w:r>
            <w:r>
              <w:rPr>
                <w:sz w:val="16"/>
                <w:vertAlign w:val="subscript"/>
              </w:rPr>
              <w:t>c</w:t>
            </w:r>
            <w:r>
              <w:rPr>
                <w:sz w:val="16"/>
              </w:rPr>
              <w:t xml:space="preserve"> upward (computed only); whether the fold marks ignition of a finite batch is numerical; spatial gradients absent</w:t>
            </w:r>
          </w:p>
        </w:tc>
      </w:tr>
      <w:tr>
        <w:tc>
          <w:tcPr>
            <w:tcW w:type="dxa" w:w="2160"/>
          </w:tcPr>
          <w:p>
            <w:pPr>
              <w:spacing w:line="240" w:lineRule="auto" w:after="20"/>
            </w:pPr>
            <w:r/>
            <w:r>
              <w:rPr>
                <w:sz w:val="16"/>
              </w:rPr>
              <w:t>Arrhenius factor</w:t>
            </w:r>
          </w:p>
        </w:tc>
        <w:tc>
          <w:tcPr>
            <w:tcW w:type="dxa" w:w="2160"/>
          </w:tcPr>
          <w:p>
            <w:pPr>
              <w:spacing w:line="240" w:lineRule="auto" w:after="20"/>
            </w:pPr>
            <w:r/>
            <w:r>
              <w:rPr>
                <w:sz w:val="16"/>
              </w:rPr>
              <w:t>Frozen-fold factor (exact for one Arrhenius source); exp(1/</w:t>
            </w:r>
            <w:r>
              <w:rPr>
                <w:i/>
                <w:sz w:val="16"/>
              </w:rPr>
              <w:t>Ar</w:t>
            </w:r>
            <w:r>
              <w:rPr>
                <w:sz w:val="16"/>
              </w:rPr>
              <w:t>) first-order</w:t>
            </w:r>
          </w:p>
        </w:tc>
        <w:tc>
          <w:tcPr>
            <w:tcW w:type="dxa" w:w="2592"/>
          </w:tcPr>
          <w:p>
            <w:pPr>
              <w:spacing w:line="240" w:lineRule="auto" w:after="20"/>
            </w:pPr>
            <w:r/>
            <w:r>
              <w:rPr>
                <w:sz w:val="16"/>
              </w:rPr>
              <w:t>Single Arrhenius source for the fold</w:t>
            </w:r>
          </w:p>
        </w:tc>
        <w:tc>
          <w:tcPr>
            <w:tcW w:type="dxa" w:w="2880"/>
          </w:tcPr>
          <w:p>
            <w:pPr>
              <w:spacing w:line="240" w:lineRule="auto" w:after="20"/>
            </w:pPr>
            <w:r/>
            <w:r>
              <w:rPr>
                <w:sz w:val="16"/>
              </w:rPr>
              <w:t xml:space="preserve">Tested only for </w:t>
            </w:r>
            <w:r>
              <w:rPr>
                <w:i/>
                <w:sz w:val="16"/>
              </w:rPr>
              <w:t>Ar</w:t>
            </w:r>
            <w:r>
              <w:rPr>
                <w:sz w:val="16"/>
              </w:rPr>
              <w:t xml:space="preserve"> = 18.0–19.9 and </w:t>
            </w:r>
            <w:r>
              <w:rPr>
                <w:i/>
                <w:sz w:val="16"/>
              </w:rPr>
              <w:t>Θ</w:t>
            </w:r>
            <w:r>
              <w:rPr>
                <w:sz w:val="16"/>
              </w:rPr>
              <w:t xml:space="preserve"> ≤ 0.1; not tested at small </w:t>
            </w:r>
            <w:r>
              <w:rPr>
                <w:i/>
                <w:sz w:val="16"/>
              </w:rPr>
              <w:t>Ar</w:t>
            </w:r>
          </w:p>
        </w:tc>
      </w:tr>
      <w:tr>
        <w:tc>
          <w:tcPr>
            <w:tcW w:type="dxa" w:w="2160"/>
          </w:tcPr>
          <w:p>
            <w:pPr>
              <w:spacing w:line="240" w:lineRule="auto" w:after="20"/>
            </w:pPr>
            <w:r/>
            <w:r>
              <w:rPr>
                <w:sz w:val="16"/>
              </w:rPr>
              <w:t>Flow reactor multiplicity (Prop. 5)</w:t>
            </w:r>
          </w:p>
        </w:tc>
        <w:tc>
          <w:tcPr>
            <w:tcW w:type="dxa" w:w="2160"/>
          </w:tcPr>
          <w:p>
            <w:pPr>
              <w:spacing w:line="240" w:lineRule="auto" w:after="20"/>
            </w:pPr>
            <w:r/>
            <w:r>
              <w:rPr>
                <w:sz w:val="16"/>
              </w:rPr>
              <w:t>Exact for the stated model</w:t>
            </w:r>
          </w:p>
        </w:tc>
        <w:tc>
          <w:tcPr>
            <w:tcW w:type="dxa" w:w="2592"/>
          </w:tcPr>
          <w:p>
            <w:pPr>
              <w:spacing w:line="240" w:lineRule="auto" w:after="20"/>
            </w:pPr>
            <w:r/>
            <w:r>
              <w:rPr>
                <w:sz w:val="16"/>
              </w:rPr>
              <w:t xml:space="preserve">Perfect mixing; exponential model; ungated; </w:t>
            </w:r>
            <w:r>
              <w:rPr>
                <w:i/>
                <w:sz w:val="16"/>
              </w:rPr>
              <w:t>ϑ</w:t>
            </w:r>
            <w:r>
              <w:rPr>
                <w:sz w:val="16"/>
              </w:rPr>
              <w:t xml:space="preserve">, </w:t>
            </w:r>
            <w:r>
              <w:rPr>
                <w:i/>
                <w:sz w:val="16"/>
              </w:rPr>
              <w:t>ψ</w:t>
            </w:r>
            <w:r>
              <w:rPr>
                <w:sz w:val="16"/>
              </w:rPr>
              <w:t xml:space="preserve"> fixed</w:t>
            </w:r>
          </w:p>
        </w:tc>
        <w:tc>
          <w:tcPr>
            <w:tcW w:type="dxa" w:w="2880"/>
          </w:tcPr>
          <w:p>
            <w:pPr>
              <w:spacing w:line="240" w:lineRule="auto" w:after="20"/>
            </w:pPr>
            <w:r/>
            <w:r>
              <w:rPr>
                <w:sz w:val="16"/>
              </w:rPr>
              <w:t>Real reactors: finite mixing time, wall–fluid temperature difference</w:t>
            </w:r>
          </w:p>
        </w:tc>
      </w:tr>
      <w:tr>
        <w:tc>
          <w:tcPr>
            <w:tcW w:type="dxa" w:w="2160"/>
          </w:tcPr>
          <w:p>
            <w:pPr>
              <w:spacing w:line="240" w:lineRule="auto" w:after="20"/>
            </w:pPr>
            <w:r/>
            <w:r>
              <w:rPr>
                <w:sz w:val="16"/>
              </w:rPr>
              <w:t>Flow reactor stability</w:t>
            </w:r>
          </w:p>
        </w:tc>
        <w:tc>
          <w:tcPr>
            <w:tcW w:type="dxa" w:w="2160"/>
          </w:tcPr>
          <w:p>
            <w:pPr>
              <w:spacing w:line="240" w:lineRule="auto" w:after="20"/>
            </w:pPr>
            <w:r/>
            <w:r>
              <w:rPr>
                <w:sz w:val="16"/>
              </w:rPr>
              <w:t>Jacobian exact; stable window computed; checked by simulation; Hopf character numerical</w:t>
            </w:r>
          </w:p>
        </w:tc>
        <w:tc>
          <w:tcPr>
            <w:tcW w:type="dxa" w:w="2592"/>
          </w:tcPr>
          <w:p>
            <w:pPr>
              <w:spacing w:line="240" w:lineRule="auto" w:after="20"/>
            </w:pPr>
            <w:r/>
            <w:r>
              <w:rPr>
                <w:sz w:val="16"/>
              </w:rPr>
              <w:t>As above</w:t>
            </w:r>
          </w:p>
        </w:tc>
        <w:tc>
          <w:tcPr>
            <w:tcW w:type="dxa" w:w="2880"/>
          </w:tcPr>
          <w:p>
            <w:pPr>
              <w:spacing w:line="240" w:lineRule="auto" w:after="20"/>
            </w:pPr>
            <w:r/>
            <w:r>
              <w:rPr>
                <w:sz w:val="16"/>
              </w:rPr>
              <w:t xml:space="preserve">Hopf-type point studied for </w:t>
            </w:r>
            <w:r>
              <w:rPr>
                <w:i/>
                <w:sz w:val="16"/>
              </w:rPr>
              <w:t>ψ</w:t>
            </w:r>
            <w:r>
              <w:rPr>
                <w:sz w:val="16"/>
              </w:rPr>
              <w:t xml:space="preserve"> = 20 only (subcritical bifurcation indicated numerically, no Lyapunov coefficient); convergence of sweep loops to the attractor loop area unconfirmed (noise dependent)</w:t>
            </w:r>
          </w:p>
        </w:tc>
      </w:tr>
      <w:tr>
        <w:tc>
          <w:tcPr>
            <w:tcW w:type="dxa" w:w="2160"/>
          </w:tcPr>
          <w:p>
            <w:pPr>
              <w:spacing w:line="240" w:lineRule="auto" w:after="20"/>
            </w:pPr>
            <w:r/>
            <w:r>
              <w:rPr>
                <w:sz w:val="16"/>
              </w:rPr>
              <w:t>Temperature path (Arrhenius)</w:t>
            </w:r>
          </w:p>
        </w:tc>
        <w:tc>
          <w:tcPr>
            <w:tcW w:type="dxa" w:w="2160"/>
          </w:tcPr>
          <w:p>
            <w:pPr>
              <w:spacing w:line="240" w:lineRule="auto" w:after="20"/>
            </w:pPr>
            <w:r/>
            <w:r>
              <w:rPr>
                <w:sz w:val="16"/>
              </w:rPr>
              <w:t>Steady states exact; stability numerical</w:t>
            </w:r>
          </w:p>
        </w:tc>
        <w:tc>
          <w:tcPr>
            <w:tcW w:type="dxa" w:w="2592"/>
          </w:tcPr>
          <w:p>
            <w:pPr>
              <w:spacing w:line="240" w:lineRule="auto" w:after="20"/>
            </w:pPr>
            <w:r/>
            <w:r>
              <w:rPr>
                <w:i/>
                <w:sz w:val="16"/>
              </w:rPr>
              <w:t>τ</w:t>
            </w:r>
            <w:r>
              <w:rPr>
                <w:sz w:val="16"/>
                <w:vertAlign w:val="subscript"/>
              </w:rPr>
              <w:t>r</w:t>
            </w:r>
            <w:r>
              <w:rPr>
                <w:sz w:val="16"/>
                <w:vertAlign w:val="subscript"/>
              </w:rPr>
              <w:t>e</w:t>
            </w:r>
            <w:r>
              <w:rPr>
                <w:sz w:val="16"/>
                <w:vertAlign w:val="subscript"/>
              </w:rPr>
              <w:t>s</w:t>
            </w:r>
            <w:r>
              <w:rPr>
                <w:sz w:val="16"/>
              </w:rPr>
              <w:t xml:space="preserve"> = </w:t>
            </w:r>
            <w:r>
              <w:rPr>
                <w:i/>
                <w:sz w:val="16"/>
              </w:rPr>
              <w:t>τ</w:t>
            </w:r>
            <w:r>
              <w:rPr>
                <w:sz w:val="16"/>
                <w:vertAlign w:val="subscript"/>
              </w:rPr>
              <w:t>t</w:t>
            </w:r>
            <w:r>
              <w:rPr>
                <w:sz w:val="16"/>
                <w:vertAlign w:val="subscript"/>
              </w:rPr>
              <w:t>h</w:t>
            </w:r>
            <w:r>
              <w:rPr>
                <w:sz w:val="16"/>
              </w:rPr>
              <w:t xml:space="preserve"> = 3 min, </w:t>
            </w:r>
            <w:r>
              <w:rPr>
                <w:i/>
                <w:sz w:val="16"/>
              </w:rPr>
              <w:t>n</w:t>
            </w:r>
            <w:r>
              <w:rPr>
                <w:sz w:val="16"/>
              </w:rPr>
              <w:t xml:space="preserve"> = 3/2, Δ</w:t>
            </w:r>
            <w:r>
              <w:rPr>
                <w:i/>
                <w:sz w:val="16"/>
              </w:rPr>
              <w:t>T</w:t>
            </w:r>
            <w:r>
              <w:rPr>
                <w:sz w:val="16"/>
                <w:vertAlign w:val="subscript"/>
              </w:rPr>
              <w:t>a</w:t>
            </w:r>
            <w:r>
              <w:rPr>
                <w:sz w:val="16"/>
                <w:vertAlign w:val="subscript"/>
              </w:rPr>
              <w:t>d</w:t>
            </w:r>
            <w:r>
              <w:rPr>
                <w:sz w:val="16"/>
              </w:rPr>
              <w:t xml:space="preserve"> = 120, 160, 220 K</w:t>
            </w:r>
          </w:p>
        </w:tc>
        <w:tc>
          <w:tcPr>
            <w:tcW w:type="dxa" w:w="2880"/>
          </w:tcPr>
          <w:p>
            <w:pPr>
              <w:spacing w:line="240" w:lineRule="auto" w:after="20"/>
            </w:pPr>
            <w:r/>
            <w:r>
              <w:rPr>
                <w:sz w:val="16"/>
              </w:rPr>
              <w:t xml:space="preserve">Other </w:t>
            </w:r>
            <w:r>
              <w:rPr>
                <w:i/>
                <w:sz w:val="16"/>
              </w:rPr>
              <w:t>τ</w:t>
            </w:r>
            <w:r>
              <w:rPr>
                <w:sz w:val="16"/>
              </w:rPr>
              <w:t xml:space="preserve">, </w:t>
            </w:r>
            <w:r>
              <w:rPr>
                <w:i/>
                <w:sz w:val="16"/>
              </w:rPr>
              <w:t>ϑ</w:t>
            </w:r>
            <w:r>
              <w:rPr>
                <w:sz w:val="16"/>
              </w:rPr>
              <w:t>, Δ</w:t>
            </w:r>
            <w:r>
              <w:rPr>
                <w:i/>
                <w:sz w:val="16"/>
              </w:rPr>
              <w:t>T</w:t>
            </w:r>
            <w:r>
              <w:rPr>
                <w:sz w:val="16"/>
                <w:vertAlign w:val="subscript"/>
              </w:rPr>
              <w:t>a</w:t>
            </w:r>
            <w:r>
              <w:rPr>
                <w:sz w:val="16"/>
                <w:vertAlign w:val="subscript"/>
              </w:rPr>
              <w:t>d</w:t>
            </w:r>
            <w:r>
              <w:rPr>
                <w:sz w:val="16"/>
              </w:rPr>
              <w:t xml:space="preserve"> not scanned; sweeps not converged</w:t>
            </w:r>
          </w:p>
        </w:tc>
      </w:tr>
      <w:tr>
        <w:tc>
          <w:tcPr>
            <w:tcW w:type="dxa" w:w="2160"/>
          </w:tcPr>
          <w:p>
            <w:pPr>
              <w:spacing w:line="240" w:lineRule="auto" w:after="20"/>
            </w:pPr>
            <w:r/>
            <w:r>
              <w:rPr>
                <w:sz w:val="16"/>
              </w:rPr>
              <w:t>Parameter recovery (Section 3.6)</w:t>
            </w:r>
          </w:p>
        </w:tc>
        <w:tc>
          <w:tcPr>
            <w:tcW w:type="dxa" w:w="2160"/>
          </w:tcPr>
          <w:p>
            <w:pPr>
              <w:spacing w:line="240" w:lineRule="auto" w:after="20"/>
            </w:pPr>
            <w:r/>
            <w:r>
              <w:rPr>
                <w:sz w:val="16"/>
              </w:rPr>
              <w:t>Numerical experiment</w:t>
            </w:r>
          </w:p>
        </w:tc>
        <w:tc>
          <w:tcPr>
            <w:tcW w:type="dxa" w:w="2592"/>
          </w:tcPr>
          <w:p>
            <w:pPr>
              <w:spacing w:line="240" w:lineRule="auto" w:after="20"/>
            </w:pPr>
            <w:r/>
            <w:r>
              <w:rPr>
                <w:sz w:val="16"/>
              </w:rPr>
              <w:t xml:space="preserve">Gaussian noise; population ODE as truth; known </w:t>
            </w:r>
            <w:r>
              <w:rPr>
                <w:i/>
                <w:sz w:val="16"/>
              </w:rPr>
              <w:t>w</w:t>
            </w:r>
            <w:r>
              <w:rPr>
                <w:sz w:val="16"/>
                <w:vertAlign w:val="subscript"/>
              </w:rPr>
              <w:t>0</w:t>
            </w:r>
          </w:p>
        </w:tc>
        <w:tc>
          <w:tcPr>
            <w:tcW w:type="dxa" w:w="2880"/>
          </w:tcPr>
          <w:p>
            <w:pPr>
              <w:spacing w:line="240" w:lineRule="auto" w:after="20"/>
            </w:pPr>
            <w:r/>
            <w:r>
              <w:rPr>
                <w:sz w:val="16"/>
              </w:rPr>
              <w:t>Not a test on real calorimetry</w:t>
            </w:r>
          </w:p>
        </w:tc>
      </w:tr>
    </w:tbl>
    <w:p>
      <w:pPr>
        <w:spacing w:after="40"/>
      </w:pPr>
    </w:p>
    <w:p>
      <w:pPr>
        <w:keepNext w:val="0"/>
        <w:jc w:val="both"/>
      </w:pPr>
      <w:r>
        <w:t>Three approximations carry the paper: the lumped, well-mixed energy balance; the exponential linearization of the Arrhenius law near the fold; and the Gaussian, independent-capsule description of the population. The first is a deliberate scope limit and the second is quantified (Table 6); the third is tested only against population equations that use the same description.</w:t>
      </w:r>
    </w:p>
    <w:p>
      <w:pPr>
        <w:pStyle w:val="Heading1"/>
      </w:pPr>
      <w:r>
        <w:rPr>
          <w:rFonts w:ascii="Times New Roman" w:hAnsi="Times New Roman"/>
        </w:rPr>
        <w:t>5 Falsifiable signatures</w:t>
      </w:r>
    </w:p>
    <w:p>
      <w:pPr>
        <w:keepNext w:val="0"/>
        <w:jc w:val="both"/>
      </w:pPr>
      <w:r>
        <w:t xml:space="preserve">Each proposition predicts a measurement that a standard calorimetric or rheological experiment can make; none has been made here. (1) </w:t>
      </w:r>
      <w:r>
        <w:rPr>
          <w:i/>
        </w:rPr>
        <w:t>Availability clock.</w:t>
      </w:r>
      <w:r>
        <w:t xml:space="preserve"> Isothermal DSC at several temperatures above the melting endotherm, comparing the gated resin with the same resin with the catalyst dissolved, should give a delay that depends on conversion as Eq. (6) and approaches </w:t>
      </w:r>
      <w:r>
        <w:rPr>
          <w:i/>
        </w:rPr>
        <w:t>τ</w:t>
      </w:r>
      <w:r>
        <w:rPr>
          <w:vertAlign w:val="subscript"/>
        </w:rPr>
        <w:t>r</w:t>
      </w:r>
      <w:r>
        <w:rPr>
          <w:vertAlign w:val="subscript"/>
        </w:rPr>
        <w:t>e</w:t>
      </w:r>
      <w:r>
        <w:rPr>
          <w:vertAlign w:val="subscript"/>
        </w:rPr>
        <w:t>l</w:t>
      </w:r>
      <w:r>
        <w:t>(</w:t>
      </w:r>
      <w:r>
        <w:rPr>
          <w:i/>
        </w:rPr>
        <w:t>T</w:t>
      </w:r>
      <w:r>
        <w:t xml:space="preserve">) at late conversion; a conversion-dependent delay does not falsify the single-availability-function description, which predicts it. What would falsify it is a failure of the measured gated curves, replotted on the integrated-availability clock (measured independently, for example by release assays), to collapse onto the ungated curve. (2) </w:t>
      </w:r>
      <w:r>
        <w:rPr>
          <w:i/>
        </w:rPr>
        <w:t>Storage bound.</w:t>
      </w:r>
      <w:r>
        <w:t xml:space="preserve"> The melting endotherm gives </w:t>
      </w:r>
      <w:r>
        <w:rPr>
          <w:i/>
        </w:rPr>
        <w:t>T</w:t>
      </w:r>
      <w:r>
        <w:rPr>
          <w:vertAlign w:val="subscript"/>
        </w:rPr>
        <w:t>m</w:t>
      </w:r>
      <w:r>
        <w:t xml:space="preserve"> and </w:t>
      </w:r>
      <w:r>
        <w:rPr>
          <w:i/>
        </w:rPr>
        <w:t>σ</w:t>
      </w:r>
      <w:r>
        <w:t xml:space="preserve">; isothermal storage at a margin Δ for a time </w:t>
      </w:r>
      <w:r>
        <w:rPr>
          <w:i/>
        </w:rPr>
        <w:t>t</w:t>
      </w:r>
      <w:r>
        <w:t xml:space="preserve"> should then give a conversion within a few tens of percent of Eq. (11); a systematically larger conversion would indicate a tail of capsules with low melting temperature that the Gaussian description misses. (3) </w:t>
      </w:r>
      <w:r>
        <w:rPr>
          <w:i/>
        </w:rPr>
        <w:t>Critical thermal time constant.</w:t>
      </w:r>
      <w:r>
        <w:t xml:space="preserve"> At fixed </w:t>
      </w:r>
      <w:r>
        <w:rPr>
          <w:i/>
        </w:rPr>
        <w:t>T</w:t>
      </w:r>
      <w:r>
        <w:rPr>
          <w:vertAlign w:val="subscript"/>
        </w:rPr>
        <w:t>∞</w:t>
      </w:r>
      <w:r>
        <w:t>, specimens of increasing thickness (</w:t>
      </w:r>
      <w:r>
        <w:rPr>
          <w:i/>
        </w:rPr>
        <w:t>τ</w:t>
      </w:r>
      <w:r>
        <w:rPr>
          <w:vertAlign w:val="subscript"/>
        </w:rPr>
        <w:t>t</w:t>
      </w:r>
      <w:r>
        <w:rPr>
          <w:vertAlign w:val="subscript"/>
        </w:rPr>
        <w:t>h</w:t>
      </w:r>
      <w:r>
        <w:t xml:space="preserve"> grows as thickness squared) should show a rapid rise of the peak temperature rise at an operational threshold near </w:t>
      </w:r>
      <w:r>
        <w:rPr>
          <w:i/>
        </w:rPr>
        <w:t>Π</w:t>
      </w:r>
      <w:r>
        <w:rPr>
          <w:vertAlign w:val="subscript"/>
        </w:rPr>
        <w:t>c</w:t>
      </w:r>
      <w:r>
        <w:t>/(</w:t>
      </w:r>
      <w:r>
        <w:rPr>
          <w:i/>
        </w:rPr>
        <w:t>ψk</w:t>
      </w:r>
      <w:r>
        <w:rPr>
          <w:vertAlign w:val="subscript"/>
        </w:rPr>
        <w:t>2</w:t>
      </w:r>
      <w:r>
        <w:t xml:space="preserve">), with the Arrhenius factor of Eq. (15); the abruptness of the rise, from </w:t>
      </w:r>
      <w:r>
        <w:rPr>
          <w:i/>
        </w:rPr>
        <w:t>O</w:t>
      </w:r>
      <w:r>
        <w:t>(</w:t>
      </w:r>
      <w:r>
        <w:rPr>
          <w:i/>
        </w:rPr>
        <w:t>Θ</w:t>
      </w:r>
      <w:r>
        <w:t xml:space="preserve">) to </w:t>
      </w:r>
      <w:r>
        <w:rPr>
          <w:i/>
        </w:rPr>
        <w:t>O</w:t>
      </w:r>
      <w:r>
        <w:t>(Δ</w:t>
      </w:r>
      <w:r>
        <w:rPr>
          <w:i/>
        </w:rPr>
        <w:t>T</w:t>
      </w:r>
      <w:r>
        <w:rPr>
          <w:vertAlign w:val="subscript"/>
        </w:rPr>
        <w:t>a</w:t>
      </w:r>
      <w:r>
        <w:rPr>
          <w:vertAlign w:val="subscript"/>
        </w:rPr>
        <w:t>d</w:t>
      </w:r>
      <w:r>
        <w:t xml:space="preserve">), is the signature of the fold. (4) </w:t>
      </w:r>
      <w:r>
        <w:rPr>
          <w:i/>
        </w:rPr>
        <w:t>Window of two stable states.</w:t>
      </w:r>
      <w:r>
        <w:t xml:space="preserve"> In a continuously fed reactor with flow rate and wall time constant held fixed, a slow ramp of the wall temperature up and down should show an ignition at the temperature of the lower fold and an extinction at a lower temperature, with a window of the width computed for the actual (Arrhenius) path (Table 9; 24 K for the illustrative Δ</w:t>
      </w:r>
      <w:r>
        <w:rPr>
          <w:i/>
        </w:rPr>
        <w:t>T</w:t>
      </w:r>
      <w:r>
        <w:rPr>
          <w:vertAlign w:val="subscript"/>
        </w:rPr>
        <w:t>a</w:t>
      </w:r>
      <w:r>
        <w:rPr>
          <w:vertAlign w:val="subscript"/>
        </w:rPr>
        <w:t>d</w:t>
      </w:r>
      <w:r>
        <w:t xml:space="preserve"> = 220 K). The loop must be examined as the ramp slows; a loop that closes is rate dependent and not bistability. Where the upper state is lost at a Hopf-type point the extinction temperature is expected to lie between the Hopf-type point and the upper fold and to depend on the noise level of the experiment, so a single extinction temperature should not be predicted there. A sweep of the flow rate at fixed temperature is a different path (</w:t>
      </w:r>
      <w:r>
        <w:rPr>
          <w:i/>
        </w:rPr>
        <w:t>ϑ</w:t>
      </w:r>
      <w:r>
        <w:t xml:space="preserve"> changes) and is not covered by the analysis.</w:t>
      </w:r>
    </w:p>
    <w:p>
      <w:pPr>
        <w:pStyle w:val="Heading1"/>
      </w:pPr>
      <w:r>
        <w:rPr>
          <w:rFonts w:ascii="Times New Roman" w:hAnsi="Times New Roman"/>
        </w:rPr>
        <w:t>6 Open problems</w:t>
      </w:r>
    </w:p>
    <w:p>
      <w:pPr>
        <w:keepNext w:val="0"/>
        <w:jc w:val="both"/>
      </w:pPr>
      <w:r>
        <w:t xml:space="preserve">(a) </w:t>
      </w:r>
      <w:r>
        <w:rPr>
          <w:i/>
        </w:rPr>
        <w:t>Spatial extension.</w:t>
      </w:r>
      <w:r>
        <w:t xml:space="preserve"> The lumped balance replaces the classical slab, cylinder or sphere. The critical Frank-Kamenetskii parameter of a consuming, autocatalytic source in a spatially resolved specimen, and its relation to </w:t>
      </w:r>
      <w:r>
        <w:rPr>
          <w:i/>
        </w:rPr>
        <w:t>Π</w:t>
      </w:r>
      <w:r>
        <w:rPr>
          <w:vertAlign w:val="subscript"/>
        </w:rPr>
        <w:t>c</w:t>
      </w:r>
      <w:r>
        <w:t xml:space="preserve"> above, are open. (b) </w:t>
      </w:r>
      <w:r>
        <w:rPr>
          <w:i/>
        </w:rPr>
        <w:t>Finite-Θ correction.</w:t>
      </w:r>
      <w:r>
        <w:t xml:space="preserve"> The upward shift of </w:t>
      </w:r>
      <w:r>
        <w:rPr>
          <w:i/>
        </w:rPr>
        <w:t>Π</w:t>
      </w:r>
      <w:r>
        <w:rPr>
          <w:vertAlign w:val="subscript"/>
        </w:rPr>
        <w:t>c</w:t>
      </w:r>
      <w:r>
        <w:t xml:space="preserve"> with </w:t>
      </w:r>
      <w:r>
        <w:rPr>
          <w:i/>
        </w:rPr>
        <w:t>Θ</w:t>
      </w:r>
      <w:r>
        <w:t xml:space="preserve"> is computed numerically; a closed-form first correction would complete Proposition 4. (c) </w:t>
      </w:r>
      <w:r>
        <w:rPr>
          <w:i/>
        </w:rPr>
        <w:t>Hopf-type point and slow passage.</w:t>
      </w:r>
      <w:r>
        <w:t xml:space="preserve"> The first Lyapunov coefficient, the unstable cycle, and an analysis of the slow passage (noise-limited delay) that would predict the limit of the sweep loops were not attempted; the sub- or supercritical character was probed only for </w:t>
      </w:r>
      <w:r>
        <w:rPr>
          <w:i/>
        </w:rPr>
        <w:t>ψ</w:t>
      </w:r>
      <w:r>
        <w:t xml:space="preserve"> = 20. (d) </w:t>
      </w:r>
      <w:r>
        <w:rPr>
          <w:i/>
        </w:rPr>
        <w:t>Non-Gaussian populations.</w:t>
      </w:r>
      <w:r>
        <w:t xml:space="preserve"> Proposition 3 needs only the lower tail of the melting-temperature distribution; skewed and bimodal distributions, and capsule–capsule heat exchange, are untested. (e) </w:t>
      </w:r>
      <w:r>
        <w:rPr>
          <w:i/>
        </w:rPr>
        <w:t>Diffusion control and vitrification.</w:t>
      </w:r>
      <w:r>
        <w:t xml:space="preserve"> These stop the cure before completion and change the late-time tail of Proposition 2. (f) </w:t>
      </w:r>
      <w:r>
        <w:rPr>
          <w:i/>
        </w:rPr>
        <w:t>Noise.</w:t>
      </w:r>
      <w:r>
        <w:t xml:space="preserve"> In small specimens or flow channels the fold may be crossed by fluctuations. (g) </w:t>
      </w:r>
      <w:r>
        <w:rPr>
          <w:i/>
        </w:rPr>
        <w:t>Gated thermal and flow analysis.</w:t>
      </w:r>
      <w:r>
        <w:t xml:space="preserve"> The criticality and reactor analyses of Propositions 4 and 5 use a fully released catalyst; the combined effect of a partly open, slowly releasing population and thermal feedback is not analyzed here; it is the setting of the earlier numerical study [18]. (h) </w:t>
      </w:r>
      <w:r>
        <w:rPr>
          <w:i/>
        </w:rPr>
        <w:t>Experiment.</w:t>
      </w:r>
      <w:r>
        <w:t xml:space="preserve"> The propositions are untested on a real encapsulated system; the signatures of Section 5 are the proposed tests.</w:t>
      </w:r>
    </w:p>
    <w:p>
      <w:pPr>
        <w:pStyle w:val="Heading1"/>
      </w:pPr>
      <w:r>
        <w:rPr>
          <w:rFonts w:ascii="Times New Roman" w:hAnsi="Times New Roman"/>
        </w:rPr>
        <w:t>7 Conclusion</w:t>
      </w:r>
    </w:p>
    <w:p>
      <w:pPr>
        <w:keepNext w:val="0"/>
        <w:jc w:val="both"/>
      </w:pPr>
      <w:r>
        <w:t xml:space="preserve">For the lumped model of a melt-gated autocatalytic cure, several statements can be made exactly or in closed form. The gated cure at constant temperature is the isothermal cure on the clock of integrated availability, and the delay of a fully open population is </w:t>
      </w:r>
      <w:r>
        <w:rPr>
          <w:i/>
        </w:rPr>
        <w:t>τ</w:t>
      </w:r>
      <w:r>
        <w:rPr>
          <w:vertAlign w:val="subscript"/>
        </w:rPr>
        <w:t>r</w:t>
      </w:r>
      <w:r>
        <w:rPr>
          <w:vertAlign w:val="subscript"/>
        </w:rPr>
        <w:t>e</w:t>
      </w:r>
      <w:r>
        <w:rPr>
          <w:vertAlign w:val="subscript"/>
        </w:rPr>
        <w:t>l</w:t>
      </w:r>
      <w:r>
        <w:t>[1 − exp(−</w:t>
      </w:r>
      <w:r>
        <w:rPr>
          <w:i/>
        </w:rPr>
        <w:t>t</w:t>
      </w:r>
      <w:r>
        <w:t>/</w:t>
      </w:r>
      <w:r>
        <w:rPr>
          <w:i/>
        </w:rPr>
        <w:t>τ</w:t>
      </w:r>
      <w:r>
        <w:rPr>
          <w:vertAlign w:val="subscript"/>
        </w:rPr>
        <w:t>r</w:t>
      </w:r>
      <w:r>
        <w:rPr>
          <w:vertAlign w:val="subscript"/>
        </w:rPr>
        <w:t>e</w:t>
      </w:r>
      <w:r>
        <w:rPr>
          <w:vertAlign w:val="subscript"/>
        </w:rPr>
        <w:t>l</w:t>
      </w:r>
      <w:r>
        <w:t xml:space="preserve">)] (Proposition 1). The isothermal cure time is exact by quadrature, and the </w:t>
      </w:r>
      <w:r>
        <w:rPr>
          <w:i/>
        </w:rPr>
        <w:t>n</w:t>
      </w:r>
      <w:r>
        <w:t xml:space="preserve"> = 1 sharpness is a logarithm of the rate-constant ratio (Proposition 2). The storage conversion of a Gaussian capsule population is (</w:t>
      </w:r>
      <w:r>
        <w:rPr>
          <w:i/>
        </w:rPr>
        <w:t>a</w:t>
      </w:r>
      <w:r>
        <w:t>/</w:t>
      </w:r>
      <w:r>
        <w:rPr>
          <w:i/>
        </w:rPr>
        <w:t>b</w:t>
      </w:r>
      <w:r>
        <w:t>)[exp(</w:t>
      </w:r>
      <w:r>
        <w:rPr>
          <w:i/>
        </w:rPr>
        <w:t>b</w:t>
      </w:r>
      <w:r>
        <w:t xml:space="preserve"> </w:t>
      </w:r>
      <w:r>
        <w:rPr>
          <w:i/>
        </w:rPr>
        <w:t>f</w:t>
      </w:r>
      <w:r>
        <w:t xml:space="preserve"> </w:t>
      </w:r>
      <w:r>
        <w:rPr>
          <w:i/>
        </w:rPr>
        <w:t>t</w:t>
      </w:r>
      <w:r>
        <w:rPr>
          <w:vertAlign w:val="subscript"/>
        </w:rPr>
        <w:t>e</w:t>
      </w:r>
      <w:r>
        <w:rPr>
          <w:vertAlign w:val="subscript"/>
        </w:rPr>
        <w:t>f</w:t>
      </w:r>
      <w:r>
        <w:rPr>
          <w:vertAlign w:val="subscript"/>
        </w:rPr>
        <w:t>f</w:t>
      </w:r>
      <w:r>
        <w:t>) − 1], which inverts into a bound on the melting-temperature spread (Proposition 3). For a fully released catalyst, the frozen-conversion thermal balance has a critical number (1+</w:t>
      </w:r>
      <w:r>
        <w:rPr>
          <w:i/>
        </w:rPr>
        <w:t>n</w:t>
      </w:r>
      <w:r>
        <w:t>)</w:t>
      </w:r>
      <w:r>
        <w:rPr>
          <w:vertAlign w:val="superscript"/>
        </w:rPr>
        <w:t>1</w:t>
      </w:r>
      <w:r>
        <w:rPr>
          <w:vertAlign w:val="superscript"/>
        </w:rPr>
        <w:t>+</w:t>
      </w:r>
      <w:r>
        <w:rPr>
          <w:i/>
          <w:vertAlign w:val="superscript"/>
        </w:rPr>
        <w:t>n</w:t>
      </w:r>
      <w:r>
        <w:t xml:space="preserve">/[e </w:t>
      </w:r>
      <w:r>
        <w:rPr>
          <w:i/>
        </w:rPr>
        <w:t>n</w:t>
      </w:r>
      <w:r>
        <w:rPr>
          <w:vertAlign w:val="superscript"/>
        </w:rPr>
        <w:t>n</w:t>
      </w:r>
      <w:r>
        <w:t>(1+</w:t>
      </w:r>
      <w:r>
        <w:rPr>
          <w:i/>
        </w:rPr>
        <w:t>ε</w:t>
      </w:r>
      <w:r>
        <w:t>)</w:t>
      </w:r>
      <w:r>
        <w:rPr>
          <w:vertAlign w:val="superscript"/>
        </w:rPr>
        <w:t>1</w:t>
      </w:r>
      <w:r>
        <w:rPr>
          <w:vertAlign w:val="superscript"/>
        </w:rPr>
        <w:t>+</w:t>
      </w:r>
      <w:r>
        <w:rPr>
          <w:i/>
          <w:vertAlign w:val="superscript"/>
        </w:rPr>
        <w:t>n</w:t>
      </w:r>
      <w:r>
        <w:t>], with an Arrhenius correction that is close to exp(1/</w:t>
      </w:r>
      <w:r>
        <w:rPr>
          <w:i/>
        </w:rPr>
        <w:t>Ar</w:t>
      </w:r>
      <w:r>
        <w:t xml:space="preserve">) in the tested grid (Proposition 4). The continuous-flow reactor (ungated kinetics) has three equilibria above </w:t>
      </w:r>
      <w:r>
        <w:rPr>
          <w:i/>
        </w:rPr>
        <w:t>κ</w:t>
      </w:r>
      <w:r>
        <w:rPr>
          <w:vertAlign w:val="subscript"/>
        </w:rPr>
        <w:t>c</w:t>
      </w:r>
      <w:r>
        <w:t>, but the upper branch can lose stability at a Hopf-type point before its fold, so the hysteresis window and its loop area must be computed from the stable states, and sweep loops through that point depend on noise (Proposition 5). Propositions 4 and 5 are derived for a fully released catalyst; their extension to the gated reactor, in which release and melting add further time scales, is not derived here. All results are tested against the full equations; none is tested against experiment, and the parameters are illustrative.</w:t>
      </w:r>
    </w:p>
    <w:p>
      <w:pPr>
        <w:pStyle w:val="Heading1"/>
      </w:pPr>
      <w:r>
        <w:rPr>
          <w:rFonts w:ascii="Times New Roman" w:hAnsi="Times New Roman"/>
        </w:rPr>
        <w:t>Statements and Declarations</w:t>
      </w:r>
    </w:p>
    <w:p>
      <w:pPr>
        <w:keepNext w:val="0"/>
        <w:jc w:val="both"/>
      </w:pPr>
      <w:r>
        <w:rPr>
          <w:b/>
        </w:rPr>
        <w:t>Funding.</w:t>
      </w:r>
      <w:r>
        <w:t xml:space="preserve"> No funds, grants, or other support was received.</w:t>
      </w:r>
    </w:p>
    <w:p>
      <w:pPr>
        <w:keepNext w:val="0"/>
        <w:jc w:val="both"/>
      </w:pPr>
      <w:r>
        <w:rPr>
          <w:b/>
        </w:rPr>
        <w:t>Competing interests.</w:t>
      </w:r>
      <w:r>
        <w:t xml:space="preserve"> The author has no relevant financial or non-financial interests to disclose.</w:t>
      </w:r>
    </w:p>
    <w:p>
      <w:pPr>
        <w:keepNext w:val="0"/>
        <w:jc w:val="both"/>
      </w:pPr>
      <w:r>
        <w:rPr>
          <w:b/>
        </w:rPr>
        <w:t>Author contributions.</w:t>
      </w:r>
      <w:r>
        <w:t xml:space="preserve"> Conceptualization: Leon Sandler; Methodology: Leon Sandler; Software: Leon Sandler; Formal analysis and investigation: Leon Sandler; Writing – original draft preparation: Leon Sandler; Writing – review and editing: Leon Sandler; Visualization: Leon Sandler.</w:t>
      </w:r>
    </w:p>
    <w:p>
      <w:pPr>
        <w:keepNext w:val="0"/>
        <w:jc w:val="both"/>
      </w:pPr>
      <w:r>
        <w:rPr>
          <w:b/>
        </w:rPr>
        <w:t>Ethics approval.</w:t>
      </w:r>
      <w:r>
        <w:t xml:space="preserve"> Not applicable.</w:t>
      </w:r>
    </w:p>
    <w:p>
      <w:pPr>
        <w:keepNext w:val="0"/>
        <w:jc w:val="both"/>
      </w:pPr>
      <w:r>
        <w:rPr>
          <w:b/>
        </w:rPr>
        <w:t>Related work.</w:t>
      </w:r>
      <w:r>
        <w:t xml:space="preserve"> A related numerical study by the author [18, 19] is posted as a preprint and has been submitted elsewhere; the relationship is described in Section 1.1.</w:t>
      </w:r>
    </w:p>
    <w:p>
      <w:pPr>
        <w:keepNext w:val="0"/>
        <w:jc w:val="both"/>
      </w:pPr>
      <w:r>
        <w:rPr>
          <w:b/>
        </w:rPr>
        <w:t>Use of artificial intelligence.</w:t>
      </w:r>
      <w:r>
        <w:t xml:space="preserve"> Claude Sonnet 5.5 (Anthropic) was used for derivations, code, figures and drafting as described in Section 2.3; the author is responsible for the content.</w:t>
      </w:r>
    </w:p>
    <w:p>
      <w:pPr>
        <w:keepNext w:val="0"/>
        <w:jc w:val="both"/>
      </w:pPr>
      <w:r>
        <w:rPr>
          <w:b/>
        </w:rPr>
        <w:t>Data and code availability.</w:t>
      </w:r>
      <w:r>
        <w:t xml:space="preserve"> The model code, the closed-form module, the tests, the figure scripts, the results file (results.json) and the manuscript builder are available at https://github.com/sandlerleon/gated-autocatalysis-criticality (release </w:t>
      </w:r>
      <w:r>
        <w:rPr>
          <w:i/>
        </w:rPr>
        <w:t>v</w:t>
      </w:r>
      <w:r>
        <w:t>1.3.1) and archived on Zenodo at https://doi.org/10.5281/zenodo.23227225; this manuscript is archived as a preprint at https://doi.org/10.5281/zenodo.23227226.</w:t>
      </w:r>
    </w:p>
    <w:p>
      <w:pPr>
        <w:pStyle w:val="Heading1"/>
      </w:pPr>
      <w:r>
        <w:rPr>
          <w:rFonts w:ascii="Times New Roman" w:hAnsi="Times New Roman"/>
        </w:rPr>
        <w:t>Appendix A. Numerical protocol, tolerances and convergence</w:t>
      </w:r>
    </w:p>
    <w:p>
      <w:pPr>
        <w:keepNext w:val="0"/>
        <w:jc w:val="both"/>
      </w:pPr>
      <w:r>
        <w:rPr>
          <w:i/>
        </w:rPr>
        <w:t>Reference integrator.</w:t>
      </w:r>
      <w:r>
        <w:t xml:space="preserve"> Eqs. (1)–(3) are integrated for all scenarios at once with a vectorized fixed-step fourth-order Runge–Kutta scheme (step 0.01 min for Sections 3.1 and 3.2, 0.05 min for the population runs of Section 3.3; end time 150 min for storage, 300–600 min for cure times). Conversion is limited to [0, 1] and the reaction heat is Δ</w:t>
      </w:r>
      <w:r>
        <w:rPr>
          <w:i/>
        </w:rPr>
        <w:t>T</w:t>
      </w:r>
      <w:r>
        <w:rPr>
          <w:vertAlign w:val="subscript"/>
        </w:rPr>
        <w:t>a</w:t>
      </w:r>
      <w:r>
        <w:rPr>
          <w:vertAlign w:val="subscript"/>
        </w:rPr>
        <w:t>d</w:t>
      </w:r>
      <w:r>
        <w:t xml:space="preserve"> </w:t>
      </w:r>
      <w:r>
        <w:rPr>
          <w:i/>
        </w:rPr>
        <w:t>dα</w:t>
      </w:r>
      <w:r>
        <w:t>/dt without cut-off, so the energy balance is conserved: in the adiabatic limit the integrated temperature rise equals Δ</w:t>
      </w:r>
      <w:r>
        <w:rPr>
          <w:i/>
        </w:rPr>
        <w:t>T</w:t>
      </w:r>
      <w:r>
        <w:rPr>
          <w:vertAlign w:val="subscript"/>
        </w:rPr>
        <w:t>a</w:t>
      </w:r>
      <w:r>
        <w:rPr>
          <w:vertAlign w:val="subscript"/>
        </w:rPr>
        <w:t>d</w:t>
      </w:r>
      <w:r>
        <w:rPr>
          <w:i/>
        </w:rPr>
        <w:t>α</w:t>
      </w:r>
      <w:r>
        <w:t xml:space="preserve"> to 6.2e-08 K (Section 2, test_theory.py). Capsule populations use </w:t>
      </w:r>
      <w:r>
        <w:rPr>
          <w:i/>
        </w:rPr>
        <w:t>K</w:t>
      </w:r>
      <w:r>
        <w:t xml:space="preserve"> deterministic Gaussian quantiles </w:t>
      </w:r>
      <w:r>
        <w:rPr>
          <w:i/>
        </w:rPr>
        <w:t>z</w:t>
      </w:r>
      <w:r>
        <w:rPr>
          <w:i/>
          <w:vertAlign w:val="subscript"/>
        </w:rPr>
        <w:t>i</w:t>
      </w:r>
      <w:r>
        <w:t xml:space="preserve"> = </w:t>
      </w:r>
      <w:r>
        <w:rPr>
          <w:i/>
        </w:rPr>
        <w:t>Φ</w:t>
      </w:r>
      <w:r>
        <w:rPr>
          <w:vertAlign w:val="superscript"/>
        </w:rPr>
        <w:t>−</w:t>
      </w:r>
      <w:r>
        <w:rPr>
          <w:vertAlign w:val="superscript"/>
        </w:rPr>
        <w:t>1</w:t>
      </w:r>
      <w:r>
        <w:t>[(</w:t>
      </w:r>
      <w:r>
        <w:rPr>
          <w:i/>
        </w:rPr>
        <w:t>i</w:t>
      </w:r>
      <w:r>
        <w:t xml:space="preserve"> − 1/2)/</w:t>
      </w:r>
      <w:r>
        <w:rPr>
          <w:i/>
        </w:rPr>
        <w:t>K</w:t>
      </w:r>
      <w:r>
        <w:t xml:space="preserve">]: </w:t>
      </w:r>
      <w:r>
        <w:rPr>
          <w:i/>
        </w:rPr>
        <w:t>K</w:t>
      </w:r>
      <w:r>
        <w:t xml:space="preserve"> = 3201 for the storage-conversion and design-rule comparisons of Section 3.3, and </w:t>
      </w:r>
      <w:r>
        <w:rPr>
          <w:i/>
        </w:rPr>
        <w:t>K</w:t>
      </w:r>
      <w:r>
        <w:t xml:space="preserve"> = 801 for the step study and the recovery test. Convergence is reported separately for the two sources of numerical error, so that neither is mistaken for error of the closed forms. Population discretization: relative to </w:t>
      </w:r>
      <w:r>
        <w:rPr>
          <w:i/>
        </w:rPr>
        <w:t>K</w:t>
      </w:r>
      <w:r>
        <w:t xml:space="preserve"> = 6401 the storage conversion differs by at most 1.1e-02 at </w:t>
      </w:r>
      <w:r>
        <w:rPr>
          <w:i/>
        </w:rPr>
        <w:t>K</w:t>
      </w:r>
      <w:r>
        <w:t xml:space="preserve"> = 801 (the narrow spread </w:t>
      </w:r>
      <w:r>
        <w:rPr>
          <w:i/>
        </w:rPr>
        <w:t>σ</w:t>
      </w:r>
      <w:r>
        <w:t xml:space="preserve"> = 2 °C is the tail-sensitive case) and by at most 4.9e-04 at </w:t>
      </w:r>
      <w:r>
        <w:rPr>
          <w:i/>
        </w:rPr>
        <w:t>K</w:t>
      </w:r>
      <w:r>
        <w:t xml:space="preserve"> = 3201. Time step: relative to step 0.0125 min the step 0.05 min differs by at most 3.1e-14 (Table 11; difference = value/reference − 1). The deviations of Section 3.3 are therefore dominated by the approximations of the closed forms, not by the reference calculation.</w:t>
      </w:r>
    </w:p>
    <w:p>
      <w:pPr>
        <w:keepNext w:val="0"/>
        <w:jc w:val="both"/>
      </w:pPr>
      <w:r>
        <w:rPr>
          <w:i/>
        </w:rPr>
        <w:t>Adaptive integrations.</w:t>
      </w:r>
      <w:r>
        <w:t xml:space="preserve"> The exponential-model criticality problem is integrated with LSODA (an adaptive stiff/non-stiff ODE solver; relative tolerance rtol 10</w:t>
      </w:r>
      <w:r>
        <w:rPr>
          <w:vertAlign w:val="superscript"/>
        </w:rPr>
        <w:t>−</w:t>
      </w:r>
      <w:r>
        <w:rPr>
          <w:vertAlign w:val="superscript"/>
        </w:rPr>
        <w:t>9</w:t>
      </w:r>
      <w:r>
        <w:t>, absolute tolerance atol 10</w:t>
      </w:r>
      <w:r>
        <w:rPr>
          <w:vertAlign w:val="superscript"/>
        </w:rPr>
        <w:t>−</w:t>
      </w:r>
      <w:r>
        <w:rPr>
          <w:vertAlign w:val="superscript"/>
        </w:rPr>
        <w:t>1</w:t>
      </w:r>
      <w:r>
        <w:rPr>
          <w:vertAlign w:val="superscript"/>
        </w:rPr>
        <w:t>3</w:t>
      </w:r>
      <w:r>
        <w:t>, max step 0.02, end time 40/</w:t>
      </w:r>
      <w:r>
        <w:rPr>
          <w:i/>
        </w:rPr>
        <w:t>k</w:t>
      </w:r>
      <w:r>
        <w:rPr>
          <w:vertAlign w:val="subscript"/>
        </w:rPr>
        <w:t>2</w:t>
      </w:r>
      <w:r>
        <w:t>); the Arrhenius criticality problem with LSODA (rtol 10</w:t>
      </w:r>
      <w:r>
        <w:rPr>
          <w:vertAlign w:val="superscript"/>
        </w:rPr>
        <w:t>−</w:t>
      </w:r>
      <w:r>
        <w:rPr>
          <w:vertAlign w:val="superscript"/>
        </w:rPr>
        <w:t>8</w:t>
      </w:r>
      <w:r>
        <w:t>, atol 10</w:t>
      </w:r>
      <w:r>
        <w:rPr>
          <w:vertAlign w:val="superscript"/>
        </w:rPr>
        <w:t>−</w:t>
      </w:r>
      <w:r>
        <w:rPr>
          <w:vertAlign w:val="superscript"/>
        </w:rPr>
        <w:t>1</w:t>
      </w:r>
      <w:r>
        <w:rPr>
          <w:vertAlign w:val="superscript"/>
        </w:rPr>
        <w:t>2</w:t>
      </w:r>
      <w:r>
        <w:t>, end time 60/</w:t>
      </w:r>
      <w:r>
        <w:rPr>
          <w:i/>
        </w:rPr>
        <w:t>k</w:t>
      </w:r>
      <w:r>
        <w:rPr>
          <w:vertAlign w:val="subscript"/>
        </w:rPr>
        <w:t>2</w:t>
      </w:r>
      <w:r>
        <w:t>, temperature floored at 200 K in the rate); the flow reactor with LSODA (rtol 10</w:t>
      </w:r>
      <w:r>
        <w:rPr>
          <w:vertAlign w:val="superscript"/>
        </w:rPr>
        <w:t>−</w:t>
      </w:r>
      <w:r>
        <w:rPr>
          <w:vertAlign w:val="superscript"/>
        </w:rPr>
        <w:t>8</w:t>
      </w:r>
      <w:r>
        <w:t>, atol 10</w:t>
      </w:r>
      <w:r>
        <w:rPr>
          <w:vertAlign w:val="superscript"/>
        </w:rPr>
        <w:t>−</w:t>
      </w:r>
      <w:r>
        <w:rPr>
          <w:vertAlign w:val="superscript"/>
        </w:rPr>
        <w:t>1</w:t>
      </w:r>
      <w:r>
        <w:rPr>
          <w:vertAlign w:val="superscript"/>
        </w:rPr>
        <w:t>2</w:t>
      </w:r>
      <w:r>
        <w:t>, max step min(0.5, 0.02/</w:t>
      </w:r>
      <w:r>
        <w:rPr>
          <w:i/>
        </w:rPr>
        <w:t>v</w:t>
      </w:r>
      <w:r>
        <w:t>)); fixed-</w:t>
      </w:r>
      <w:r>
        <w:rPr>
          <w:i/>
        </w:rPr>
        <w:t>D</w:t>
      </w:r>
      <w:r>
        <w:t xml:space="preserve"> attractor runs with LSODA (rtol 10</w:t>
      </w:r>
      <w:r>
        <w:rPr>
          <w:vertAlign w:val="superscript"/>
        </w:rPr>
        <w:t>−</w:t>
      </w:r>
      <w:r>
        <w:rPr>
          <w:vertAlign w:val="superscript"/>
        </w:rPr>
        <w:t>1</w:t>
      </w:r>
      <w:r>
        <w:rPr>
          <w:vertAlign w:val="superscript"/>
        </w:rPr>
        <w:t>1</w:t>
      </w:r>
      <w:r>
        <w:t>, atol 10</w:t>
      </w:r>
      <w:r>
        <w:rPr>
          <w:vertAlign w:val="superscript"/>
        </w:rPr>
        <w:t>−</w:t>
      </w:r>
      <w:r>
        <w:rPr>
          <w:vertAlign w:val="superscript"/>
        </w:rPr>
        <w:t>1</w:t>
      </w:r>
      <w:r>
        <w:rPr>
          <w:vertAlign w:val="superscript"/>
        </w:rPr>
        <w:t>4</w:t>
      </w:r>
      <w:r>
        <w:t>, end time 3000 residence times; the last 10 % is used to classify the state); constant-temperature delay checks with RK45 (rtol 10</w:t>
      </w:r>
      <w:r>
        <w:rPr>
          <w:vertAlign w:val="superscript"/>
        </w:rPr>
        <w:t>−</w:t>
      </w:r>
      <w:r>
        <w:rPr>
          <w:vertAlign w:val="superscript"/>
        </w:rPr>
        <w:t>1</w:t>
      </w:r>
      <w:r>
        <w:rPr>
          <w:vertAlign w:val="superscript"/>
        </w:rPr>
        <w:t>2</w:t>
      </w:r>
      <w:r>
        <w:t>).</w:t>
      </w:r>
    </w:p>
    <w:p>
      <w:pPr>
        <w:keepNext w:val="0"/>
        <w:jc w:val="both"/>
      </w:pPr>
      <w:r>
        <w:rPr>
          <w:i/>
        </w:rPr>
        <w:t>Noise and temperature-path studies.</w:t>
      </w:r>
      <w:r>
        <w:t xml:space="preserve"> The tolerance study uses LSODA with (rtol, atol) = (10</w:t>
      </w:r>
      <w:r>
        <w:rPr>
          <w:vertAlign w:val="superscript"/>
        </w:rPr>
        <w:t>−</w:t>
      </w:r>
      <w:r>
        <w:rPr>
          <w:vertAlign w:val="superscript"/>
        </w:rPr>
        <w:t>6</w:t>
      </w:r>
      <w:r>
        <w:t>, 10</w:t>
      </w:r>
      <w:r>
        <w:rPr>
          <w:vertAlign w:val="superscript"/>
        </w:rPr>
        <w:t>−</w:t>
      </w:r>
      <w:r>
        <w:rPr>
          <w:vertAlign w:val="superscript"/>
        </w:rPr>
        <w:t>9</w:t>
      </w:r>
      <w:r>
        <w:t>), (10</w:t>
      </w:r>
      <w:r>
        <w:rPr>
          <w:vertAlign w:val="superscript"/>
        </w:rPr>
        <w:t>−</w:t>
      </w:r>
      <w:r>
        <w:rPr>
          <w:vertAlign w:val="superscript"/>
        </w:rPr>
        <w:t>8</w:t>
      </w:r>
      <w:r>
        <w:t>, 10</w:t>
      </w:r>
      <w:r>
        <w:rPr>
          <w:vertAlign w:val="superscript"/>
        </w:rPr>
        <w:t>−</w:t>
      </w:r>
      <w:r>
        <w:rPr>
          <w:vertAlign w:val="superscript"/>
        </w:rPr>
        <w:t>1</w:t>
      </w:r>
      <w:r>
        <w:rPr>
          <w:vertAlign w:val="superscript"/>
        </w:rPr>
        <w:t>2</w:t>
      </w:r>
      <w:r>
        <w:t>), (10</w:t>
      </w:r>
      <w:r>
        <w:rPr>
          <w:vertAlign w:val="superscript"/>
        </w:rPr>
        <w:t>−</w:t>
      </w:r>
      <w:r>
        <w:rPr>
          <w:vertAlign w:val="superscript"/>
        </w:rPr>
        <w:t>1</w:t>
      </w:r>
      <w:r>
        <w:rPr>
          <w:vertAlign w:val="superscript"/>
        </w:rPr>
        <w:t>0</w:t>
      </w:r>
      <w:r>
        <w:t>, 10</w:t>
      </w:r>
      <w:r>
        <w:rPr>
          <w:vertAlign w:val="superscript"/>
        </w:rPr>
        <w:t>−</w:t>
      </w:r>
      <w:r>
        <w:rPr>
          <w:vertAlign w:val="superscript"/>
        </w:rPr>
        <w:t>1</w:t>
      </w:r>
      <w:r>
        <w:rPr>
          <w:vertAlign w:val="superscript"/>
        </w:rPr>
        <w:t>4</w:t>
      </w:r>
      <w:r>
        <w:t>) and (10</w:t>
      </w:r>
      <w:r>
        <w:rPr>
          <w:vertAlign w:val="superscript"/>
        </w:rPr>
        <w:t>−</w:t>
      </w:r>
      <w:r>
        <w:rPr>
          <w:vertAlign w:val="superscript"/>
        </w:rPr>
        <w:t>1</w:t>
      </w:r>
      <w:r>
        <w:rPr>
          <w:vertAlign w:val="superscript"/>
        </w:rPr>
        <w:t>2</w:t>
      </w:r>
      <w:r>
        <w:t>, 10</w:t>
      </w:r>
      <w:r>
        <w:rPr>
          <w:vertAlign w:val="superscript"/>
        </w:rPr>
        <w:t>−</w:t>
      </w:r>
      <w:r>
        <w:rPr>
          <w:vertAlign w:val="superscript"/>
        </w:rPr>
        <w:t>1</w:t>
      </w:r>
      <w:r>
        <w:rPr>
          <w:vertAlign w:val="superscript"/>
        </w:rPr>
        <w:t>6</w:t>
      </w:r>
      <w:r>
        <w:t xml:space="preserve">) at </w:t>
      </w:r>
      <w:r>
        <w:rPr>
          <w:i/>
        </w:rPr>
        <w:t>v</w:t>
      </w:r>
      <w:r>
        <w:t xml:space="preserve"> = 0.001; the basin radius is bisected (26 steps, bracket [10</w:t>
      </w:r>
      <w:r>
        <w:rPr>
          <w:vertAlign w:val="superscript"/>
        </w:rPr>
        <w:t>−</w:t>
      </w:r>
      <w:r>
        <w:rPr>
          <w:vertAlign w:val="superscript"/>
        </w:rPr>
        <w:t>6</w:t>
      </w:r>
      <w:r>
        <w:t>, 0.5]) in the direction of −</w:t>
      </w:r>
      <w:r>
        <w:rPr>
          <w:i/>
        </w:rPr>
        <w:t>θ</w:t>
      </w:r>
      <w:r>
        <w:t xml:space="preserve"> with end time 2500 residence times. The Arrhenius temperature path uses 4000 conversion points for the steady curve (brentq xtol 10</w:t>
      </w:r>
      <w:r>
        <w:rPr>
          <w:vertAlign w:val="superscript"/>
        </w:rPr>
        <w:t>−</w:t>
      </w:r>
      <w:r>
        <w:rPr>
          <w:vertAlign w:val="superscript"/>
        </w:rPr>
        <w:t>1</w:t>
      </w:r>
      <w:r>
        <w:rPr>
          <w:vertAlign w:val="superscript"/>
        </w:rPr>
        <w:t>0</w:t>
      </w:r>
      <w:r>
        <w:t xml:space="preserve"> in </w:t>
      </w:r>
      <w:r>
        <w:rPr>
          <w:i/>
        </w:rPr>
        <w:t>T</w:t>
      </w:r>
      <w:r>
        <w:t>), a central-difference Jacobian, and LSODA ramps (rtol 10</w:t>
      </w:r>
      <w:r>
        <w:rPr>
          <w:vertAlign w:val="superscript"/>
        </w:rPr>
        <w:t>−</w:t>
      </w:r>
      <w:r>
        <w:rPr>
          <w:vertAlign w:val="superscript"/>
        </w:rPr>
        <w:t>8</w:t>
      </w:r>
      <w:r>
        <w:t>, atol 10</w:t>
      </w:r>
      <w:r>
        <w:rPr>
          <w:vertAlign w:val="superscript"/>
        </w:rPr>
        <w:t>−</w:t>
      </w:r>
      <w:r>
        <w:rPr>
          <w:vertAlign w:val="superscript"/>
        </w:rPr>
        <w:t>1</w:t>
      </w:r>
      <w:r>
        <w:rPr>
          <w:vertAlign w:val="superscript"/>
        </w:rPr>
        <w:t>0</w:t>
      </w:r>
      <w:r>
        <w:t xml:space="preserve">, dwell 20 residence times, bounds from 15 K below the window to 15 K above it). </w:t>
      </w:r>
      <w:r>
        <w:rPr>
          <w:i/>
        </w:rPr>
        <w:t>Thresholds.</w:t>
      </w:r>
      <w:r>
        <w:t xml:space="preserve"> The operational critical number is the </w:t>
      </w:r>
      <w:r>
        <w:rPr>
          <w:i/>
        </w:rPr>
        <w:t>Π</w:t>
      </w:r>
      <w:r>
        <w:t xml:space="preserve"> (exponential model, bracket [0.3, 8], 30 bisection steps) or the adiabatic rise (Arrhenius model, bracket [3, 8000] </w:t>
      </w:r>
      <w:r>
        <w:rPr>
          <w:i/>
        </w:rPr>
        <w:t>K</w:t>
      </w:r>
      <w:r>
        <w:t xml:space="preserve"> in logarithm, 26 steps) at which the integrated peak temperature rise (</w:t>
      </w:r>
      <w:r>
        <w:rPr>
          <w:i/>
        </w:rPr>
        <w:t>T</w:t>
      </w:r>
      <w:r>
        <w:rPr>
          <w:vertAlign w:val="subscript"/>
        </w:rPr>
        <w:t>m</w:t>
      </w:r>
      <w:r>
        <w:rPr>
          <w:vertAlign w:val="subscript"/>
        </w:rPr>
        <w:t>a</w:t>
      </w:r>
      <w:r>
        <w:rPr>
          <w:vertAlign w:val="subscript"/>
        </w:rPr>
        <w:t>x</w:t>
      </w:r>
      <w:r>
        <w:t xml:space="preserve"> − </w:t>
      </w:r>
      <w:r>
        <w:rPr>
          <w:i/>
        </w:rPr>
        <w:t>T</w:t>
      </w:r>
      <w:r>
        <w:rPr>
          <w:vertAlign w:val="subscript"/>
        </w:rPr>
        <w:t>∞</w:t>
      </w:r>
      <w:r>
        <w:t>)/Δ</w:t>
      </w:r>
      <w:r>
        <w:rPr>
          <w:i/>
        </w:rPr>
        <w:t>T</w:t>
      </w:r>
      <w:r>
        <w:rPr>
          <w:vertAlign w:val="subscript"/>
        </w:rPr>
        <w:t>a</w:t>
      </w:r>
      <w:r>
        <w:rPr>
          <w:vertAlign w:val="subscript"/>
        </w:rPr>
        <w:t>d</w:t>
      </w:r>
      <w:r>
        <w:t xml:space="preserve"> first exceeds 0.3, starting from </w:t>
      </w:r>
      <w:r>
        <w:rPr>
          <w:i/>
        </w:rPr>
        <w:t>T</w:t>
      </w:r>
      <w:r>
        <w:t xml:space="preserve">(0) = </w:t>
      </w:r>
      <w:r>
        <w:rPr>
          <w:i/>
        </w:rPr>
        <w:t>T</w:t>
      </w:r>
      <w:r>
        <w:rPr>
          <w:vertAlign w:val="subscript"/>
        </w:rPr>
        <w:t>∞</w:t>
      </w:r>
      <w:r>
        <w:t xml:space="preserve">. </w:t>
      </w:r>
      <w:r>
        <w:rPr>
          <w:i/>
        </w:rPr>
        <w:t>Sweeps.</w:t>
      </w:r>
      <w:r>
        <w:t xml:space="preserve"> Start at (</w:t>
      </w:r>
      <w:r>
        <w:rPr>
          <w:i/>
        </w:rPr>
        <w:t>θ</w:t>
      </w:r>
      <w:r>
        <w:t xml:space="preserve">, </w:t>
      </w:r>
      <w:r>
        <w:rPr>
          <w:i/>
        </w:rPr>
        <w:t>α</w:t>
      </w:r>
      <w:r>
        <w:t xml:space="preserve">) = (0, 0) at the lower bound of ln </w:t>
      </w:r>
      <w:r>
        <w:rPr>
          <w:i/>
        </w:rPr>
        <w:t>D</w:t>
      </w:r>
      <w:r>
        <w:t xml:space="preserve"> (window lower edge minus 2), dwell 20 residence times, sweep up at rate </w:t>
      </w:r>
      <w:r>
        <w:rPr>
          <w:i/>
        </w:rPr>
        <w:t>v</w:t>
      </w:r>
      <w:r>
        <w:t xml:space="preserve"> to the upper bound (window upper edge plus 2), dwell 20, sweep down, dwell 20; the area is the signed integral of </w:t>
      </w:r>
      <w:r>
        <w:rPr>
          <w:i/>
        </w:rPr>
        <w:t>α</w:t>
      </w:r>
      <w:r>
        <w:t xml:space="preserve"> </w:t>
      </w:r>
      <w:r>
        <w:rPr>
          <w:i/>
        </w:rPr>
        <w:t>d</w:t>
      </w:r>
      <w:r>
        <w:t xml:space="preserve"> ln </w:t>
      </w:r>
      <w:r>
        <w:rPr>
          <w:i/>
        </w:rPr>
        <w:t>D</w:t>
      </w:r>
      <w:r>
        <w:t xml:space="preserve"> over the two sweep legs (output step 0.05). </w:t>
      </w:r>
      <w:r>
        <w:rPr>
          <w:i/>
        </w:rPr>
        <w:t>Design bound.</w:t>
      </w:r>
      <w:r>
        <w:t xml:space="preserve"> </w:t>
      </w:r>
      <w:r>
        <w:rPr>
          <w:i/>
        </w:rPr>
        <w:t>σ</w:t>
      </w:r>
      <w:r>
        <w:rPr>
          <w:vertAlign w:val="superscript"/>
        </w:rPr>
        <w:t>*</w:t>
      </w:r>
      <w:r>
        <w:t xml:space="preserve"> from Eq. (12) with </w:t>
      </w:r>
      <w:r>
        <w:rPr>
          <w:i/>
        </w:rPr>
        <w:t>w</w:t>
      </w:r>
      <w:r>
        <w:rPr>
          <w:vertAlign w:val="subscript"/>
        </w:rPr>
        <w:t>0</w:t>
      </w:r>
      <w:r>
        <w:t xml:space="preserve"> = 0.5 °C; the ODE root is bracketed in [0.3, 40] °C (xtol 10</w:t>
      </w:r>
      <w:r>
        <w:rPr>
          <w:vertAlign w:val="superscript"/>
        </w:rPr>
        <w:t>−</w:t>
      </w:r>
      <w:r>
        <w:rPr>
          <w:vertAlign w:val="superscript"/>
        </w:rPr>
        <w:t>3</w:t>
      </w:r>
      <w:r>
        <w:t xml:space="preserve">). </w:t>
      </w:r>
      <w:r>
        <w:rPr>
          <w:i/>
        </w:rPr>
        <w:t>Recovery.</w:t>
      </w:r>
      <w:r>
        <w:t xml:space="preserve"> 200 noise realizations (seed 20261007, prior test seed 20261008), bounded least squares. </w:t>
      </w:r>
      <w:r>
        <w:rPr>
          <w:i/>
        </w:rPr>
        <w:t>Errors.</w:t>
      </w:r>
      <w:r>
        <w:t xml:space="preserve"> In every table, difference = closed form (or prediction)/numerical − 1. </w:t>
      </w:r>
      <w:r>
        <w:rPr>
          <w:i/>
        </w:rPr>
        <w:t>Software.</w:t>
      </w:r>
      <w:r>
        <w:t xml:space="preserve"> Python 3.11.9, NumPy 2.4.6, SciPy 1.17.1; release </w:t>
      </w:r>
      <w:r>
        <w:rPr>
          <w:i/>
        </w:rPr>
        <w:t>v</w:t>
      </w:r>
      <w:r>
        <w:t>1.3.1 of the repository contains the exact scripts and results.json.</w:t>
      </w:r>
    </w:p>
    <w:p>
      <w:pPr>
        <w:keepNext/>
        <w:spacing w:line="276" w:lineRule="auto" w:after="200"/>
      </w:pPr>
      <w:r>
        <w:rPr>
          <w:b/>
          <w:sz w:val="19"/>
        </w:rPr>
        <w:t>Table 11</w:t>
      </w:r>
      <w:r>
        <w:rPr>
          <w:sz w:val="19"/>
        </w:rPr>
        <w:t xml:space="preserve"> Convergence of the reference integrator with population size and step (storage conversion after 150 min, Δ = 6 °C, </w:t>
      </w:r>
      <w:r>
        <w:rPr>
          <w:i/>
          <w:sz w:val="19"/>
        </w:rPr>
        <w:t>w</w:t>
      </w:r>
      <w:r>
        <w:rPr>
          <w:sz w:val="19"/>
          <w:vertAlign w:val="subscript"/>
        </w:rPr>
        <w:t>0</w:t>
      </w:r>
      <w:r>
        <w:rPr>
          <w:sz w:val="19"/>
        </w:rPr>
        <w:t xml:space="preserve"> = 0.5 °C; the narrower spread </w:t>
      </w:r>
      <w:r>
        <w:rPr>
          <w:i/>
          <w:sz w:val="19"/>
        </w:rPr>
        <w:t>σ</w:t>
      </w:r>
      <w:r>
        <w:rPr>
          <w:sz w:val="19"/>
        </w:rPr>
        <w:t xml:space="preserve"> = 2 °C is the tail-sensitive case; the step study uses </w:t>
      </w:r>
      <w:r>
        <w:rPr>
          <w:i/>
          <w:sz w:val="19"/>
        </w:rPr>
        <w:t>K</w:t>
      </w:r>
      <w:r>
        <w:rPr>
          <w:sz w:val="19"/>
        </w:rPr>
        <w:t xml:space="preserve"> = 801).</w:t>
      </w:r>
    </w:p>
    <w:tbl>
      <w:tblPr>
        <w:tblStyle w:val="TableGrid"/>
        <w:tblW w:type="auto" w:w="0"/>
        <w:jc w:val="center"/>
        <w:tblLayout w:type="fixed"/>
        <w:tblLook w:firstColumn="1" w:firstRow="1" w:lastColumn="0" w:lastRow="0" w:noHBand="0" w:noVBand="1" w:val="04A0"/>
      </w:tblPr>
      <w:tblGrid>
        <w:gridCol w:w="2880"/>
        <w:gridCol w:w="1440"/>
        <w:gridCol w:w="1440"/>
        <w:gridCol w:w="2016"/>
        <w:gridCol w:w="1584"/>
      </w:tblGrid>
      <w:tr>
        <w:trPr>
          <w:tblHeader w:val="true"/>
        </w:trPr>
        <w:tc>
          <w:tcPr>
            <w:tcW w:type="dxa" w:w="2880"/>
          </w:tcPr>
          <w:p>
            <w:pPr>
              <w:spacing w:line="240" w:lineRule="auto" w:after="20"/>
            </w:pPr>
            <w:r/>
            <w:r>
              <w:rPr>
                <w:b/>
                <w:sz w:val="16"/>
              </w:rPr>
              <w:t>Quantity</w:t>
            </w:r>
          </w:p>
        </w:tc>
        <w:tc>
          <w:tcPr>
            <w:tcW w:type="dxa" w:w="1440"/>
          </w:tcPr>
          <w:p>
            <w:pPr>
              <w:spacing w:line="240" w:lineRule="auto" w:after="20"/>
            </w:pPr>
            <w:r/>
            <w:r>
              <w:rPr>
                <w:b/>
                <w:sz w:val="16"/>
              </w:rPr>
              <w:t>Setting</w:t>
            </w:r>
          </w:p>
        </w:tc>
        <w:tc>
          <w:tcPr>
            <w:tcW w:type="dxa" w:w="1440"/>
          </w:tcPr>
          <w:p>
            <w:pPr>
              <w:spacing w:line="240" w:lineRule="auto" w:after="20"/>
            </w:pPr>
            <w:r/>
            <w:r>
              <w:rPr>
                <w:b/>
                <w:sz w:val="16"/>
              </w:rPr>
              <w:t>Value at setting</w:t>
            </w:r>
          </w:p>
        </w:tc>
        <w:tc>
          <w:tcPr>
            <w:tcW w:type="dxa" w:w="2016"/>
          </w:tcPr>
          <w:p>
            <w:pPr>
              <w:spacing w:line="240" w:lineRule="auto" w:after="20"/>
            </w:pPr>
            <w:r/>
            <w:r>
              <w:rPr>
                <w:b/>
                <w:sz w:val="16"/>
              </w:rPr>
              <w:t>Reference</w:t>
            </w:r>
          </w:p>
        </w:tc>
        <w:tc>
          <w:tcPr>
            <w:tcW w:type="dxa" w:w="1584"/>
          </w:tcPr>
          <w:p>
            <w:pPr>
              <w:spacing w:line="240" w:lineRule="auto" w:after="20"/>
            </w:pPr>
            <w:r/>
            <w:r>
              <w:rPr>
                <w:b/>
                <w:sz w:val="16"/>
              </w:rPr>
              <w:t>Relative difference</w:t>
            </w:r>
          </w:p>
        </w:tc>
      </w:tr>
      <w:tr>
        <w:tc>
          <w:tcPr>
            <w:tcW w:type="dxa" w:w="2880"/>
          </w:tcPr>
          <w:p>
            <w:pPr>
              <w:spacing w:line="240" w:lineRule="auto" w:after="20"/>
            </w:pPr>
            <w:r/>
            <w:r>
              <w:rPr>
                <w:sz w:val="16"/>
              </w:rPr>
              <w:t>Storage conversion (</w:t>
            </w:r>
            <w:r>
              <w:rPr>
                <w:i/>
                <w:sz w:val="16"/>
              </w:rPr>
              <w:t>σ</w:t>
            </w:r>
            <w:r>
              <w:rPr>
                <w:sz w:val="16"/>
              </w:rPr>
              <w:t xml:space="preserve"> = 2 °C, Δ = 6 °C)</w:t>
            </w:r>
          </w:p>
        </w:tc>
        <w:tc>
          <w:tcPr>
            <w:tcW w:type="dxa" w:w="1440"/>
          </w:tcPr>
          <w:p>
            <w:pPr>
              <w:spacing w:line="240" w:lineRule="auto" w:after="20"/>
            </w:pPr>
            <w:r/>
            <w:r>
              <w:rPr>
                <w:i/>
                <w:sz w:val="16"/>
              </w:rPr>
              <w:t>K</w:t>
            </w:r>
            <w:r>
              <w:rPr>
                <w:sz w:val="16"/>
              </w:rPr>
              <w:t xml:space="preserve"> = 101</w:t>
            </w:r>
          </w:p>
        </w:tc>
        <w:tc>
          <w:tcPr>
            <w:tcW w:type="dxa" w:w="1440"/>
          </w:tcPr>
          <w:p>
            <w:pPr>
              <w:spacing w:line="240" w:lineRule="auto" w:after="20"/>
            </w:pPr>
            <w:r/>
            <w:r>
              <w:rPr>
                <w:sz w:val="16"/>
              </w:rPr>
              <w:t>0.000101</w:t>
            </w:r>
          </w:p>
        </w:tc>
        <w:tc>
          <w:tcPr>
            <w:tcW w:type="dxa" w:w="2016"/>
          </w:tcPr>
          <w:p>
            <w:pPr>
              <w:spacing w:line="240" w:lineRule="auto" w:after="20"/>
            </w:pPr>
            <w:r/>
            <w:r>
              <w:rPr>
                <w:sz w:val="16"/>
              </w:rPr>
              <w:t>0.000142 (</w:t>
            </w:r>
            <w:r>
              <w:rPr>
                <w:i/>
                <w:sz w:val="16"/>
              </w:rPr>
              <w:t>K</w:t>
            </w:r>
            <w:r>
              <w:rPr>
                <w:sz w:val="16"/>
              </w:rPr>
              <w:t xml:space="preserve"> = 6401)</w:t>
            </w:r>
          </w:p>
        </w:tc>
        <w:tc>
          <w:tcPr>
            <w:tcW w:type="dxa" w:w="1584"/>
          </w:tcPr>
          <w:p>
            <w:pPr>
              <w:spacing w:line="240" w:lineRule="auto" w:after="20"/>
            </w:pPr>
            <w:r/>
            <w:r>
              <w:rPr>
                <w:sz w:val="16"/>
              </w:rPr>
              <w:t>-2.9e-01</w:t>
            </w:r>
          </w:p>
        </w:tc>
      </w:tr>
      <w:tr>
        <w:tc>
          <w:tcPr>
            <w:tcW w:type="dxa" w:w="2880"/>
          </w:tcPr>
          <w:p>
            <w:pPr>
              <w:spacing w:line="240" w:lineRule="auto" w:after="20"/>
            </w:pPr>
            <w:r/>
            <w:r>
              <w:rPr>
                <w:sz w:val="16"/>
              </w:rPr>
              <w:t>Storage conversion (</w:t>
            </w:r>
            <w:r>
              <w:rPr>
                <w:i/>
                <w:sz w:val="16"/>
              </w:rPr>
              <w:t>σ</w:t>
            </w:r>
            <w:r>
              <w:rPr>
                <w:sz w:val="16"/>
              </w:rPr>
              <w:t xml:space="preserve"> = 2 °C, Δ = 6 °C)</w:t>
            </w:r>
          </w:p>
        </w:tc>
        <w:tc>
          <w:tcPr>
            <w:tcW w:type="dxa" w:w="1440"/>
          </w:tcPr>
          <w:p>
            <w:pPr>
              <w:spacing w:line="240" w:lineRule="auto" w:after="20"/>
            </w:pPr>
            <w:r/>
            <w:r>
              <w:rPr>
                <w:i/>
                <w:sz w:val="16"/>
              </w:rPr>
              <w:t>K</w:t>
            </w:r>
            <w:r>
              <w:rPr>
                <w:sz w:val="16"/>
              </w:rPr>
              <w:t xml:space="preserve"> = 201</w:t>
            </w:r>
          </w:p>
        </w:tc>
        <w:tc>
          <w:tcPr>
            <w:tcW w:type="dxa" w:w="1440"/>
          </w:tcPr>
          <w:p>
            <w:pPr>
              <w:spacing w:line="240" w:lineRule="auto" w:after="20"/>
            </w:pPr>
            <w:r/>
            <w:r>
              <w:rPr>
                <w:sz w:val="16"/>
              </w:rPr>
              <w:t>0.000124</w:t>
            </w:r>
          </w:p>
        </w:tc>
        <w:tc>
          <w:tcPr>
            <w:tcW w:type="dxa" w:w="2016"/>
          </w:tcPr>
          <w:p>
            <w:pPr>
              <w:spacing w:line="240" w:lineRule="auto" w:after="20"/>
            </w:pPr>
            <w:r/>
            <w:r>
              <w:rPr>
                <w:sz w:val="16"/>
              </w:rPr>
              <w:t>0.000142 (</w:t>
            </w:r>
            <w:r>
              <w:rPr>
                <w:i/>
                <w:sz w:val="16"/>
              </w:rPr>
              <w:t>K</w:t>
            </w:r>
            <w:r>
              <w:rPr>
                <w:sz w:val="16"/>
              </w:rPr>
              <w:t xml:space="preserve"> = 6401)</w:t>
            </w:r>
          </w:p>
        </w:tc>
        <w:tc>
          <w:tcPr>
            <w:tcW w:type="dxa" w:w="1584"/>
          </w:tcPr>
          <w:p>
            <w:pPr>
              <w:spacing w:line="240" w:lineRule="auto" w:after="20"/>
            </w:pPr>
            <w:r/>
            <w:r>
              <w:rPr>
                <w:sz w:val="16"/>
              </w:rPr>
              <w:t>-1.3e-01</w:t>
            </w:r>
          </w:p>
        </w:tc>
      </w:tr>
      <w:tr>
        <w:tc>
          <w:tcPr>
            <w:tcW w:type="dxa" w:w="2880"/>
          </w:tcPr>
          <w:p>
            <w:pPr>
              <w:spacing w:line="240" w:lineRule="auto" w:after="20"/>
            </w:pPr>
            <w:r/>
            <w:r>
              <w:rPr>
                <w:sz w:val="16"/>
              </w:rPr>
              <w:t>Storage conversion (</w:t>
            </w:r>
            <w:r>
              <w:rPr>
                <w:i/>
                <w:sz w:val="16"/>
              </w:rPr>
              <w:t>σ</w:t>
            </w:r>
            <w:r>
              <w:rPr>
                <w:sz w:val="16"/>
              </w:rPr>
              <w:t xml:space="preserve"> = 2 °C, Δ = 6 °C)</w:t>
            </w:r>
          </w:p>
        </w:tc>
        <w:tc>
          <w:tcPr>
            <w:tcW w:type="dxa" w:w="1440"/>
          </w:tcPr>
          <w:p>
            <w:pPr>
              <w:spacing w:line="240" w:lineRule="auto" w:after="20"/>
            </w:pPr>
            <w:r/>
            <w:r>
              <w:rPr>
                <w:i/>
                <w:sz w:val="16"/>
              </w:rPr>
              <w:t>K</w:t>
            </w:r>
            <w:r>
              <w:rPr>
                <w:sz w:val="16"/>
              </w:rPr>
              <w:t xml:space="preserve"> = 401</w:t>
            </w:r>
          </w:p>
        </w:tc>
        <w:tc>
          <w:tcPr>
            <w:tcW w:type="dxa" w:w="1440"/>
          </w:tcPr>
          <w:p>
            <w:pPr>
              <w:spacing w:line="240" w:lineRule="auto" w:after="20"/>
            </w:pPr>
            <w:r/>
            <w:r>
              <w:rPr>
                <w:sz w:val="16"/>
              </w:rPr>
              <w:t>0.000136</w:t>
            </w:r>
          </w:p>
        </w:tc>
        <w:tc>
          <w:tcPr>
            <w:tcW w:type="dxa" w:w="2016"/>
          </w:tcPr>
          <w:p>
            <w:pPr>
              <w:spacing w:line="240" w:lineRule="auto" w:after="20"/>
            </w:pPr>
            <w:r/>
            <w:r>
              <w:rPr>
                <w:sz w:val="16"/>
              </w:rPr>
              <w:t>0.000142 (</w:t>
            </w:r>
            <w:r>
              <w:rPr>
                <w:i/>
                <w:sz w:val="16"/>
              </w:rPr>
              <w:t>K</w:t>
            </w:r>
            <w:r>
              <w:rPr>
                <w:sz w:val="16"/>
              </w:rPr>
              <w:t xml:space="preserve"> = 6401)</w:t>
            </w:r>
          </w:p>
        </w:tc>
        <w:tc>
          <w:tcPr>
            <w:tcW w:type="dxa" w:w="1584"/>
          </w:tcPr>
          <w:p>
            <w:pPr>
              <w:spacing w:line="240" w:lineRule="auto" w:after="20"/>
            </w:pPr>
            <w:r/>
            <w:r>
              <w:rPr>
                <w:sz w:val="16"/>
              </w:rPr>
              <w:t>-4.2e-02</w:t>
            </w:r>
          </w:p>
        </w:tc>
      </w:tr>
      <w:tr>
        <w:tc>
          <w:tcPr>
            <w:tcW w:type="dxa" w:w="2880"/>
          </w:tcPr>
          <w:p>
            <w:pPr>
              <w:spacing w:line="240" w:lineRule="auto" w:after="20"/>
            </w:pPr>
            <w:r/>
            <w:r>
              <w:rPr>
                <w:sz w:val="16"/>
              </w:rPr>
              <w:t>Storage conversion (</w:t>
            </w:r>
            <w:r>
              <w:rPr>
                <w:i/>
                <w:sz w:val="16"/>
              </w:rPr>
              <w:t>σ</w:t>
            </w:r>
            <w:r>
              <w:rPr>
                <w:sz w:val="16"/>
              </w:rPr>
              <w:t xml:space="preserve"> = 2 °C, Δ = 6 °C)</w:t>
            </w:r>
          </w:p>
        </w:tc>
        <w:tc>
          <w:tcPr>
            <w:tcW w:type="dxa" w:w="1440"/>
          </w:tcPr>
          <w:p>
            <w:pPr>
              <w:spacing w:line="240" w:lineRule="auto" w:after="20"/>
            </w:pPr>
            <w:r/>
            <w:r>
              <w:rPr>
                <w:i/>
                <w:sz w:val="16"/>
              </w:rPr>
              <w:t>K</w:t>
            </w:r>
            <w:r>
              <w:rPr>
                <w:sz w:val="16"/>
              </w:rPr>
              <w:t xml:space="preserve"> = 801</w:t>
            </w:r>
          </w:p>
        </w:tc>
        <w:tc>
          <w:tcPr>
            <w:tcW w:type="dxa" w:w="1440"/>
          </w:tcPr>
          <w:p>
            <w:pPr>
              <w:spacing w:line="240" w:lineRule="auto" w:after="20"/>
            </w:pPr>
            <w:r/>
            <w:r>
              <w:rPr>
                <w:sz w:val="16"/>
              </w:rPr>
              <w:t>0.000140</w:t>
            </w:r>
          </w:p>
        </w:tc>
        <w:tc>
          <w:tcPr>
            <w:tcW w:type="dxa" w:w="2016"/>
          </w:tcPr>
          <w:p>
            <w:pPr>
              <w:spacing w:line="240" w:lineRule="auto" w:after="20"/>
            </w:pPr>
            <w:r/>
            <w:r>
              <w:rPr>
                <w:sz w:val="16"/>
              </w:rPr>
              <w:t>0.000142 (</w:t>
            </w:r>
            <w:r>
              <w:rPr>
                <w:i/>
                <w:sz w:val="16"/>
              </w:rPr>
              <w:t>K</w:t>
            </w:r>
            <w:r>
              <w:rPr>
                <w:sz w:val="16"/>
              </w:rPr>
              <w:t xml:space="preserve"> = 6401)</w:t>
            </w:r>
          </w:p>
        </w:tc>
        <w:tc>
          <w:tcPr>
            <w:tcW w:type="dxa" w:w="1584"/>
          </w:tcPr>
          <w:p>
            <w:pPr>
              <w:spacing w:line="240" w:lineRule="auto" w:after="20"/>
            </w:pPr>
            <w:r/>
            <w:r>
              <w:rPr>
                <w:sz w:val="16"/>
              </w:rPr>
              <w:t>-1.1e-02</w:t>
            </w:r>
          </w:p>
        </w:tc>
      </w:tr>
      <w:tr>
        <w:tc>
          <w:tcPr>
            <w:tcW w:type="dxa" w:w="2880"/>
          </w:tcPr>
          <w:p>
            <w:pPr>
              <w:spacing w:line="240" w:lineRule="auto" w:after="20"/>
            </w:pPr>
            <w:r/>
            <w:r>
              <w:rPr>
                <w:sz w:val="16"/>
              </w:rPr>
              <w:t>Storage conversion (</w:t>
            </w:r>
            <w:r>
              <w:rPr>
                <w:i/>
                <w:sz w:val="16"/>
              </w:rPr>
              <w:t>σ</w:t>
            </w:r>
            <w:r>
              <w:rPr>
                <w:sz w:val="16"/>
              </w:rPr>
              <w:t xml:space="preserve"> = 2 °C, Δ = 6 °C)</w:t>
            </w:r>
          </w:p>
        </w:tc>
        <w:tc>
          <w:tcPr>
            <w:tcW w:type="dxa" w:w="1440"/>
          </w:tcPr>
          <w:p>
            <w:pPr>
              <w:spacing w:line="240" w:lineRule="auto" w:after="20"/>
            </w:pPr>
            <w:r/>
            <w:r>
              <w:rPr>
                <w:i/>
                <w:sz w:val="16"/>
              </w:rPr>
              <w:t>K</w:t>
            </w:r>
            <w:r>
              <w:rPr>
                <w:sz w:val="16"/>
              </w:rPr>
              <w:t xml:space="preserve"> = 1601</w:t>
            </w:r>
          </w:p>
        </w:tc>
        <w:tc>
          <w:tcPr>
            <w:tcW w:type="dxa" w:w="1440"/>
          </w:tcPr>
          <w:p>
            <w:pPr>
              <w:spacing w:line="240" w:lineRule="auto" w:after="20"/>
            </w:pPr>
            <w:r/>
            <w:r>
              <w:rPr>
                <w:sz w:val="16"/>
              </w:rPr>
              <w:t>0.000142</w:t>
            </w:r>
          </w:p>
        </w:tc>
        <w:tc>
          <w:tcPr>
            <w:tcW w:type="dxa" w:w="2016"/>
          </w:tcPr>
          <w:p>
            <w:pPr>
              <w:spacing w:line="240" w:lineRule="auto" w:after="20"/>
            </w:pPr>
            <w:r/>
            <w:r>
              <w:rPr>
                <w:sz w:val="16"/>
              </w:rPr>
              <w:t>0.000142 (</w:t>
            </w:r>
            <w:r>
              <w:rPr>
                <w:i/>
                <w:sz w:val="16"/>
              </w:rPr>
              <w:t>K</w:t>
            </w:r>
            <w:r>
              <w:rPr>
                <w:sz w:val="16"/>
              </w:rPr>
              <w:t xml:space="preserve"> = 6401)</w:t>
            </w:r>
          </w:p>
        </w:tc>
        <w:tc>
          <w:tcPr>
            <w:tcW w:type="dxa" w:w="1584"/>
          </w:tcPr>
          <w:p>
            <w:pPr>
              <w:spacing w:line="240" w:lineRule="auto" w:after="20"/>
            </w:pPr>
            <w:r/>
            <w:r>
              <w:rPr>
                <w:sz w:val="16"/>
              </w:rPr>
              <w:t>-2.5e-03</w:t>
            </w:r>
          </w:p>
        </w:tc>
      </w:tr>
      <w:tr>
        <w:tc>
          <w:tcPr>
            <w:tcW w:type="dxa" w:w="2880"/>
          </w:tcPr>
          <w:p>
            <w:pPr>
              <w:spacing w:line="240" w:lineRule="auto" w:after="20"/>
            </w:pPr>
            <w:r/>
            <w:r>
              <w:rPr>
                <w:sz w:val="16"/>
              </w:rPr>
              <w:t>Storage conversion (</w:t>
            </w:r>
            <w:r>
              <w:rPr>
                <w:i/>
                <w:sz w:val="16"/>
              </w:rPr>
              <w:t>σ</w:t>
            </w:r>
            <w:r>
              <w:rPr>
                <w:sz w:val="16"/>
              </w:rPr>
              <w:t xml:space="preserve"> = 2 °C, Δ = 6 °C)</w:t>
            </w:r>
          </w:p>
        </w:tc>
        <w:tc>
          <w:tcPr>
            <w:tcW w:type="dxa" w:w="1440"/>
          </w:tcPr>
          <w:p>
            <w:pPr>
              <w:spacing w:line="240" w:lineRule="auto" w:after="20"/>
            </w:pPr>
            <w:r/>
            <w:r>
              <w:rPr>
                <w:i/>
                <w:sz w:val="16"/>
              </w:rPr>
              <w:t>K</w:t>
            </w:r>
            <w:r>
              <w:rPr>
                <w:sz w:val="16"/>
              </w:rPr>
              <w:t xml:space="preserve"> = 3201</w:t>
            </w:r>
          </w:p>
        </w:tc>
        <w:tc>
          <w:tcPr>
            <w:tcW w:type="dxa" w:w="1440"/>
          </w:tcPr>
          <w:p>
            <w:pPr>
              <w:spacing w:line="240" w:lineRule="auto" w:after="20"/>
            </w:pPr>
            <w:r/>
            <w:r>
              <w:rPr>
                <w:sz w:val="16"/>
              </w:rPr>
              <w:t>0.000142</w:t>
            </w:r>
          </w:p>
        </w:tc>
        <w:tc>
          <w:tcPr>
            <w:tcW w:type="dxa" w:w="2016"/>
          </w:tcPr>
          <w:p>
            <w:pPr>
              <w:spacing w:line="240" w:lineRule="auto" w:after="20"/>
            </w:pPr>
            <w:r/>
            <w:r>
              <w:rPr>
                <w:sz w:val="16"/>
              </w:rPr>
              <w:t>0.000142 (</w:t>
            </w:r>
            <w:r>
              <w:rPr>
                <w:i/>
                <w:sz w:val="16"/>
              </w:rPr>
              <w:t>K</w:t>
            </w:r>
            <w:r>
              <w:rPr>
                <w:sz w:val="16"/>
              </w:rPr>
              <w:t xml:space="preserve"> = 6401)</w:t>
            </w:r>
          </w:p>
        </w:tc>
        <w:tc>
          <w:tcPr>
            <w:tcW w:type="dxa" w:w="1584"/>
          </w:tcPr>
          <w:p>
            <w:pPr>
              <w:spacing w:line="240" w:lineRule="auto" w:after="20"/>
            </w:pPr>
            <w:r/>
            <w:r>
              <w:rPr>
                <w:sz w:val="16"/>
              </w:rPr>
              <w:t>-4.9e-04</w:t>
            </w:r>
          </w:p>
        </w:tc>
      </w:tr>
      <w:tr>
        <w:tc>
          <w:tcPr>
            <w:tcW w:type="dxa" w:w="2880"/>
          </w:tcPr>
          <w:p>
            <w:pPr>
              <w:spacing w:line="240" w:lineRule="auto" w:after="20"/>
            </w:pPr>
            <w:r/>
            <w:r>
              <w:rPr>
                <w:sz w:val="16"/>
              </w:rPr>
              <w:t>Storage conversion (</w:t>
            </w:r>
            <w:r>
              <w:rPr>
                <w:i/>
                <w:sz w:val="16"/>
              </w:rPr>
              <w:t>σ</w:t>
            </w:r>
            <w:r>
              <w:rPr>
                <w:sz w:val="16"/>
              </w:rPr>
              <w:t xml:space="preserve"> = 2 °C, Δ = 6 °C)</w:t>
            </w:r>
          </w:p>
        </w:tc>
        <w:tc>
          <w:tcPr>
            <w:tcW w:type="dxa" w:w="1440"/>
          </w:tcPr>
          <w:p>
            <w:pPr>
              <w:spacing w:line="240" w:lineRule="auto" w:after="20"/>
            </w:pPr>
            <w:r/>
            <w:r>
              <w:rPr>
                <w:sz w:val="16"/>
              </w:rPr>
              <w:t>step 0.2 min</w:t>
            </w:r>
          </w:p>
        </w:tc>
        <w:tc>
          <w:tcPr>
            <w:tcW w:type="dxa" w:w="1440"/>
          </w:tcPr>
          <w:p>
            <w:pPr>
              <w:spacing w:line="240" w:lineRule="auto" w:after="20"/>
            </w:pPr>
            <w:r/>
            <w:r>
              <w:rPr>
                <w:sz w:val="16"/>
              </w:rPr>
              <w:t>0.000140</w:t>
            </w:r>
          </w:p>
        </w:tc>
        <w:tc>
          <w:tcPr>
            <w:tcW w:type="dxa" w:w="2016"/>
          </w:tcPr>
          <w:p>
            <w:pPr>
              <w:spacing w:line="240" w:lineRule="auto" w:after="20"/>
            </w:pPr>
            <w:r/>
            <w:r>
              <w:rPr>
                <w:sz w:val="16"/>
              </w:rPr>
              <w:t>0.000140 (step 0.0125)</w:t>
            </w:r>
          </w:p>
        </w:tc>
        <w:tc>
          <w:tcPr>
            <w:tcW w:type="dxa" w:w="1584"/>
          </w:tcPr>
          <w:p>
            <w:pPr>
              <w:spacing w:line="240" w:lineRule="auto" w:after="20"/>
            </w:pPr>
            <w:r/>
            <w:r>
              <w:rPr>
                <w:sz w:val="16"/>
              </w:rPr>
              <w:t>+6.7e-15</w:t>
            </w:r>
          </w:p>
        </w:tc>
      </w:tr>
      <w:tr>
        <w:tc>
          <w:tcPr>
            <w:tcW w:type="dxa" w:w="2880"/>
          </w:tcPr>
          <w:p>
            <w:pPr>
              <w:spacing w:line="240" w:lineRule="auto" w:after="20"/>
            </w:pPr>
            <w:r/>
            <w:r>
              <w:rPr>
                <w:sz w:val="16"/>
              </w:rPr>
              <w:t>Storage conversion (</w:t>
            </w:r>
            <w:r>
              <w:rPr>
                <w:i/>
                <w:sz w:val="16"/>
              </w:rPr>
              <w:t>σ</w:t>
            </w:r>
            <w:r>
              <w:rPr>
                <w:sz w:val="16"/>
              </w:rPr>
              <w:t xml:space="preserve"> = 2 °C, Δ = 6 °C)</w:t>
            </w:r>
          </w:p>
        </w:tc>
        <w:tc>
          <w:tcPr>
            <w:tcW w:type="dxa" w:w="1440"/>
          </w:tcPr>
          <w:p>
            <w:pPr>
              <w:spacing w:line="240" w:lineRule="auto" w:after="20"/>
            </w:pPr>
            <w:r/>
            <w:r>
              <w:rPr>
                <w:sz w:val="16"/>
              </w:rPr>
              <w:t>step 0.1 min</w:t>
            </w:r>
          </w:p>
        </w:tc>
        <w:tc>
          <w:tcPr>
            <w:tcW w:type="dxa" w:w="1440"/>
          </w:tcPr>
          <w:p>
            <w:pPr>
              <w:spacing w:line="240" w:lineRule="auto" w:after="20"/>
            </w:pPr>
            <w:r/>
            <w:r>
              <w:rPr>
                <w:sz w:val="16"/>
              </w:rPr>
              <w:t>0.000140</w:t>
            </w:r>
          </w:p>
        </w:tc>
        <w:tc>
          <w:tcPr>
            <w:tcW w:type="dxa" w:w="2016"/>
          </w:tcPr>
          <w:p>
            <w:pPr>
              <w:spacing w:line="240" w:lineRule="auto" w:after="20"/>
            </w:pPr>
            <w:r/>
            <w:r>
              <w:rPr>
                <w:sz w:val="16"/>
              </w:rPr>
              <w:t>0.000140 (step 0.0125)</w:t>
            </w:r>
          </w:p>
        </w:tc>
        <w:tc>
          <w:tcPr>
            <w:tcW w:type="dxa" w:w="1584"/>
          </w:tcPr>
          <w:p>
            <w:pPr>
              <w:spacing w:line="240" w:lineRule="auto" w:after="20"/>
            </w:pPr>
            <w:r/>
            <w:r>
              <w:rPr>
                <w:sz w:val="16"/>
              </w:rPr>
              <w:t>-1.6e-14</w:t>
            </w:r>
          </w:p>
        </w:tc>
      </w:tr>
      <w:tr>
        <w:tc>
          <w:tcPr>
            <w:tcW w:type="dxa" w:w="2880"/>
          </w:tcPr>
          <w:p>
            <w:pPr>
              <w:spacing w:line="240" w:lineRule="auto" w:after="20"/>
            </w:pPr>
            <w:r/>
            <w:r>
              <w:rPr>
                <w:sz w:val="16"/>
              </w:rPr>
              <w:t>Storage conversion (</w:t>
            </w:r>
            <w:r>
              <w:rPr>
                <w:i/>
                <w:sz w:val="16"/>
              </w:rPr>
              <w:t>σ</w:t>
            </w:r>
            <w:r>
              <w:rPr>
                <w:sz w:val="16"/>
              </w:rPr>
              <w:t xml:space="preserve"> = 2 °C, Δ = 6 °C)</w:t>
            </w:r>
          </w:p>
        </w:tc>
        <w:tc>
          <w:tcPr>
            <w:tcW w:type="dxa" w:w="1440"/>
          </w:tcPr>
          <w:p>
            <w:pPr>
              <w:spacing w:line="240" w:lineRule="auto" w:after="20"/>
            </w:pPr>
            <w:r/>
            <w:r>
              <w:rPr>
                <w:sz w:val="16"/>
              </w:rPr>
              <w:t>step 0.05 min</w:t>
            </w:r>
          </w:p>
        </w:tc>
        <w:tc>
          <w:tcPr>
            <w:tcW w:type="dxa" w:w="1440"/>
          </w:tcPr>
          <w:p>
            <w:pPr>
              <w:spacing w:line="240" w:lineRule="auto" w:after="20"/>
            </w:pPr>
            <w:r/>
            <w:r>
              <w:rPr>
                <w:sz w:val="16"/>
              </w:rPr>
              <w:t>0.000140</w:t>
            </w:r>
          </w:p>
        </w:tc>
        <w:tc>
          <w:tcPr>
            <w:tcW w:type="dxa" w:w="2016"/>
          </w:tcPr>
          <w:p>
            <w:pPr>
              <w:spacing w:line="240" w:lineRule="auto" w:after="20"/>
            </w:pPr>
            <w:r/>
            <w:r>
              <w:rPr>
                <w:sz w:val="16"/>
              </w:rPr>
              <w:t>0.000140 (step 0.0125)</w:t>
            </w:r>
          </w:p>
        </w:tc>
        <w:tc>
          <w:tcPr>
            <w:tcW w:type="dxa" w:w="1584"/>
          </w:tcPr>
          <w:p>
            <w:pPr>
              <w:spacing w:line="240" w:lineRule="auto" w:after="20"/>
            </w:pPr>
            <w:r/>
            <w:r>
              <w:rPr>
                <w:sz w:val="16"/>
              </w:rPr>
              <w:t>-3.1e-14</w:t>
            </w:r>
          </w:p>
        </w:tc>
      </w:tr>
      <w:tr>
        <w:tc>
          <w:tcPr>
            <w:tcW w:type="dxa" w:w="2880"/>
          </w:tcPr>
          <w:p>
            <w:pPr>
              <w:spacing w:line="240" w:lineRule="auto" w:after="20"/>
            </w:pPr>
            <w:r/>
            <w:r>
              <w:rPr>
                <w:sz w:val="16"/>
              </w:rPr>
              <w:t>Storage conversion (</w:t>
            </w:r>
            <w:r>
              <w:rPr>
                <w:i/>
                <w:sz w:val="16"/>
              </w:rPr>
              <w:t>σ</w:t>
            </w:r>
            <w:r>
              <w:rPr>
                <w:sz w:val="16"/>
              </w:rPr>
              <w:t xml:space="preserve"> = 2 °C, Δ = 6 °C)</w:t>
            </w:r>
          </w:p>
        </w:tc>
        <w:tc>
          <w:tcPr>
            <w:tcW w:type="dxa" w:w="1440"/>
          </w:tcPr>
          <w:p>
            <w:pPr>
              <w:spacing w:line="240" w:lineRule="auto" w:after="20"/>
            </w:pPr>
            <w:r/>
            <w:r>
              <w:rPr>
                <w:sz w:val="16"/>
              </w:rPr>
              <w:t>step 0.025 min</w:t>
            </w:r>
          </w:p>
        </w:tc>
        <w:tc>
          <w:tcPr>
            <w:tcW w:type="dxa" w:w="1440"/>
          </w:tcPr>
          <w:p>
            <w:pPr>
              <w:spacing w:line="240" w:lineRule="auto" w:after="20"/>
            </w:pPr>
            <w:r/>
            <w:r>
              <w:rPr>
                <w:sz w:val="16"/>
              </w:rPr>
              <w:t>0.000140</w:t>
            </w:r>
          </w:p>
        </w:tc>
        <w:tc>
          <w:tcPr>
            <w:tcW w:type="dxa" w:w="2016"/>
          </w:tcPr>
          <w:p>
            <w:pPr>
              <w:spacing w:line="240" w:lineRule="auto" w:after="20"/>
            </w:pPr>
            <w:r/>
            <w:r>
              <w:rPr>
                <w:sz w:val="16"/>
              </w:rPr>
              <w:t>0.000140 (step 0.0125)</w:t>
            </w:r>
          </w:p>
        </w:tc>
        <w:tc>
          <w:tcPr>
            <w:tcW w:type="dxa" w:w="1584"/>
          </w:tcPr>
          <w:p>
            <w:pPr>
              <w:spacing w:line="240" w:lineRule="auto" w:after="20"/>
            </w:pPr>
            <w:r/>
            <w:r>
              <w:rPr>
                <w:sz w:val="16"/>
              </w:rPr>
              <w:t>-3.7e-14</w:t>
            </w:r>
          </w:p>
        </w:tc>
      </w:tr>
      <w:tr>
        <w:tc>
          <w:tcPr>
            <w:tcW w:type="dxa" w:w="2880"/>
          </w:tcPr>
          <w:p>
            <w:pPr>
              <w:spacing w:line="240" w:lineRule="auto" w:after="20"/>
            </w:pPr>
            <w:r/>
            <w:r>
              <w:rPr>
                <w:sz w:val="16"/>
              </w:rPr>
              <w:t>Storage conversion (</w:t>
            </w:r>
            <w:r>
              <w:rPr>
                <w:i/>
                <w:sz w:val="16"/>
              </w:rPr>
              <w:t>σ</w:t>
            </w:r>
            <w:r>
              <w:rPr>
                <w:sz w:val="16"/>
              </w:rPr>
              <w:t xml:space="preserve"> = 2 °C, Δ = 6 °C)</w:t>
            </w:r>
          </w:p>
        </w:tc>
        <w:tc>
          <w:tcPr>
            <w:tcW w:type="dxa" w:w="1440"/>
          </w:tcPr>
          <w:p>
            <w:pPr>
              <w:spacing w:line="240" w:lineRule="auto" w:after="20"/>
            </w:pPr>
            <w:r/>
            <w:r>
              <w:rPr>
                <w:sz w:val="16"/>
              </w:rPr>
              <w:t>step 0.0125 min</w:t>
            </w:r>
          </w:p>
        </w:tc>
        <w:tc>
          <w:tcPr>
            <w:tcW w:type="dxa" w:w="1440"/>
          </w:tcPr>
          <w:p>
            <w:pPr>
              <w:spacing w:line="240" w:lineRule="auto" w:after="20"/>
            </w:pPr>
            <w:r/>
            <w:r>
              <w:rPr>
                <w:sz w:val="16"/>
              </w:rPr>
              <w:t>0.000140</w:t>
            </w:r>
          </w:p>
        </w:tc>
        <w:tc>
          <w:tcPr>
            <w:tcW w:type="dxa" w:w="2016"/>
          </w:tcPr>
          <w:p>
            <w:pPr>
              <w:spacing w:line="240" w:lineRule="auto" w:after="20"/>
            </w:pPr>
            <w:r/>
            <w:r>
              <w:rPr>
                <w:sz w:val="16"/>
              </w:rPr>
              <w:t>0.000140 (step 0.0125)</w:t>
            </w:r>
          </w:p>
        </w:tc>
        <w:tc>
          <w:tcPr>
            <w:tcW w:type="dxa" w:w="1584"/>
          </w:tcPr>
          <w:p>
            <w:pPr>
              <w:spacing w:line="240" w:lineRule="auto" w:after="20"/>
            </w:pPr>
            <w:r/>
            <w:r>
              <w:rPr>
                <w:sz w:val="16"/>
              </w:rPr>
              <w:t>+0.0e+00</w:t>
            </w:r>
          </w:p>
        </w:tc>
      </w:tr>
      <w:tr>
        <w:tc>
          <w:tcPr>
            <w:tcW w:type="dxa" w:w="2880"/>
          </w:tcPr>
          <w:p>
            <w:pPr>
              <w:spacing w:line="240" w:lineRule="auto" w:after="20"/>
            </w:pPr>
            <w:r/>
            <w:r>
              <w:rPr>
                <w:sz w:val="16"/>
              </w:rPr>
              <w:t>Storage conversion (</w:t>
            </w:r>
            <w:r>
              <w:rPr>
                <w:i/>
                <w:sz w:val="16"/>
              </w:rPr>
              <w:t>σ</w:t>
            </w:r>
            <w:r>
              <w:rPr>
                <w:sz w:val="16"/>
              </w:rPr>
              <w:t xml:space="preserve"> = 4 °C, Δ = 6 °C)</w:t>
            </w:r>
          </w:p>
        </w:tc>
        <w:tc>
          <w:tcPr>
            <w:tcW w:type="dxa" w:w="1440"/>
          </w:tcPr>
          <w:p>
            <w:pPr>
              <w:spacing w:line="240" w:lineRule="auto" w:after="20"/>
            </w:pPr>
            <w:r/>
            <w:r>
              <w:rPr>
                <w:i/>
                <w:sz w:val="16"/>
              </w:rPr>
              <w:t>K</w:t>
            </w:r>
            <w:r>
              <w:rPr>
                <w:sz w:val="16"/>
              </w:rPr>
              <w:t xml:space="preserve"> = 101</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w:t>
            </w:r>
            <w:r>
              <w:rPr>
                <w:i/>
                <w:sz w:val="16"/>
              </w:rPr>
              <w:t>K</w:t>
            </w:r>
            <w:r>
              <w:rPr>
                <w:sz w:val="16"/>
              </w:rPr>
              <w:t xml:space="preserve"> = 6401)</w:t>
            </w:r>
          </w:p>
        </w:tc>
        <w:tc>
          <w:tcPr>
            <w:tcW w:type="dxa" w:w="1584"/>
          </w:tcPr>
          <w:p>
            <w:pPr>
              <w:spacing w:line="240" w:lineRule="auto" w:after="20"/>
            </w:pPr>
            <w:r/>
            <w:r>
              <w:rPr>
                <w:sz w:val="16"/>
              </w:rPr>
              <w:t>+1.0e-06</w:t>
            </w:r>
          </w:p>
        </w:tc>
      </w:tr>
      <w:tr>
        <w:tc>
          <w:tcPr>
            <w:tcW w:type="dxa" w:w="2880"/>
          </w:tcPr>
          <w:p>
            <w:pPr>
              <w:spacing w:line="240" w:lineRule="auto" w:after="20"/>
            </w:pPr>
            <w:r/>
            <w:r>
              <w:rPr>
                <w:sz w:val="16"/>
              </w:rPr>
              <w:t>Storage conversion (</w:t>
            </w:r>
            <w:r>
              <w:rPr>
                <w:i/>
                <w:sz w:val="16"/>
              </w:rPr>
              <w:t>σ</w:t>
            </w:r>
            <w:r>
              <w:rPr>
                <w:sz w:val="16"/>
              </w:rPr>
              <w:t xml:space="preserve"> = 4 °C, Δ = 6 °C)</w:t>
            </w:r>
          </w:p>
        </w:tc>
        <w:tc>
          <w:tcPr>
            <w:tcW w:type="dxa" w:w="1440"/>
          </w:tcPr>
          <w:p>
            <w:pPr>
              <w:spacing w:line="240" w:lineRule="auto" w:after="20"/>
            </w:pPr>
            <w:r/>
            <w:r>
              <w:rPr>
                <w:i/>
                <w:sz w:val="16"/>
              </w:rPr>
              <w:t>K</w:t>
            </w:r>
            <w:r>
              <w:rPr>
                <w:sz w:val="16"/>
              </w:rPr>
              <w:t xml:space="preserve"> = 201</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w:t>
            </w:r>
            <w:r>
              <w:rPr>
                <w:i/>
                <w:sz w:val="16"/>
              </w:rPr>
              <w:t>K</w:t>
            </w:r>
            <w:r>
              <w:rPr>
                <w:sz w:val="16"/>
              </w:rPr>
              <w:t xml:space="preserve"> = 6401)</w:t>
            </w:r>
          </w:p>
        </w:tc>
        <w:tc>
          <w:tcPr>
            <w:tcW w:type="dxa" w:w="1584"/>
          </w:tcPr>
          <w:p>
            <w:pPr>
              <w:spacing w:line="240" w:lineRule="auto" w:after="20"/>
            </w:pPr>
            <w:r/>
            <w:r>
              <w:rPr>
                <w:sz w:val="16"/>
              </w:rPr>
              <w:t>+7.4e-08</w:t>
            </w:r>
          </w:p>
        </w:tc>
      </w:tr>
      <w:tr>
        <w:tc>
          <w:tcPr>
            <w:tcW w:type="dxa" w:w="2880"/>
          </w:tcPr>
          <w:p>
            <w:pPr>
              <w:spacing w:line="240" w:lineRule="auto" w:after="20"/>
            </w:pPr>
            <w:r/>
            <w:r>
              <w:rPr>
                <w:sz w:val="16"/>
              </w:rPr>
              <w:t>Storage conversion (</w:t>
            </w:r>
            <w:r>
              <w:rPr>
                <w:i/>
                <w:sz w:val="16"/>
              </w:rPr>
              <w:t>σ</w:t>
            </w:r>
            <w:r>
              <w:rPr>
                <w:sz w:val="16"/>
              </w:rPr>
              <w:t xml:space="preserve"> = 4 °C, Δ = 6 °C)</w:t>
            </w:r>
          </w:p>
        </w:tc>
        <w:tc>
          <w:tcPr>
            <w:tcW w:type="dxa" w:w="1440"/>
          </w:tcPr>
          <w:p>
            <w:pPr>
              <w:spacing w:line="240" w:lineRule="auto" w:after="20"/>
            </w:pPr>
            <w:r/>
            <w:r>
              <w:rPr>
                <w:i/>
                <w:sz w:val="16"/>
              </w:rPr>
              <w:t>K</w:t>
            </w:r>
            <w:r>
              <w:rPr>
                <w:sz w:val="16"/>
              </w:rPr>
              <w:t xml:space="preserve"> = 401</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w:t>
            </w:r>
            <w:r>
              <w:rPr>
                <w:i/>
                <w:sz w:val="16"/>
              </w:rPr>
              <w:t>K</w:t>
            </w:r>
            <w:r>
              <w:rPr>
                <w:sz w:val="16"/>
              </w:rPr>
              <w:t xml:space="preserve"> = 6401)</w:t>
            </w:r>
          </w:p>
        </w:tc>
        <w:tc>
          <w:tcPr>
            <w:tcW w:type="dxa" w:w="1584"/>
          </w:tcPr>
          <w:p>
            <w:pPr>
              <w:spacing w:line="240" w:lineRule="auto" w:after="20"/>
            </w:pPr>
            <w:r/>
            <w:r>
              <w:rPr>
                <w:sz w:val="16"/>
              </w:rPr>
              <w:t>+5.3e-09</w:t>
            </w:r>
          </w:p>
        </w:tc>
      </w:tr>
      <w:tr>
        <w:tc>
          <w:tcPr>
            <w:tcW w:type="dxa" w:w="2880"/>
          </w:tcPr>
          <w:p>
            <w:pPr>
              <w:spacing w:line="240" w:lineRule="auto" w:after="20"/>
            </w:pPr>
            <w:r/>
            <w:r>
              <w:rPr>
                <w:sz w:val="16"/>
              </w:rPr>
              <w:t>Storage conversion (</w:t>
            </w:r>
            <w:r>
              <w:rPr>
                <w:i/>
                <w:sz w:val="16"/>
              </w:rPr>
              <w:t>σ</w:t>
            </w:r>
            <w:r>
              <w:rPr>
                <w:sz w:val="16"/>
              </w:rPr>
              <w:t xml:space="preserve"> = 4 °C, Δ = 6 °C)</w:t>
            </w:r>
          </w:p>
        </w:tc>
        <w:tc>
          <w:tcPr>
            <w:tcW w:type="dxa" w:w="1440"/>
          </w:tcPr>
          <w:p>
            <w:pPr>
              <w:spacing w:line="240" w:lineRule="auto" w:after="20"/>
            </w:pPr>
            <w:r/>
            <w:r>
              <w:rPr>
                <w:i/>
                <w:sz w:val="16"/>
              </w:rPr>
              <w:t>K</w:t>
            </w:r>
            <w:r>
              <w:rPr>
                <w:sz w:val="16"/>
              </w:rPr>
              <w:t xml:space="preserve"> = 801</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w:t>
            </w:r>
            <w:r>
              <w:rPr>
                <w:i/>
                <w:sz w:val="16"/>
              </w:rPr>
              <w:t>K</w:t>
            </w:r>
            <w:r>
              <w:rPr>
                <w:sz w:val="16"/>
              </w:rPr>
              <w:t xml:space="preserve"> = 6401)</w:t>
            </w:r>
          </w:p>
        </w:tc>
        <w:tc>
          <w:tcPr>
            <w:tcW w:type="dxa" w:w="1584"/>
          </w:tcPr>
          <w:p>
            <w:pPr>
              <w:spacing w:line="240" w:lineRule="auto" w:after="20"/>
            </w:pPr>
            <w:r/>
            <w:r>
              <w:rPr>
                <w:sz w:val="16"/>
              </w:rPr>
              <w:t>+3.7e-10</w:t>
            </w:r>
          </w:p>
        </w:tc>
      </w:tr>
      <w:tr>
        <w:tc>
          <w:tcPr>
            <w:tcW w:type="dxa" w:w="2880"/>
          </w:tcPr>
          <w:p>
            <w:pPr>
              <w:spacing w:line="240" w:lineRule="auto" w:after="20"/>
            </w:pPr>
            <w:r/>
            <w:r>
              <w:rPr>
                <w:sz w:val="16"/>
              </w:rPr>
              <w:t>Storage conversion (</w:t>
            </w:r>
            <w:r>
              <w:rPr>
                <w:i/>
                <w:sz w:val="16"/>
              </w:rPr>
              <w:t>σ</w:t>
            </w:r>
            <w:r>
              <w:rPr>
                <w:sz w:val="16"/>
              </w:rPr>
              <w:t xml:space="preserve"> = 4 °C, Δ = 6 °C)</w:t>
            </w:r>
          </w:p>
        </w:tc>
        <w:tc>
          <w:tcPr>
            <w:tcW w:type="dxa" w:w="1440"/>
          </w:tcPr>
          <w:p>
            <w:pPr>
              <w:spacing w:line="240" w:lineRule="auto" w:after="20"/>
            </w:pPr>
            <w:r/>
            <w:r>
              <w:rPr>
                <w:i/>
                <w:sz w:val="16"/>
              </w:rPr>
              <w:t>K</w:t>
            </w:r>
            <w:r>
              <w:rPr>
                <w:sz w:val="16"/>
              </w:rPr>
              <w:t xml:space="preserve"> = 1601</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w:t>
            </w:r>
            <w:r>
              <w:rPr>
                <w:i/>
                <w:sz w:val="16"/>
              </w:rPr>
              <w:t>K</w:t>
            </w:r>
            <w:r>
              <w:rPr>
                <w:sz w:val="16"/>
              </w:rPr>
              <w:t xml:space="preserve"> = 6401)</w:t>
            </w:r>
          </w:p>
        </w:tc>
        <w:tc>
          <w:tcPr>
            <w:tcW w:type="dxa" w:w="1584"/>
          </w:tcPr>
          <w:p>
            <w:pPr>
              <w:spacing w:line="240" w:lineRule="auto" w:after="20"/>
            </w:pPr>
            <w:r/>
            <w:r>
              <w:rPr>
                <w:sz w:val="16"/>
              </w:rPr>
              <w:t>+2.4e-11</w:t>
            </w:r>
          </w:p>
        </w:tc>
      </w:tr>
      <w:tr>
        <w:tc>
          <w:tcPr>
            <w:tcW w:type="dxa" w:w="2880"/>
          </w:tcPr>
          <w:p>
            <w:pPr>
              <w:spacing w:line="240" w:lineRule="auto" w:after="20"/>
            </w:pPr>
            <w:r/>
            <w:r>
              <w:rPr>
                <w:sz w:val="16"/>
              </w:rPr>
              <w:t>Storage conversion (</w:t>
            </w:r>
            <w:r>
              <w:rPr>
                <w:i/>
                <w:sz w:val="16"/>
              </w:rPr>
              <w:t>σ</w:t>
            </w:r>
            <w:r>
              <w:rPr>
                <w:sz w:val="16"/>
              </w:rPr>
              <w:t xml:space="preserve"> = 4 °C, Δ = 6 °C)</w:t>
            </w:r>
          </w:p>
        </w:tc>
        <w:tc>
          <w:tcPr>
            <w:tcW w:type="dxa" w:w="1440"/>
          </w:tcPr>
          <w:p>
            <w:pPr>
              <w:spacing w:line="240" w:lineRule="auto" w:after="20"/>
            </w:pPr>
            <w:r/>
            <w:r>
              <w:rPr>
                <w:i/>
                <w:sz w:val="16"/>
              </w:rPr>
              <w:t>K</w:t>
            </w:r>
            <w:r>
              <w:rPr>
                <w:sz w:val="16"/>
              </w:rPr>
              <w:t xml:space="preserve"> = 3201</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w:t>
            </w:r>
            <w:r>
              <w:rPr>
                <w:i/>
                <w:sz w:val="16"/>
              </w:rPr>
              <w:t>K</w:t>
            </w:r>
            <w:r>
              <w:rPr>
                <w:sz w:val="16"/>
              </w:rPr>
              <w:t xml:space="preserve"> = 6401)</w:t>
            </w:r>
          </w:p>
        </w:tc>
        <w:tc>
          <w:tcPr>
            <w:tcW w:type="dxa" w:w="1584"/>
          </w:tcPr>
          <w:p>
            <w:pPr>
              <w:spacing w:line="240" w:lineRule="auto" w:after="20"/>
            </w:pPr>
            <w:r/>
            <w:r>
              <w:rPr>
                <w:sz w:val="16"/>
              </w:rPr>
              <w:t>+1.1e-12</w:t>
            </w:r>
          </w:p>
        </w:tc>
      </w:tr>
      <w:tr>
        <w:tc>
          <w:tcPr>
            <w:tcW w:type="dxa" w:w="2880"/>
          </w:tcPr>
          <w:p>
            <w:pPr>
              <w:spacing w:line="240" w:lineRule="auto" w:after="20"/>
            </w:pPr>
            <w:r/>
            <w:r>
              <w:rPr>
                <w:sz w:val="16"/>
              </w:rPr>
              <w:t>Storage conversion (</w:t>
            </w:r>
            <w:r>
              <w:rPr>
                <w:i/>
                <w:sz w:val="16"/>
              </w:rPr>
              <w:t>σ</w:t>
            </w:r>
            <w:r>
              <w:rPr>
                <w:sz w:val="16"/>
              </w:rPr>
              <w:t xml:space="preserve"> = 4 °C, Δ = 6 °C)</w:t>
            </w:r>
          </w:p>
        </w:tc>
        <w:tc>
          <w:tcPr>
            <w:tcW w:type="dxa" w:w="1440"/>
          </w:tcPr>
          <w:p>
            <w:pPr>
              <w:spacing w:line="240" w:lineRule="auto" w:after="20"/>
            </w:pPr>
            <w:r/>
            <w:r>
              <w:rPr>
                <w:sz w:val="16"/>
              </w:rPr>
              <w:t>step 0.2 min</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(step 0.0125)</w:t>
            </w:r>
          </w:p>
        </w:tc>
        <w:tc>
          <w:tcPr>
            <w:tcW w:type="dxa" w:w="1584"/>
          </w:tcPr>
          <w:p>
            <w:pPr>
              <w:spacing w:line="240" w:lineRule="auto" w:after="20"/>
            </w:pPr>
            <w:r/>
            <w:r>
              <w:rPr>
                <w:sz w:val="16"/>
              </w:rPr>
              <w:t>-8.2e-13</w:t>
            </w:r>
          </w:p>
        </w:tc>
      </w:tr>
      <w:tr>
        <w:tc>
          <w:tcPr>
            <w:tcW w:type="dxa" w:w="2880"/>
          </w:tcPr>
          <w:p>
            <w:pPr>
              <w:spacing w:line="240" w:lineRule="auto" w:after="20"/>
            </w:pPr>
            <w:r/>
            <w:r>
              <w:rPr>
                <w:sz w:val="16"/>
              </w:rPr>
              <w:t>Storage conversion (</w:t>
            </w:r>
            <w:r>
              <w:rPr>
                <w:i/>
                <w:sz w:val="16"/>
              </w:rPr>
              <w:t>σ</w:t>
            </w:r>
            <w:r>
              <w:rPr>
                <w:sz w:val="16"/>
              </w:rPr>
              <w:t xml:space="preserve"> = 4 °C, Δ = 6 °C)</w:t>
            </w:r>
          </w:p>
        </w:tc>
        <w:tc>
          <w:tcPr>
            <w:tcW w:type="dxa" w:w="1440"/>
          </w:tcPr>
          <w:p>
            <w:pPr>
              <w:spacing w:line="240" w:lineRule="auto" w:after="20"/>
            </w:pPr>
            <w:r/>
            <w:r>
              <w:rPr>
                <w:sz w:val="16"/>
              </w:rPr>
              <w:t>step 0.1 min</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(step 0.0125)</w:t>
            </w:r>
          </w:p>
        </w:tc>
        <w:tc>
          <w:tcPr>
            <w:tcW w:type="dxa" w:w="1584"/>
          </w:tcPr>
          <w:p>
            <w:pPr>
              <w:spacing w:line="240" w:lineRule="auto" w:after="20"/>
            </w:pPr>
            <w:r/>
            <w:r>
              <w:rPr>
                <w:sz w:val="16"/>
              </w:rPr>
              <w:t>-4.9e-14</w:t>
            </w:r>
          </w:p>
        </w:tc>
      </w:tr>
      <w:tr>
        <w:tc>
          <w:tcPr>
            <w:tcW w:type="dxa" w:w="2880"/>
          </w:tcPr>
          <w:p>
            <w:pPr>
              <w:spacing w:line="240" w:lineRule="auto" w:after="20"/>
            </w:pPr>
            <w:r/>
            <w:r>
              <w:rPr>
                <w:sz w:val="16"/>
              </w:rPr>
              <w:t>Storage conversion (</w:t>
            </w:r>
            <w:r>
              <w:rPr>
                <w:i/>
                <w:sz w:val="16"/>
              </w:rPr>
              <w:t>σ</w:t>
            </w:r>
            <w:r>
              <w:rPr>
                <w:sz w:val="16"/>
              </w:rPr>
              <w:t xml:space="preserve"> = 4 °C, Δ = 6 °C)</w:t>
            </w:r>
          </w:p>
        </w:tc>
        <w:tc>
          <w:tcPr>
            <w:tcW w:type="dxa" w:w="1440"/>
          </w:tcPr>
          <w:p>
            <w:pPr>
              <w:spacing w:line="240" w:lineRule="auto" w:after="20"/>
            </w:pPr>
            <w:r/>
            <w:r>
              <w:rPr>
                <w:sz w:val="16"/>
              </w:rPr>
              <w:t>step 0.05 min</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(step 0.0125)</w:t>
            </w:r>
          </w:p>
        </w:tc>
        <w:tc>
          <w:tcPr>
            <w:tcW w:type="dxa" w:w="1584"/>
          </w:tcPr>
          <w:p>
            <w:pPr>
              <w:spacing w:line="240" w:lineRule="auto" w:after="20"/>
            </w:pPr>
            <w:r/>
            <w:r>
              <w:rPr>
                <w:sz w:val="16"/>
              </w:rPr>
              <w:t>-2.2e-16</w:t>
            </w:r>
          </w:p>
        </w:tc>
      </w:tr>
      <w:tr>
        <w:tc>
          <w:tcPr>
            <w:tcW w:type="dxa" w:w="2880"/>
          </w:tcPr>
          <w:p>
            <w:pPr>
              <w:spacing w:line="240" w:lineRule="auto" w:after="20"/>
            </w:pPr>
            <w:r/>
            <w:r>
              <w:rPr>
                <w:sz w:val="16"/>
              </w:rPr>
              <w:t>Storage conversion (</w:t>
            </w:r>
            <w:r>
              <w:rPr>
                <w:i/>
                <w:sz w:val="16"/>
              </w:rPr>
              <w:t>σ</w:t>
            </w:r>
            <w:r>
              <w:rPr>
                <w:sz w:val="16"/>
              </w:rPr>
              <w:t xml:space="preserve"> = 4 °C, Δ = 6 °C)</w:t>
            </w:r>
          </w:p>
        </w:tc>
        <w:tc>
          <w:tcPr>
            <w:tcW w:type="dxa" w:w="1440"/>
          </w:tcPr>
          <w:p>
            <w:pPr>
              <w:spacing w:line="240" w:lineRule="auto" w:after="20"/>
            </w:pPr>
            <w:r/>
            <w:r>
              <w:rPr>
                <w:sz w:val="16"/>
              </w:rPr>
              <w:t>step 0.025 min</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(step 0.0125)</w:t>
            </w:r>
          </w:p>
        </w:tc>
        <w:tc>
          <w:tcPr>
            <w:tcW w:type="dxa" w:w="1584"/>
          </w:tcPr>
          <w:p>
            <w:pPr>
              <w:spacing w:line="240" w:lineRule="auto" w:after="20"/>
            </w:pPr>
            <w:r/>
            <w:r>
              <w:rPr>
                <w:sz w:val="16"/>
              </w:rPr>
              <w:t>+4.4e-16</w:t>
            </w:r>
          </w:p>
        </w:tc>
      </w:tr>
      <w:tr>
        <w:tc>
          <w:tcPr>
            <w:tcW w:type="dxa" w:w="2880"/>
          </w:tcPr>
          <w:p>
            <w:pPr>
              <w:spacing w:line="240" w:lineRule="auto" w:after="20"/>
            </w:pPr>
            <w:r/>
            <w:r>
              <w:rPr>
                <w:sz w:val="16"/>
              </w:rPr>
              <w:t>Storage conversion (</w:t>
            </w:r>
            <w:r>
              <w:rPr>
                <w:i/>
                <w:sz w:val="16"/>
              </w:rPr>
              <w:t>σ</w:t>
            </w:r>
            <w:r>
              <w:rPr>
                <w:sz w:val="16"/>
              </w:rPr>
              <w:t xml:space="preserve"> = 4 °C, Δ = 6 °C)</w:t>
            </w:r>
          </w:p>
        </w:tc>
        <w:tc>
          <w:tcPr>
            <w:tcW w:type="dxa" w:w="1440"/>
          </w:tcPr>
          <w:p>
            <w:pPr>
              <w:spacing w:line="240" w:lineRule="auto" w:after="20"/>
            </w:pPr>
            <w:r/>
            <w:r>
              <w:rPr>
                <w:sz w:val="16"/>
              </w:rPr>
              <w:t>step 0.0125 min</w:t>
            </w:r>
          </w:p>
        </w:tc>
        <w:tc>
          <w:tcPr>
            <w:tcW w:type="dxa" w:w="1440"/>
          </w:tcPr>
          <w:p>
            <w:pPr>
              <w:spacing w:line="240" w:lineRule="auto" w:after="20"/>
            </w:pPr>
            <w:r/>
            <w:r>
              <w:rPr>
                <w:sz w:val="16"/>
              </w:rPr>
              <w:t>0.003681</w:t>
            </w:r>
          </w:p>
        </w:tc>
        <w:tc>
          <w:tcPr>
            <w:tcW w:type="dxa" w:w="2016"/>
          </w:tcPr>
          <w:p>
            <w:pPr>
              <w:spacing w:line="240" w:lineRule="auto" w:after="20"/>
            </w:pPr>
            <w:r/>
            <w:r>
              <w:rPr>
                <w:sz w:val="16"/>
              </w:rPr>
              <w:t>0.003681 (step 0.0125)</w:t>
            </w:r>
          </w:p>
        </w:tc>
        <w:tc>
          <w:tcPr>
            <w:tcW w:type="dxa" w:w="1584"/>
          </w:tcPr>
          <w:p>
            <w:pPr>
              <w:spacing w:line="240" w:lineRule="auto" w:after="20"/>
            </w:pPr>
            <w:r/>
            <w:r>
              <w:rPr>
                <w:sz w:val="16"/>
              </w:rPr>
              <w:t>+0.0e+00</w:t>
            </w:r>
          </w:p>
        </w:tc>
      </w:tr>
    </w:tbl>
    <w:p>
      <w:pPr>
        <w:spacing w:after="40"/>
      </w:pPr>
    </w:p>
    <w:p>
      <w:pPr>
        <w:keepNext/>
        <w:spacing w:line="276" w:lineRule="auto" w:after="200"/>
      </w:pPr>
      <w:r>
        <w:rPr>
          <w:b/>
          <w:sz w:val="19"/>
        </w:rPr>
        <w:t>Table 12</w:t>
      </w:r>
      <w:r>
        <w:rPr>
          <w:sz w:val="19"/>
        </w:rPr>
        <w:t xml:space="preserve"> Run table of the numerical studies; every result is reproduced by code/run_all.py.</w:t>
      </w:r>
    </w:p>
    <w:tbl>
      <w:tblPr>
        <w:tblStyle w:val="TableGrid"/>
        <w:tblW w:type="auto" w:w="0"/>
        <w:jc w:val="center"/>
        <w:tblLayout w:type="fixed"/>
        <w:tblLook w:firstColumn="1" w:firstRow="1" w:lastColumn="0" w:lastRow="0" w:noHBand="0" w:noVBand="1" w:val="04A0"/>
      </w:tblPr>
      <w:tblGrid>
        <w:gridCol w:w="2160"/>
        <w:gridCol w:w="3024"/>
        <w:gridCol w:w="2880"/>
        <w:gridCol w:w="2016"/>
      </w:tblGrid>
      <w:tr>
        <w:trPr>
          <w:tblHeader w:val="true"/>
        </w:trPr>
        <w:tc>
          <w:tcPr>
            <w:tcW w:type="dxa" w:w="2160"/>
          </w:tcPr>
          <w:p>
            <w:pPr>
              <w:spacing w:line="240" w:lineRule="auto" w:after="20"/>
            </w:pPr>
            <w:r/>
            <w:r>
              <w:rPr>
                <w:b/>
                <w:sz w:val="16"/>
              </w:rPr>
              <w:t>Study</w:t>
            </w:r>
          </w:p>
        </w:tc>
        <w:tc>
          <w:tcPr>
            <w:tcW w:type="dxa" w:w="3024"/>
          </w:tcPr>
          <w:p>
            <w:pPr>
              <w:spacing w:line="240" w:lineRule="auto" w:after="20"/>
            </w:pPr>
            <w:r/>
            <w:r>
              <w:rPr>
                <w:b/>
                <w:sz w:val="16"/>
              </w:rPr>
              <w:t>Method</w:t>
            </w:r>
          </w:p>
        </w:tc>
        <w:tc>
          <w:tcPr>
            <w:tcW w:type="dxa" w:w="2880"/>
          </w:tcPr>
          <w:p>
            <w:pPr>
              <w:spacing w:line="240" w:lineRule="auto" w:after="20"/>
            </w:pPr>
            <w:r/>
            <w:r>
              <w:rPr>
                <w:b/>
                <w:sz w:val="16"/>
              </w:rPr>
              <w:t>Grid</w:t>
            </w:r>
          </w:p>
        </w:tc>
        <w:tc>
          <w:tcPr>
            <w:tcW w:type="dxa" w:w="2016"/>
          </w:tcPr>
          <w:p>
            <w:pPr>
              <w:spacing w:line="240" w:lineRule="auto" w:after="20"/>
            </w:pPr>
            <w:r/>
            <w:r>
              <w:rPr>
                <w:b/>
                <w:sz w:val="16"/>
              </w:rPr>
              <w:t>Compared with</w:t>
            </w:r>
          </w:p>
        </w:tc>
      </w:tr>
      <w:tr>
        <w:tc>
          <w:tcPr>
            <w:tcW w:type="dxa" w:w="2160"/>
          </w:tcPr>
          <w:p>
            <w:pPr>
              <w:spacing w:line="240" w:lineRule="auto" w:after="20"/>
            </w:pPr>
            <w:r/>
            <w:r>
              <w:rPr>
                <w:sz w:val="16"/>
              </w:rPr>
              <w:t>Availability clock</w:t>
            </w:r>
          </w:p>
        </w:tc>
        <w:tc>
          <w:tcPr>
            <w:tcW w:type="dxa" w:w="3024"/>
          </w:tcPr>
          <w:p>
            <w:pPr>
              <w:spacing w:line="240" w:lineRule="auto" w:after="20"/>
            </w:pPr>
            <w:r/>
            <w:r>
              <w:rPr>
                <w:sz w:val="16"/>
              </w:rPr>
              <w:t>RK4 (step 0.01 min) and RK45 (rtol 10</w:t>
            </w:r>
            <w:r>
              <w:rPr>
                <w:sz w:val="16"/>
                <w:vertAlign w:val="superscript"/>
              </w:rPr>
              <w:t>−</w:t>
            </w:r>
            <w:r>
              <w:rPr>
                <w:sz w:val="16"/>
                <w:vertAlign w:val="superscript"/>
              </w:rPr>
              <w:t>1</w:t>
            </w:r>
            <w:r>
              <w:rPr>
                <w:sz w:val="16"/>
                <w:vertAlign w:val="superscript"/>
              </w:rPr>
              <w:t>2</w:t>
            </w:r>
            <w:r>
              <w:rPr>
                <w:sz w:val="16"/>
              </w:rPr>
              <w:t xml:space="preserve">), constant </w:t>
            </w:r>
            <w:r>
              <w:rPr>
                <w:i/>
                <w:sz w:val="16"/>
              </w:rPr>
              <w:t>T</w:t>
            </w:r>
          </w:p>
        </w:tc>
        <w:tc>
          <w:tcPr>
            <w:tcW w:type="dxa" w:w="2880"/>
          </w:tcPr>
          <w:p>
            <w:pPr>
              <w:spacing w:line="240" w:lineRule="auto" w:after="20"/>
            </w:pPr>
            <w:r/>
            <w:r>
              <w:rPr>
                <w:i/>
                <w:sz w:val="16"/>
              </w:rPr>
              <w:t>T</w:t>
            </w:r>
            <w:r>
              <w:rPr>
                <w:sz w:val="16"/>
              </w:rPr>
              <w:t xml:space="preserve"> = 125, 140, 155 °C; </w:t>
            </w:r>
            <w:r>
              <w:rPr>
                <w:i/>
                <w:sz w:val="16"/>
              </w:rPr>
              <w:t>α</w:t>
            </w:r>
            <w:r>
              <w:rPr>
                <w:sz w:val="16"/>
              </w:rPr>
              <w:t xml:space="preserve"> = 0.001–0.9</w:t>
            </w:r>
          </w:p>
        </w:tc>
        <w:tc>
          <w:tcPr>
            <w:tcW w:type="dxa" w:w="2016"/>
          </w:tcPr>
          <w:p>
            <w:pPr>
              <w:spacing w:line="240" w:lineRule="auto" w:after="20"/>
            </w:pPr>
            <w:r/>
            <w:r>
              <w:rPr>
                <w:sz w:val="16"/>
              </w:rPr>
              <w:t>Eqs. (5), (6)</w:t>
            </w:r>
          </w:p>
        </w:tc>
      </w:tr>
      <w:tr>
        <w:tc>
          <w:tcPr>
            <w:tcW w:type="dxa" w:w="2160"/>
          </w:tcPr>
          <w:p>
            <w:pPr>
              <w:spacing w:line="240" w:lineRule="auto" w:after="20"/>
            </w:pPr>
            <w:r/>
            <w:r>
              <w:rPr>
                <w:sz w:val="16"/>
              </w:rPr>
              <w:t>Isothermal cure</w:t>
            </w:r>
          </w:p>
        </w:tc>
        <w:tc>
          <w:tcPr>
            <w:tcW w:type="dxa" w:w="3024"/>
          </w:tcPr>
          <w:p>
            <w:pPr>
              <w:spacing w:line="240" w:lineRule="auto" w:after="20"/>
            </w:pPr>
            <w:r/>
            <w:r>
              <w:rPr>
                <w:sz w:val="16"/>
              </w:rPr>
              <w:t>RK4, step 0.01 min</w:t>
            </w:r>
          </w:p>
        </w:tc>
        <w:tc>
          <w:tcPr>
            <w:tcW w:type="dxa" w:w="2880"/>
          </w:tcPr>
          <w:p>
            <w:pPr>
              <w:spacing w:line="240" w:lineRule="auto" w:after="20"/>
            </w:pPr>
            <w:r/>
            <w:r>
              <w:rPr>
                <w:i/>
                <w:sz w:val="16"/>
              </w:rPr>
              <w:t>T</w:t>
            </w:r>
            <w:r>
              <w:rPr>
                <w:sz w:val="16"/>
              </w:rPr>
              <w:t xml:space="preserve"> = 110–155 °C; </w:t>
            </w:r>
            <w:r>
              <w:rPr>
                <w:i/>
                <w:sz w:val="16"/>
              </w:rPr>
              <w:t>n</w:t>
            </w:r>
            <w:r>
              <w:rPr>
                <w:sz w:val="16"/>
              </w:rPr>
              <w:t xml:space="preserve"> = 1, 3/2</w:t>
            </w:r>
          </w:p>
        </w:tc>
        <w:tc>
          <w:tcPr>
            <w:tcW w:type="dxa" w:w="2016"/>
          </w:tcPr>
          <w:p>
            <w:pPr>
              <w:spacing w:line="240" w:lineRule="auto" w:after="20"/>
            </w:pPr>
            <w:r/>
            <w:r>
              <w:rPr>
                <w:sz w:val="16"/>
              </w:rPr>
              <w:t>Quadrature; Eqs. (7), (8), (9)</w:t>
            </w:r>
          </w:p>
        </w:tc>
      </w:tr>
      <w:tr>
        <w:tc>
          <w:tcPr>
            <w:tcW w:type="dxa" w:w="2160"/>
          </w:tcPr>
          <w:p>
            <w:pPr>
              <w:spacing w:line="240" w:lineRule="auto" w:after="20"/>
            </w:pPr>
            <w:r/>
            <w:r>
              <w:rPr>
                <w:sz w:val="16"/>
              </w:rPr>
              <w:t>Storage conversion</w:t>
            </w:r>
          </w:p>
        </w:tc>
        <w:tc>
          <w:tcPr>
            <w:tcW w:type="dxa" w:w="3024"/>
          </w:tcPr>
          <w:p>
            <w:pPr>
              <w:spacing w:line="240" w:lineRule="auto" w:after="20"/>
            </w:pPr>
            <w:r/>
            <w:r>
              <w:rPr>
                <w:sz w:val="16"/>
              </w:rPr>
              <w:t>RK4 population (</w:t>
            </w:r>
            <w:r>
              <w:rPr>
                <w:i/>
                <w:sz w:val="16"/>
              </w:rPr>
              <w:t>K</w:t>
            </w:r>
            <w:r>
              <w:rPr>
                <w:sz w:val="16"/>
              </w:rPr>
              <w:t xml:space="preserve"> = 3201), step 0.05 min</w:t>
            </w:r>
          </w:p>
        </w:tc>
        <w:tc>
          <w:tcPr>
            <w:tcW w:type="dxa" w:w="2880"/>
          </w:tcPr>
          <w:p>
            <w:pPr>
              <w:spacing w:line="240" w:lineRule="auto" w:after="20"/>
            </w:pPr>
            <w:r/>
            <w:r>
              <w:rPr>
                <w:sz w:val="16"/>
              </w:rPr>
              <w:t xml:space="preserve">Δ = 3, 6, 10 °C; </w:t>
            </w:r>
            <w:r>
              <w:rPr>
                <w:i/>
                <w:sz w:val="16"/>
              </w:rPr>
              <w:t>σ</w:t>
            </w:r>
            <w:r>
              <w:rPr>
                <w:sz w:val="16"/>
              </w:rPr>
              <w:t xml:space="preserve"> = 2–10 °C; </w:t>
            </w:r>
            <w:r>
              <w:rPr>
                <w:i/>
                <w:sz w:val="16"/>
              </w:rPr>
              <w:t>t</w:t>
            </w:r>
            <w:r>
              <w:rPr>
                <w:sz w:val="16"/>
              </w:rPr>
              <w:t xml:space="preserve"> = 150 min</w:t>
            </w:r>
          </w:p>
        </w:tc>
        <w:tc>
          <w:tcPr>
            <w:tcW w:type="dxa" w:w="2016"/>
          </w:tcPr>
          <w:p>
            <w:pPr>
              <w:spacing w:line="240" w:lineRule="auto" w:after="20"/>
            </w:pPr>
            <w:r/>
            <w:r>
              <w:rPr>
                <w:sz w:val="16"/>
              </w:rPr>
              <w:t>Eq. (11)</w:t>
            </w:r>
          </w:p>
        </w:tc>
      </w:tr>
      <w:tr>
        <w:tc>
          <w:tcPr>
            <w:tcW w:type="dxa" w:w="2160"/>
          </w:tcPr>
          <w:p>
            <w:pPr>
              <w:spacing w:line="240" w:lineRule="auto" w:after="20"/>
            </w:pPr>
            <w:r/>
            <w:r>
              <w:rPr>
                <w:sz w:val="16"/>
              </w:rPr>
              <w:t>Design bound</w:t>
            </w:r>
          </w:p>
        </w:tc>
        <w:tc>
          <w:tcPr>
            <w:tcW w:type="dxa" w:w="3024"/>
          </w:tcPr>
          <w:p>
            <w:pPr>
              <w:spacing w:line="240" w:lineRule="auto" w:after="20"/>
            </w:pPr>
            <w:r/>
            <w:r>
              <w:rPr>
                <w:sz w:val="16"/>
              </w:rPr>
              <w:t>Root-finding on the population ODE</w:t>
            </w:r>
          </w:p>
        </w:tc>
        <w:tc>
          <w:tcPr>
            <w:tcW w:type="dxa" w:w="2880"/>
          </w:tcPr>
          <w:p>
            <w:pPr>
              <w:spacing w:line="240" w:lineRule="auto" w:after="20"/>
            </w:pPr>
            <w:r/>
            <w:r>
              <w:rPr>
                <w:sz w:val="16"/>
              </w:rPr>
              <w:t xml:space="preserve">Δ = 3, 6, 10 °C; </w:t>
            </w:r>
            <w:r>
              <w:rPr>
                <w:i/>
                <w:sz w:val="16"/>
              </w:rPr>
              <w:t>η</w:t>
            </w:r>
            <w:r>
              <w:rPr>
                <w:sz w:val="16"/>
              </w:rPr>
              <w:t xml:space="preserve"> = 0.001, 0.01, 0.05</w:t>
            </w:r>
          </w:p>
        </w:tc>
        <w:tc>
          <w:tcPr>
            <w:tcW w:type="dxa" w:w="2016"/>
          </w:tcPr>
          <w:p>
            <w:pPr>
              <w:spacing w:line="240" w:lineRule="auto" w:after="20"/>
            </w:pPr>
            <w:r/>
            <w:r>
              <w:rPr>
                <w:sz w:val="16"/>
              </w:rPr>
              <w:t>Eq. (12)</w:t>
            </w:r>
          </w:p>
        </w:tc>
      </w:tr>
      <w:tr>
        <w:tc>
          <w:tcPr>
            <w:tcW w:type="dxa" w:w="2160"/>
          </w:tcPr>
          <w:p>
            <w:pPr>
              <w:spacing w:line="240" w:lineRule="auto" w:after="20"/>
            </w:pPr>
            <w:r/>
            <w:r>
              <w:rPr>
                <w:sz w:val="16"/>
              </w:rPr>
              <w:t>Criticality (exponential model)</w:t>
            </w:r>
          </w:p>
        </w:tc>
        <w:tc>
          <w:tcPr>
            <w:tcW w:type="dxa" w:w="3024"/>
          </w:tcPr>
          <w:p>
            <w:pPr>
              <w:spacing w:line="240" w:lineRule="auto" w:after="20"/>
            </w:pPr>
            <w:r/>
            <w:r>
              <w:rPr>
                <w:sz w:val="16"/>
              </w:rPr>
              <w:t>LSODA, bisection</w:t>
            </w:r>
          </w:p>
        </w:tc>
        <w:tc>
          <w:tcPr>
            <w:tcW w:type="dxa" w:w="2880"/>
          </w:tcPr>
          <w:p>
            <w:pPr>
              <w:spacing w:line="240" w:lineRule="auto" w:after="20"/>
            </w:pPr>
            <w:r/>
            <w:r>
              <w:rPr>
                <w:i/>
                <w:sz w:val="16"/>
              </w:rPr>
              <w:t>n</w:t>
            </w:r>
            <w:r>
              <w:rPr>
                <w:sz w:val="16"/>
              </w:rPr>
              <w:t xml:space="preserve"> = 1, 3/2, 2; </w:t>
            </w:r>
            <w:r>
              <w:rPr>
                <w:i/>
                <w:sz w:val="16"/>
              </w:rPr>
              <w:t>Θ</w:t>
            </w:r>
            <w:r>
              <w:rPr>
                <w:sz w:val="16"/>
              </w:rPr>
              <w:t xml:space="preserve"> = 0.1–0.003</w:t>
            </w:r>
          </w:p>
        </w:tc>
        <w:tc>
          <w:tcPr>
            <w:tcW w:type="dxa" w:w="2016"/>
          </w:tcPr>
          <w:p>
            <w:pPr>
              <w:spacing w:line="240" w:lineRule="auto" w:after="20"/>
            </w:pPr>
            <w:r/>
            <w:r>
              <w:rPr>
                <w:sz w:val="16"/>
              </w:rPr>
              <w:t>Eq. (14)</w:t>
            </w:r>
          </w:p>
        </w:tc>
      </w:tr>
      <w:tr>
        <w:tc>
          <w:tcPr>
            <w:tcW w:type="dxa" w:w="2160"/>
          </w:tcPr>
          <w:p>
            <w:pPr>
              <w:spacing w:line="240" w:lineRule="auto" w:after="20"/>
            </w:pPr>
            <w:r/>
            <w:r>
              <w:rPr>
                <w:sz w:val="16"/>
              </w:rPr>
              <w:t>Criticality (Arrhenius)</w:t>
            </w:r>
          </w:p>
        </w:tc>
        <w:tc>
          <w:tcPr>
            <w:tcW w:type="dxa" w:w="3024"/>
          </w:tcPr>
          <w:p>
            <w:pPr>
              <w:spacing w:line="240" w:lineRule="auto" w:after="20"/>
            </w:pPr>
            <w:r/>
            <w:r>
              <w:rPr>
                <w:sz w:val="16"/>
              </w:rPr>
              <w:t>LSODA, bisection</w:t>
            </w:r>
          </w:p>
        </w:tc>
        <w:tc>
          <w:tcPr>
            <w:tcW w:type="dxa" w:w="2880"/>
          </w:tcPr>
          <w:p>
            <w:pPr>
              <w:spacing w:line="240" w:lineRule="auto" w:after="20"/>
            </w:pPr>
            <w:r/>
            <w:r>
              <w:rPr>
                <w:i/>
                <w:sz w:val="16"/>
              </w:rPr>
              <w:t>T</w:t>
            </w:r>
            <w:r>
              <w:rPr>
                <w:sz w:val="16"/>
              </w:rPr>
              <w:t xml:space="preserve"> = 120, 140, 160 °C; </w:t>
            </w:r>
            <w:r>
              <w:rPr>
                <w:i/>
                <w:sz w:val="16"/>
              </w:rPr>
              <w:t>Θ</w:t>
            </w:r>
            <w:r>
              <w:rPr>
                <w:sz w:val="16"/>
              </w:rPr>
              <w:t xml:space="preserve"> = 0.01–0.1</w:t>
            </w:r>
          </w:p>
        </w:tc>
        <w:tc>
          <w:tcPr>
            <w:tcW w:type="dxa" w:w="2016"/>
          </w:tcPr>
          <w:p>
            <w:pPr>
              <w:spacing w:line="240" w:lineRule="auto" w:after="20"/>
            </w:pPr>
            <w:r/>
            <w:r>
              <w:rPr>
                <w:sz w:val="16"/>
              </w:rPr>
              <w:t>Eq. (15)</w:t>
            </w:r>
          </w:p>
        </w:tc>
      </w:tr>
      <w:tr>
        <w:tc>
          <w:tcPr>
            <w:tcW w:type="dxa" w:w="2160"/>
          </w:tcPr>
          <w:p>
            <w:pPr>
              <w:spacing w:line="240" w:lineRule="auto" w:after="20"/>
            </w:pPr>
            <w:r/>
            <w:r>
              <w:rPr>
                <w:sz w:val="16"/>
              </w:rPr>
              <w:t>Flow reactor</w:t>
            </w:r>
          </w:p>
        </w:tc>
        <w:tc>
          <w:tcPr>
            <w:tcW w:type="dxa" w:w="3024"/>
          </w:tcPr>
          <w:p>
            <w:pPr>
              <w:spacing w:line="240" w:lineRule="auto" w:after="20"/>
            </w:pPr>
            <w:r/>
            <w:r>
              <w:rPr>
                <w:sz w:val="16"/>
              </w:rPr>
              <w:t>Jacobian; LSODA attractors and sweeps</w:t>
            </w:r>
          </w:p>
        </w:tc>
        <w:tc>
          <w:tcPr>
            <w:tcW w:type="dxa" w:w="2880"/>
          </w:tcPr>
          <w:p>
            <w:pPr>
              <w:spacing w:line="240" w:lineRule="auto" w:after="20"/>
            </w:pPr>
            <w:r/>
            <w:r>
              <w:rPr>
                <w:i/>
                <w:sz w:val="16"/>
              </w:rPr>
              <w:t>ψ</w:t>
            </w:r>
            <w:r>
              <w:rPr>
                <w:sz w:val="16"/>
              </w:rPr>
              <w:t xml:space="preserve"> = 3, 4.5, 6, 8, 12, 20; </w:t>
            </w:r>
            <w:r>
              <w:rPr>
                <w:i/>
                <w:sz w:val="16"/>
              </w:rPr>
              <w:t>v</w:t>
            </w:r>
            <w:r>
              <w:rPr>
                <w:sz w:val="16"/>
              </w:rPr>
              <w:t xml:space="preserve"> = 0.02–0.0002</w:t>
            </w:r>
          </w:p>
        </w:tc>
        <w:tc>
          <w:tcPr>
            <w:tcW w:type="dxa" w:w="2016"/>
          </w:tcPr>
          <w:p>
            <w:pPr>
              <w:spacing w:line="240" w:lineRule="auto" w:after="20"/>
            </w:pPr>
            <w:r/>
            <w:r>
              <w:rPr>
                <w:sz w:val="16"/>
              </w:rPr>
              <w:t>Eqs. (17), (18), attractor loop area</w:t>
            </w:r>
          </w:p>
        </w:tc>
      </w:tr>
      <w:tr>
        <w:tc>
          <w:tcPr>
            <w:tcW w:type="dxa" w:w="2160"/>
          </w:tcPr>
          <w:p>
            <w:pPr>
              <w:spacing w:line="240" w:lineRule="auto" w:after="20"/>
            </w:pPr>
            <w:r/>
            <w:r>
              <w:rPr>
                <w:sz w:val="16"/>
              </w:rPr>
              <w:t>Hopf-type point and noise</w:t>
            </w:r>
          </w:p>
        </w:tc>
        <w:tc>
          <w:tcPr>
            <w:tcW w:type="dxa" w:w="3024"/>
          </w:tcPr>
          <w:p>
            <w:pPr>
              <w:spacing w:line="240" w:lineRule="auto" w:after="20"/>
            </w:pPr>
            <w:r/>
            <w:r>
              <w:rPr>
                <w:sz w:val="16"/>
              </w:rPr>
              <w:t>Eigenvalues, basin radius, tolerance study</w:t>
            </w:r>
          </w:p>
        </w:tc>
        <w:tc>
          <w:tcPr>
            <w:tcW w:type="dxa" w:w="2880"/>
          </w:tcPr>
          <w:p>
            <w:pPr>
              <w:spacing w:line="240" w:lineRule="auto" w:after="20"/>
            </w:pPr>
            <w:r/>
            <w:r>
              <w:rPr>
                <w:i/>
                <w:sz w:val="16"/>
              </w:rPr>
              <w:t>ψ</w:t>
            </w:r>
            <w:r>
              <w:rPr>
                <w:sz w:val="16"/>
              </w:rPr>
              <w:t xml:space="preserve"> = 20; ln </w:t>
            </w:r>
            <w:r>
              <w:rPr>
                <w:i/>
                <w:sz w:val="16"/>
              </w:rPr>
              <w:t>D</w:t>
            </w:r>
            <w:r>
              <w:rPr>
                <w:sz w:val="16"/>
                <w:vertAlign w:val="subscript"/>
              </w:rPr>
              <w:t>H</w:t>
            </w:r>
            <w:r>
              <w:rPr>
                <w:sz w:val="16"/>
              </w:rPr>
              <w:t xml:space="preserve"> + 0.01 to + 0.95; rtol 10</w:t>
            </w:r>
            <w:r>
              <w:rPr>
                <w:sz w:val="16"/>
                <w:vertAlign w:val="superscript"/>
              </w:rPr>
              <w:t>−</w:t>
            </w:r>
            <w:r>
              <w:rPr>
                <w:sz w:val="16"/>
                <w:vertAlign w:val="superscript"/>
              </w:rPr>
              <w:t>6</w:t>
            </w:r>
            <w:r>
              <w:rPr>
                <w:sz w:val="16"/>
              </w:rPr>
              <w:t>–10</w:t>
            </w:r>
            <w:r>
              <w:rPr>
                <w:sz w:val="16"/>
                <w:vertAlign w:val="superscript"/>
              </w:rPr>
              <w:t>−</w:t>
            </w:r>
            <w:r>
              <w:rPr>
                <w:sz w:val="16"/>
                <w:vertAlign w:val="superscript"/>
              </w:rPr>
              <w:t>1</w:t>
            </w:r>
            <w:r>
              <w:rPr>
                <w:sz w:val="16"/>
                <w:vertAlign w:val="superscript"/>
              </w:rPr>
              <w:t>2</w:t>
            </w:r>
          </w:p>
        </w:tc>
        <w:tc>
          <w:tcPr>
            <w:tcW w:type="dxa" w:w="2016"/>
          </w:tcPr>
          <w:p>
            <w:pPr>
              <w:spacing w:line="240" w:lineRule="auto" w:after="20"/>
            </w:pPr>
            <w:r/>
            <w:r>
              <w:rPr>
                <w:sz w:val="16"/>
              </w:rPr>
              <w:t xml:space="preserve">Transversality, </w:t>
            </w:r>
            <w:r>
              <w:rPr>
                <w:i/>
                <w:sz w:val="16"/>
              </w:rPr>
              <w:t>ω</w:t>
            </w:r>
            <w:r>
              <w:rPr>
                <w:sz w:val="16"/>
              </w:rPr>
              <w:t>, attractor and fold-to-fold areas</w:t>
            </w:r>
          </w:p>
        </w:tc>
      </w:tr>
      <w:tr>
        <w:tc>
          <w:tcPr>
            <w:tcW w:type="dxa" w:w="2160"/>
          </w:tcPr>
          <w:p>
            <w:pPr>
              <w:spacing w:line="240" w:lineRule="auto" w:after="20"/>
            </w:pPr>
            <w:r/>
            <w:r>
              <w:rPr>
                <w:sz w:val="16"/>
              </w:rPr>
              <w:t>Arrhenius temperature path</w:t>
            </w:r>
          </w:p>
        </w:tc>
        <w:tc>
          <w:tcPr>
            <w:tcW w:type="dxa" w:w="3024"/>
          </w:tcPr>
          <w:p>
            <w:pPr>
              <w:spacing w:line="240" w:lineRule="auto" w:after="20"/>
            </w:pPr>
            <w:r/>
            <w:r>
              <w:rPr>
                <w:sz w:val="16"/>
              </w:rPr>
              <w:t>Exact steady states, Jacobian, LSODA ramps</w:t>
            </w:r>
          </w:p>
        </w:tc>
        <w:tc>
          <w:tcPr>
            <w:tcW w:type="dxa" w:w="2880"/>
          </w:tcPr>
          <w:p>
            <w:pPr>
              <w:spacing w:line="240" w:lineRule="auto" w:after="20"/>
            </w:pPr>
            <w:r/>
            <w:r>
              <w:rPr>
                <w:sz w:val="16"/>
              </w:rPr>
              <w:t>Δ</w:t>
            </w:r>
            <w:r>
              <w:rPr>
                <w:i/>
                <w:sz w:val="16"/>
              </w:rPr>
              <w:t>T</w:t>
            </w:r>
            <w:r>
              <w:rPr>
                <w:sz w:val="16"/>
                <w:vertAlign w:val="subscript"/>
              </w:rPr>
              <w:t>a</w:t>
            </w:r>
            <w:r>
              <w:rPr>
                <w:sz w:val="16"/>
                <w:vertAlign w:val="subscript"/>
              </w:rPr>
              <w:t>d</w:t>
            </w:r>
            <w:r>
              <w:rPr>
                <w:sz w:val="16"/>
              </w:rPr>
              <w:t xml:space="preserve"> = 120, 160, 220 K; ramps 2–0.02 K per </w:t>
            </w:r>
            <w:r>
              <w:rPr>
                <w:i/>
                <w:sz w:val="16"/>
              </w:rPr>
              <w:t>τ</w:t>
            </w:r>
            <w:r>
              <w:rPr>
                <w:sz w:val="16"/>
                <w:vertAlign w:val="subscript"/>
              </w:rPr>
              <w:t>r</w:t>
            </w:r>
            <w:r>
              <w:rPr>
                <w:sz w:val="16"/>
                <w:vertAlign w:val="subscript"/>
              </w:rPr>
              <w:t>e</w:t>
            </w:r>
            <w:r>
              <w:rPr>
                <w:sz w:val="16"/>
                <w:vertAlign w:val="subscript"/>
              </w:rPr>
              <w:t>s</w:t>
            </w:r>
          </w:p>
        </w:tc>
        <w:tc>
          <w:tcPr>
            <w:tcW w:type="dxa" w:w="2016"/>
          </w:tcPr>
          <w:p>
            <w:pPr>
              <w:spacing w:line="240" w:lineRule="auto" w:after="20"/>
            </w:pPr>
            <w:r/>
            <w:r>
              <w:rPr>
                <w:sz w:val="16"/>
              </w:rPr>
              <w:t>Table 9</w:t>
            </w:r>
          </w:p>
        </w:tc>
      </w:tr>
      <w:tr>
        <w:tc>
          <w:tcPr>
            <w:tcW w:type="dxa" w:w="2160"/>
          </w:tcPr>
          <w:p>
            <w:pPr>
              <w:spacing w:line="240" w:lineRule="auto" w:after="20"/>
            </w:pPr>
            <w:r/>
            <w:r>
              <w:rPr>
                <w:sz w:val="16"/>
              </w:rPr>
              <w:t>Parameter recovery</w:t>
            </w:r>
          </w:p>
        </w:tc>
        <w:tc>
          <w:tcPr>
            <w:tcW w:type="dxa" w:w="3024"/>
          </w:tcPr>
          <w:p>
            <w:pPr>
              <w:spacing w:line="240" w:lineRule="auto" w:after="20"/>
            </w:pPr>
            <w:r/>
            <w:r>
              <w:rPr>
                <w:sz w:val="16"/>
              </w:rPr>
              <w:t>Bounded least squares, 200 noise draws</w:t>
            </w:r>
          </w:p>
        </w:tc>
        <w:tc>
          <w:tcPr>
            <w:tcW w:type="dxa" w:w="2880"/>
          </w:tcPr>
          <w:p>
            <w:pPr>
              <w:spacing w:line="240" w:lineRule="auto" w:after="20"/>
            </w:pPr>
            <w:r/>
            <w:r>
              <w:rPr>
                <w:sz w:val="16"/>
              </w:rPr>
              <w:t>3 temperatures × 5 times</w:t>
            </w:r>
          </w:p>
        </w:tc>
        <w:tc>
          <w:tcPr>
            <w:tcW w:type="dxa" w:w="2016"/>
          </w:tcPr>
          <w:p>
            <w:pPr>
              <w:spacing w:line="240" w:lineRule="auto" w:after="20"/>
            </w:pPr>
            <w:r/>
            <w:r>
              <w:rPr>
                <w:sz w:val="16"/>
              </w:rPr>
              <w:t>Truth</w:t>
            </w:r>
          </w:p>
        </w:tc>
      </w:tr>
    </w:tbl>
    <w:p>
      <w:pPr>
        <w:spacing w:after="40"/>
      </w:pPr>
    </w:p>
    <w:p>
      <w:pPr>
        <w:pStyle w:val="Heading1"/>
      </w:pPr>
      <w:r>
        <w:rPr>
          <w:rFonts w:ascii="Times New Roman" w:hAnsi="Times New Roman"/>
        </w:rPr>
        <w:t>References</w:t>
      </w:r>
    </w:p>
    <w:p>
      <w:pPr>
        <w:spacing w:after="60"/>
      </w:pPr>
      <w:r>
        <w:rPr>
          <w:sz w:val="20"/>
        </w:rPr>
        <w:t>1. White SR, Sottos NR, Geubelle PH, Moore JS, Kessler MR, Sriram SR, et al (2001) Autonomic healing of polymer composites. Nature 409:794-797. https://doi.org/10.1038/35057232</w:t>
      </w:r>
    </w:p>
    <w:p>
      <w:pPr>
        <w:spacing w:after="60"/>
      </w:pPr>
      <w:r>
        <w:rPr>
          <w:sz w:val="20"/>
        </w:rPr>
        <w:t>2. Jamekhorshid A, Sadrameli SM, Farid M (2014) A review of microencapsulation methods of phase change materials (PCMs) as a thermal energy storage (TES) medium. Renewable and Sustainable Energy Reviews 31:531-542. https://doi.org/10.1016/j.rser.2013.12.033</w:t>
      </w:r>
    </w:p>
    <w:p>
      <w:pPr>
        <w:spacing w:after="60"/>
      </w:pPr>
      <w:r>
        <w:rPr>
          <w:sz w:val="20"/>
        </w:rPr>
        <w:t>3. Siepmann J, Siepmann F (2012) Modeling of diffusion controlled drug delivery. Journal of Controlled Release 161:351-362. https://doi.org/10.1016/j.jconrel.2011.10.006</w:t>
      </w:r>
    </w:p>
    <w:p>
      <w:pPr>
        <w:spacing w:after="60"/>
      </w:pPr>
      <w:r>
        <w:rPr>
          <w:sz w:val="20"/>
        </w:rPr>
        <w:t>4. Kamal MR, Sourour S (1973) Kinetics and thermal characterization of thermoset cure. Polymer Engineering &amp; Sci 13:59-64. https://doi.org/10.1002/pen.760130110</w:t>
      </w:r>
    </w:p>
    <w:p>
      <w:pPr>
        <w:spacing w:after="60"/>
      </w:pPr>
      <w:r>
        <w:rPr>
          <w:sz w:val="20"/>
        </w:rPr>
        <w:t>5. Sourour S, Kamal MR (1976) Differential scanning calorimetry of epoxy cure: isothermal cure kinetics. Thermochimica Acta 14:41-59. https://doi.org/10.1016/0040-6031(76)80056-1</w:t>
      </w:r>
    </w:p>
    <w:p>
      <w:pPr>
        <w:spacing w:after="60"/>
      </w:pPr>
      <w:r>
        <w:rPr>
          <w:sz w:val="20"/>
        </w:rPr>
        <w:t>6. Bogetti TA, Gillespie JW (1992) Process-Induced Stress and Deformation in Thick-Section Thermoset Composite Laminates. Journal of Composite Materials 26:626-660. https://doi.org/10.1177/002199839202600502</w:t>
      </w:r>
    </w:p>
    <w:p>
      <w:pPr>
        <w:spacing w:after="60"/>
      </w:pPr>
      <w:r>
        <w:rPr>
          <w:sz w:val="20"/>
        </w:rPr>
        <w:t>7. Semenoff N (1928) Zur Theorie des Verbrennungsprozesses. Z Physik 48:571-582. https://doi.org/10.1007/bf01340021</w:t>
      </w:r>
    </w:p>
    <w:p>
      <w:pPr>
        <w:spacing w:after="60"/>
      </w:pPr>
      <w:r>
        <w:rPr>
          <w:sz w:val="20"/>
        </w:rPr>
        <w:t>8. Frank-Kamenetskii DA (1969) Diffusion and heat transfer in chemical kinetics, 2nd edn. Plenum Press, New York</w:t>
      </w:r>
    </w:p>
    <w:p>
      <w:pPr>
        <w:spacing w:after="60"/>
      </w:pPr>
      <w:r>
        <w:rPr>
          <w:sz w:val="20"/>
        </w:rPr>
        <w:t>9. Adler J, Enig JW (1964) The critical conditions in thermal explosion theory with reactant consumption. Combustion and Flame 8:97-103. https://doi.org/10.1016/0010-2180(64)90035-5</w:t>
      </w:r>
    </w:p>
    <w:p>
      <w:pPr>
        <w:spacing w:after="60"/>
      </w:pPr>
      <w:r>
        <w:rPr>
          <w:sz w:val="20"/>
        </w:rPr>
        <w:t>10. Kassoy DR, Poland J (1980) The Thermal Explosion Confined by a Constant Temperature Boundary:I—The Induction Period Solution. SIAM J Appl Math 39:412-430. https://doi.org/10.1137/0139035</w:t>
      </w:r>
    </w:p>
    <w:p>
      <w:pPr>
        <w:spacing w:after="60"/>
      </w:pPr>
      <w:r>
        <w:rPr>
          <w:sz w:val="20"/>
        </w:rPr>
        <w:t>11. van Heerden C (1953) Autothermic Processes. Ind Eng Chem 45:1242-1247. https://doi.org/10.1021/ie50522a030</w:t>
      </w:r>
    </w:p>
    <w:p>
      <w:pPr>
        <w:spacing w:after="60"/>
      </w:pPr>
      <w:r>
        <w:rPr>
          <w:sz w:val="20"/>
        </w:rPr>
        <w:t>12. Aris R, Amundson NR (1958) An analysis of chemical reactor stability and control—I. Chemical Engineering Science 7:121-131. https://doi.org/10.1016/0009-2509(58)80019-6</w:t>
      </w:r>
    </w:p>
    <w:p>
      <w:pPr>
        <w:spacing w:after="60"/>
      </w:pPr>
      <w:r>
        <w:rPr>
          <w:sz w:val="20"/>
        </w:rPr>
        <w:t>13. Uppal A, Ray WH, Poore AB (1974) On the dynamic behavior of continuous stirred tank reactors. Chemical Engineering Science 29:967-985. https://doi.org/10.1016/0009-2509(74)80089-8</w:t>
      </w:r>
    </w:p>
    <w:p>
      <w:pPr>
        <w:spacing w:after="60"/>
      </w:pPr>
      <w:r>
        <w:rPr>
          <w:sz w:val="20"/>
        </w:rPr>
        <w:t>14. Gray P, Scott SK (1990) Chemical oscillations and instabilities: non-linear chemical kinetics. Clarendon Press, Oxford</w:t>
      </w:r>
    </w:p>
    <w:p>
      <w:pPr>
        <w:spacing w:after="60"/>
      </w:pPr>
      <w:r>
        <w:rPr>
          <w:sz w:val="20"/>
        </w:rPr>
        <w:t>15. Vyazovkin S, Burnham AK, Criado JM, Pérez-Maqueda LA, Popescu C, Sbirrazzuoli N (2011) ICTAC Kinetics Committee recommendations for performing kinetic computations on thermal analysis data. Thermochimica Acta 520:1-19. https://doi.org/10.1016/j.tca.2011.03.034</w:t>
      </w:r>
    </w:p>
    <w:p>
      <w:pPr>
        <w:spacing w:after="60"/>
      </w:pPr>
      <w:r>
        <w:rPr>
          <w:sz w:val="20"/>
        </w:rPr>
        <w:t>16. Zhao Y, Drummer D (2019) Influence of Filler Content and Filler Size on the Curing Kinetics of an Epoxy Resin. Polymers 11:1797. https://doi.org/10.3390/polym11111797</w:t>
      </w:r>
    </w:p>
    <w:p>
      <w:pPr>
        <w:spacing w:after="60"/>
      </w:pPr>
      <w:r>
        <w:rPr>
          <w:sz w:val="20"/>
        </w:rPr>
        <w:t>17. Ozawa T (1965) A New Method of Analyzing Thermogravimetric Data. Bulletin of the Chemical Society of Japan 38:1881-1886. https://doi.org/10.1246/bcsj.38.1881</w:t>
      </w:r>
    </w:p>
    <w:p>
      <w:pPr>
        <w:spacing w:after="60"/>
      </w:pPr>
      <w:r>
        <w:rPr>
          <w:sz w:val="20"/>
        </w:rPr>
        <w:t>18. Sandler L (2026) Coupled thermal activation and autocatalytic cure kinetics: a theoretical and computational study of delayed reactive transformation. ChemRxiv. https://doi.org/10.26434/chemrxiv.15008366/v1 (archived at https://doi.org/10.5281/zenodo.22073390)</w:t>
      </w:r>
    </w:p>
    <w:p>
      <w:pPr>
        <w:spacing w:after="60"/>
      </w:pPr>
      <w:r>
        <w:rPr>
          <w:sz w:val="20"/>
        </w:rPr>
        <w:t>19. Sandler L (2026) AutoLatch: coupled thermal activation and autocatalytic cure kinetics, version 3.1 (code and manuscript archive). Zenodo. https://doi.org/10.5281/zenodo.23202125</w:t>
      </w:r>
    </w:p>
    <w:p>
      <w:pPr>
        <w:spacing w:after="60"/>
      </w:pPr>
      <w:r>
        <w:rPr>
          <w:sz w:val="20"/>
        </w:rPr>
        <w:t>20. Strogatz SH (2015) Nonlinear dynamics and chaos, 2nd edn. Westview Press, Boulder</w:t>
      </w:r>
    </w:p>
    <w:p>
      <w:pPr>
        <w:spacing w:after="60"/>
      </w:pPr>
      <w:r>
        <w:rPr>
          <w:sz w:val="20"/>
        </w:rPr>
        <w:t>21. Corless RM, Gonnet GH, Hare DEG, Jeffrey DJ, Knuth DE (1996) On the LambertW function. Adv Comput Math 5:329-359. https://doi.org/10.1007/BF02124750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Closed-Form Storage Stability, Induction Delay, and Thermal-Feedback Criticality of Melt-Gated Autocatalytic Cure</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