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Closed-Form Storage Stability, Induction Delay, and Thermal-Feedback Criticality of Melt-Gated Autocatalytic Cure</w:t>
      </w:r>
    </w:p>
    <w:p>
      <w:pPr>
        <w:spacing w:after="0"/>
      </w:pPr>
      <w:r>
        <w:rPr>
          <w:sz w:val="21"/>
        </w:rPr>
        <w:t>Leon Sandler</w:t>
      </w:r>
    </w:p>
    <w:p>
      <w:pPr>
        <w:spacing w:after="0"/>
      </w:pPr>
      <w:r>
        <w:rPr>
          <w:sz w:val="21"/>
        </w:rPr>
        <w:t>Independent researcher, Northbrook, Illinois, USA</w:t>
      </w:r>
    </w:p>
    <w:p>
      <w:pPr>
        <w:spacing w:after="0"/>
      </w:pPr>
      <w:r>
        <w:rPr>
          <w:sz w:val="21"/>
        </w:rPr>
        <w:t>Corresponding author: sandler.leon@gmail.com</w:t>
      </w:r>
    </w:p>
    <w:p>
      <w:pPr>
        <w:spacing w:after="0"/>
      </w:pPr>
      <w:r>
        <w:rPr>
          <w:sz w:val="21"/>
        </w:rPr>
        <w:t>ORCID: 0009-0007-4584-808X</w:t>
      </w:r>
    </w:p>
    <w:p/>
    <w:p>
      <w:pPr>
        <w:pStyle w:val="Heading1"/>
      </w:pPr>
      <w:r>
        <w:rPr>
          <w:rFonts w:ascii="Times New Roman" w:hAnsi="Times New Roman"/>
        </w:rPr>
        <w:t>Abstract</w:t>
      </w:r>
    </w:p>
    <w:p>
      <w:pPr>
        <w:keepNext w:val="0"/>
        <w:jc w:val="both"/>
      </w:pPr>
      <w:r>
        <w:t>A cure triggered by the melting of an encapsulated catalyst combines a distribution of capsule melting temperatures, autocatalytic kinetics, and exothermic feedback. We derive what can be written in closed form for the lumped model and test each result against the full equations. (i) At constant temperature the gated cure is exactly the isothermal cure on the integrated availability of the catalyst; the delay of a fully activated population is τ_rel[1 − exp(−t/τ_rel)], approaching the release time constant τ_rel only at late conversion. (ii) The isothermal cure time is exact by one quadrature. (iii) For Gaussian capsule melting temperatures of spread σ the storage conversion is (a/b)[exp(b f t_eff) − 1] with open fraction f = Φ(−Δ/σ_eff), which bounds σ to within 3 % of the population equations. (iv) The frozen-conversion thermal balance has an algebraic branch only for Π = ψΘ below Π_c = (1+n)^(1+n)/[e n^n (1+ε)^(1+n)] (1.96 for n = 3/2); integrated thresholds approach it as Θ → 0 and, with Arrhenius kinetics, exceed it by about exp(1/Ar) (within 5 % on the tested grid). (v) In a continuous-flow reactor the steady-state curve has two folds above κ_c = 1.89, but the upper branch can lose stability at a Hopf-type point before its fold; the window of two stable states and its loop area are computed, and finite-rate loops approach it slowly. All parameters are illustrative; no experimental data are used.</w:t>
      </w:r>
    </w:p>
    <w:p>
      <w:pPr>
        <w:keepNext w:val="0"/>
      </w:pPr>
      <w:r>
        <w:rPr>
          <w:b/>
        </w:rPr>
        <w:t>Keywords:</w:t>
      </w:r>
      <w:r>
        <w:t xml:space="preserve"> autocatalytic cure kinetics; thermal runaway; encapsulated catalyst; Lambert W function; saddle-node and Hopf bifurcation; hysteresis</w:t>
      </w:r>
    </w:p>
    <w:p>
      <w:pPr>
        <w:pStyle w:val="Heading1"/>
      </w:pPr>
      <w:r>
        <w:rPr>
          <w:rFonts w:ascii="Times New Roman" w:hAnsi="Times New Roman"/>
        </w:rPr>
        <w:t>I. Introduction</w:t>
      </w:r>
    </w:p>
    <w:p>
      <w:pPr>
        <w:keepNext w:val="0"/>
        <w:jc w:val="both"/>
      </w:pPr>
      <w:r>
        <w:t>Encapsulating a reactive component and releasing it on demand is a general way to separate the stability of a formulation from the speed of its cure. The best-known instance is the self-healing polymer, in which embedded capsules release a healing agent when damaged [1]; thermally triggered variants use the melting of a wax or polymer shell, whose phase-change behavior is the subject of a literature on microencapsulated phase-change materials [2] and whose release is described by a family of release models [3]. When the released species catalyzes a thermoset cure, three features interact: the capsule population has a distribution of melting temperatures rather than a single one, the cure is autocatalytic and follows the form introduced by Kamal and Sourour [4, 5], and the cure heat raises the temperature of the specimen, which accelerates the cure. The cure exotherm makes the temperature field of thick thermoset sections depend on the cure history [6], and the feedback between heat release and rate is the subject of the classical theory of thermal explosion of Semenov and Frank-Kamenetskii [7, 8]. That theory has been extended to reactant consumption [9] and to the induction period [10], and the multiplicity and stability of the steady states of a heated, continuously fed reactor were analyzed by van Heerden, by Aris and Amundson, and by Uppal, Ray and Poore [11–14].</w:t>
      </w:r>
    </w:p>
    <w:p>
      <w:pPr>
        <w:keepNext w:val="0"/>
        <w:jc w:val="both"/>
      </w:pPr>
      <w:r>
        <w:t xml:space="preserve">Calorimetric kinetic analysis is well codified [15, 16], and the separable form of the cure law is a standard route to closed-form cure times, with the temperature history entering through a generalized time [17]. In that literature the rate law and the thermal runaway of a specimen are usually treated separately. The question addressed here is narrower: for the lumped model of a </w:t>
      </w:r>
      <w:r>
        <w:rPr>
          <w:i/>
        </w:rPr>
        <w:t>melt-gated</w:t>
      </w:r>
      <w:r>
        <w:t xml:space="preserve"> autocatalytic cure, which statements linking the quantities that a calorimeter measures (the rate constants of the cure, the width of the melting endotherm of the capsules, the thermal time constant of a specimen) to storage stability, delay and runaway can be written in closed form, and how well do they hold against the full equations?</w:t>
      </w:r>
    </w:p>
    <w:p>
      <w:pPr>
        <w:keepNext w:val="0"/>
        <w:jc w:val="both"/>
      </w:pPr>
      <w:r>
        <w:t>The paper separates standard identities from results specific to this system. Proposition 1 is the generalized-time identity [17] applied to the catalyst availability; its content is the identification of the clock and the resulting delay law (Section III A). Proposition 2 collects standard integrals and one sharpness law (III B). Proposition 3, the storage conversion of a Gaussian capsule population and the bound on the melting-temperature spread that follows from it, is specific to the gated system (III C). Proposition 4 applies the Semenov fold of the frozen-conversion balance to the Kamal–Sourour consumption law, which gives a closed-form critical number, its overshoot below the fold and an Arrhenius correction (III D); the classical treatment of consumption [9] is not specific to autocatalysis. Proposition 5 gives the steady states, the Jacobian and the stable window of a continuous-flow reactor with this kinetics (III E). A synthetic-data test shows how the closed forms behave as fitting functions (III F). To the author's knowledge, in the sources examined, these results have not been assembled for a gated autocatalytic cure.</w:t>
      </w:r>
    </w:p>
    <w:p>
      <w:pPr>
        <w:keepNext w:val="0"/>
        <w:jc w:val="both"/>
      </w:pPr>
      <w:r>
        <w:t>The illustrative parameter set and the capsule-population picture were introduced in a numerical study by the author [18]: the rate constants and orders of Table 1, the release rate constant, the logistic activation and the mean melting temperature, the adiabatic rise, and the reference integrator come from that study. The analytic results below are new, and the comparisons of that study with first-order controls are not used here. The model is lumped and every parameter is illustrative: nothing is fitted to measurements, and the paper makes no claim about a particular material.</w:t>
      </w:r>
    </w:p>
    <w:p>
      <w:pPr>
        <w:pStyle w:val="Heading1"/>
      </w:pPr>
      <w:r>
        <w:rPr>
          <w:rFonts w:ascii="Times New Roman" w:hAnsi="Times New Roman"/>
        </w:rPr>
        <w:t>II. Model and scaling</w:t>
      </w:r>
    </w:p>
    <w:p>
      <w:pPr>
        <w:pStyle w:val="Heading2"/>
      </w:pPr>
      <w:r>
        <w:rPr>
          <w:rFonts w:ascii="Times New Roman" w:hAnsi="Times New Roman"/>
        </w:rPr>
        <w:t>A. Equations</w:t>
      </w:r>
    </w:p>
    <w:p>
      <w:pPr>
        <w:keepNext w:val="0"/>
        <w:jc w:val="both"/>
      </w:pPr>
      <w:r>
        <w:t>The conversion α of the resin obeys a Kamal–Sourour law with reaction order n for the unreacted fraction and first order in the autocatalytic term,</w:t>
      </w:r>
    </w:p>
    <w:p>
      <w:pPr>
        <w:keepLines/>
        <w:tabs>
          <w:tab w:pos="4680" w:val="center"/>
          <w:tab w:pos="9360" w:val="right"/>
        </w:tabs>
        <w:spacing w:before="120" w:after="120"/>
      </w:pPr>
      <w:r>
        <w:tab/>
      </w:r>
      <m:oMath>
        <m:f>
          <m:fPr>
            <m:ctrlPr>
              <w:rPr>
                <w:rFonts w:ascii="Cambria Math" w:hAnsi="Cambria Math"/>
                <w:i/>
              </w:rPr>
            </m:ctrlPr>
          </m:fPr>
          <m:num>
            <m:r>
              <m:rPr>
                <m:sty m:val="i"/>
              </m:rPr>
              <w:rPr>
                <w:rFonts w:ascii="Cambria Math" w:hAnsi="Cambria Math"/>
                <w:i/>
              </w:rPr>
              <m:t xml:space="preserve">dα</m:t>
            </m:r>
          </m:num>
          <m:den>
            <m:r>
              <m:rPr>
                <m:sty m:val="i"/>
              </m:rPr>
              <w:rPr>
                <w:rFonts w:ascii="Cambria Math" w:hAnsi="Cambria Math"/>
                <w:i/>
              </w:rPr>
              <m:t xml:space="preserve">dt</m:t>
            </m:r>
          </m:den>
        </m:f>
        <m:r>
          <m:rPr>
            <m:nor/>
          </m:rPr>
          <w:rPr>
            <w:rFonts w:ascii="Cambria Math" w:hAnsi="Cambria Math"/>
            <w:i w:val="0"/>
          </w:rPr>
          <m:t xml:space="preserve"> = </m:t>
        </m:r>
        <m:d>
          <m:dPr>
            <m:begChr m:val="⟨"/>
            <m:endChr m:val="⟩"/>
            <m:ctrlPr>
              <w:rPr>
                <w:rFonts w:ascii="Cambria Math" w:hAnsi="Cambria Math"/>
                <w:i/>
              </w:rPr>
            </m:ctrlPr>
          </m:dPr>
          <m:e>
            <m:r>
              <m:rPr>
                <m:sty m:val="i"/>
              </m:rPr>
              <w:rPr>
                <w:rFonts w:ascii="Cambria Math" w:hAnsi="Cambria Math"/>
                <w:i/>
              </w:rPr>
              <m:t xml:space="preserve">C</m:t>
            </m:r>
          </m:e>
        </m:d>
        <m:r>
          <m:rPr>
            <m:nor/>
          </m:rPr>
          <w:rPr>
            <w:rFonts w:ascii="Cambria Math" w:hAnsi="Cambria Math"/>
            <w:i w:val="0"/>
          </w:rPr>
          <m:t xml:space="preserve">(t)</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k</m:t>
                </m:r>
              </m:e>
              <m:sub>
                <m:r>
                  <m:rPr>
                    <m:nor/>
                  </m:rPr>
                  <w:rPr>
                    <w:rFonts w:ascii="Cambria Math" w:hAnsi="Cambria Math"/>
                    <w:i w:val="0"/>
                  </w:rPr>
                  <m:t xml:space="preserve">1</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k</m:t>
                </m:r>
              </m:e>
              <m:sub>
                <m:r>
                  <m:rPr>
                    <m:nor/>
                  </m:rPr>
                  <w:rPr>
                    <w:rFonts w:ascii="Cambria Math" w:hAnsi="Cambria Math"/>
                    <w:i w:val="0"/>
                  </w:rPr>
                  <m:t xml:space="preserve">2</m:t>
                </m:r>
              </m:sub>
            </m:sSub>
            <m:r>
              <m:rPr>
                <m:sty m:val="i"/>
              </m:rPr>
              <w:rPr>
                <w:rFonts w:ascii="Cambria Math" w:hAnsi="Cambria Math"/>
                <w:i/>
              </w:rPr>
              <m:t xml:space="preserve">α</m:t>
            </m:r>
          </m:e>
        </m:d>
        <m:sSup>
          <m:sSupPr>
            <m:ctrlPr>
              <w:rPr>
                <w:rFonts w:ascii="Cambria Math" w:hAnsi="Cambria Math"/>
                <w:i/>
              </w:rPr>
            </m:ctrlPr>
          </m:sSupPr>
          <m:e>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α</m:t>
                </m:r>
              </m:e>
            </m:d>
          </m:e>
          <m:sup>
            <m:r>
              <m:rPr>
                <m:sty m:val="i"/>
              </m:rPr>
              <w:rPr>
                <w:rFonts w:ascii="Cambria Math" w:hAnsi="Cambria Math"/>
                <w:i/>
              </w:rPr>
              <m:t xml:space="preserve">n</m:t>
            </m:r>
          </m:sup>
        </m:sSup>
        <m:r>
          <m:rPr>
            <m:nor/>
          </m:rPr>
          <w:rPr>
            <w:rFonts w:ascii="Cambria Math" w:hAnsi="Cambria Math"/>
            <w:i w:val="0"/>
          </w:rPr>
          <m:t xml:space="preserve">,</m:t>
        </m:r>
      </m:oMath>
      <w:r>
        <w:tab/>
        <w:t xml:space="preserve">(1)</w:t>
      </w:r>
    </w:p>
    <w:p>
      <w:pPr>
        <w:keepNext w:val="0"/>
        <w:jc w:val="both"/>
      </w:pPr>
      <w:r>
        <w:t>where ⟨C⟩ is the availability of the catalyst averaged over the capsule population (the fraction of the catalyst that has been released, 0 ≤ ⟨C⟩ ≤ 1). The temperature of the well-mixed specimen obeys a lumped energy balance with Newtonian loss and the adiabatic temperature rise ΔT</w:t>
      </w:r>
      <w:r>
        <w:rPr>
          <w:vertAlign w:val="subscript"/>
        </w:rPr>
        <w:t>ad</w:t>
      </w:r>
      <w:r>
        <w:t xml:space="preserve"> of the reaction,</w:t>
      </w:r>
    </w:p>
    <w:p>
      <w:pPr>
        <w:keepLines/>
        <w:tabs>
          <w:tab w:pos="4680" w:val="center"/>
          <w:tab w:pos="9360" w:val="right"/>
        </w:tabs>
        <w:spacing w:before="120" w:after="120"/>
      </w:pPr>
      <w:r>
        <w:tab/>
      </w:r>
      <m:oMath>
        <m:f>
          <m:fPr>
            <m:ctrlPr>
              <w:rPr>
                <w:rFonts w:ascii="Cambria Math" w:hAnsi="Cambria Math"/>
                <w:i/>
              </w:rPr>
            </m:ctrlPr>
          </m:fPr>
          <m:num>
            <m:r>
              <m:rPr>
                <m:sty m:val="i"/>
              </m:rPr>
              <w:rPr>
                <w:rFonts w:ascii="Cambria Math" w:hAnsi="Cambria Math"/>
                <w:i/>
              </w:rPr>
              <m:t xml:space="preserve">dT</m:t>
            </m:r>
          </m:num>
          <m:den>
            <m:r>
              <m:rPr>
                <m:sty m:val="i"/>
              </m:rPr>
              <w:rPr>
                <w:rFonts w:ascii="Cambria Math" w:hAnsi="Cambria Math"/>
                <w:i/>
              </w:rPr>
              <m:t xml:space="preserve">dt</m:t>
            </m:r>
          </m:den>
        </m:f>
        <m:r>
          <m:rPr>
            <m:nor/>
          </m:rPr>
          <w:rPr>
            <w:rFonts w:ascii="Cambria Math" w:hAnsi="Cambria Math"/>
            <w:i w:val="0"/>
          </w:rPr>
          <m:t xml:space="preserve"> =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m:t>
                    </m:r>
                  </m:sub>
                </m:sSub>
                <m:r>
                  <m:rPr>
                    <m:nor/>
                  </m:rPr>
                  <w:rPr>
                    <w:rFonts w:ascii="Cambria Math" w:hAnsi="Cambria Math"/>
                    <w:i w:val="0"/>
                  </w:rPr>
                  <m:t xml:space="preserve"> − </m:t>
                </m:r>
                <m:r>
                  <m:rPr>
                    <m:sty m:val="i"/>
                  </m:rPr>
                  <w:rPr>
                    <w:rFonts w:ascii="Cambria Math" w:hAnsi="Cambria Math"/>
                    <w:i/>
                  </w:rPr>
                  <m:t xml:space="preserve">T</m:t>
                </m:r>
              </m:e>
            </m:d>
          </m:num>
          <m:den>
            <m:sSub>
              <m:sSubPr>
                <m:ctrlPr>
                  <w:rPr>
                    <w:rFonts w:ascii="Cambria Math" w:hAnsi="Cambria Math"/>
                    <w:i/>
                  </w:rPr>
                </m:ctrlPr>
              </m:sSubPr>
              <m:e>
                <m:r>
                  <m:rPr>
                    <m:sty m:val="i"/>
                  </m:rPr>
                  <w:rPr>
                    <w:rFonts w:ascii="Cambria Math" w:hAnsi="Cambria Math"/>
                    <w:i/>
                  </w:rPr>
                  <m:t xml:space="preserve">τ</m:t>
                </m:r>
              </m:e>
              <m:sub>
                <m:r>
                  <m:rPr>
                    <m:nor/>
                  </m:rPr>
                  <w:rPr>
                    <w:rFonts w:ascii="Cambria Math" w:hAnsi="Cambria Math"/>
                    <w:i w:val="0"/>
                  </w:rPr>
                  <m:t xml:space="preserve">th</m:t>
                </m:r>
              </m:sub>
            </m:sSub>
          </m:den>
        </m:f>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ΔT</m:t>
            </m:r>
          </m:e>
          <m:sub>
            <m:r>
              <m:rPr>
                <m:nor/>
              </m:rPr>
              <w:rPr>
                <w:rFonts w:ascii="Cambria Math" w:hAnsi="Cambria Math"/>
                <w:i w:val="0"/>
              </w:rPr>
              <m:t xml:space="preserve">ad</m:t>
            </m:r>
          </m:sub>
        </m:sSub>
        <m:f>
          <m:fPr>
            <m:ctrlPr>
              <w:rPr>
                <w:rFonts w:ascii="Cambria Math" w:hAnsi="Cambria Math"/>
                <w:i/>
              </w:rPr>
            </m:ctrlPr>
          </m:fPr>
          <m:num>
            <m:r>
              <m:rPr>
                <m:sty m:val="i"/>
              </m:rPr>
              <w:rPr>
                <w:rFonts w:ascii="Cambria Math" w:hAnsi="Cambria Math"/>
                <w:i/>
              </w:rPr>
              <m:t xml:space="preserve">dα</m:t>
            </m:r>
          </m:num>
          <m:den>
            <m:r>
              <m:rPr>
                <m:sty m:val="i"/>
              </m:rPr>
              <w:rPr>
                <w:rFonts w:ascii="Cambria Math" w:hAnsi="Cambria Math"/>
                <w:i/>
              </w:rPr>
              <m:t xml:space="preserve">dt</m:t>
            </m:r>
          </m:den>
        </m:f>
        <m:r>
          <m:rPr>
            <m:nor/>
          </m:rPr>
          <w:rPr>
            <w:rFonts w:ascii="Cambria Math" w:hAnsi="Cambria Math"/>
            <w:i w:val="0"/>
          </w:rPr>
          <m:t xml:space="preserve">.</m:t>
        </m:r>
      </m:oMath>
      <w:r>
        <w:tab/>
        <w:t xml:space="preserve">(2)</w:t>
      </w:r>
    </w:p>
    <w:p>
      <w:pPr>
        <w:keepNext w:val="0"/>
        <w:jc w:val="both"/>
      </w:pPr>
      <w:r>
        <w:t xml:space="preserve">Capsule </w:t>
      </w:r>
      <w:r>
        <w:rPr>
          <w:i/>
        </w:rPr>
        <w:t>i</w:t>
      </w:r>
      <w:r>
        <w:t xml:space="preserve"> has a melting temperature T</w:t>
      </w:r>
      <w:r>
        <w:rPr>
          <w:vertAlign w:val="subscript"/>
        </w:rPr>
        <w:t>m,i</w:t>
      </w:r>
      <w:r>
        <w:t>, drawn from a Gaussian of mean T</w:t>
      </w:r>
      <w:r>
        <w:rPr>
          <w:vertAlign w:val="subscript"/>
        </w:rPr>
        <w:t>m</w:t>
      </w:r>
      <w:r>
        <w:t xml:space="preserve"> and standard deviation σ, and releases its catalyst by first-order relaxation toward a logistic activation of width </w:t>
      </w:r>
      <w:r>
        <w:rPr>
          <w:i/>
        </w:rPr>
        <w:t>w</w:t>
      </w:r>
      <w:r>
        <w:rPr>
          <w:vertAlign w:val="subscript"/>
        </w:rPr>
        <w:t>0</w:t>
      </w:r>
      <w:r>
        <w:t>,</w:t>
      </w:r>
    </w:p>
    <w:p>
      <w:pPr>
        <w:keepLines/>
        <w:tabs>
          <w:tab w:pos="4680" w:val="center"/>
          <w:tab w:pos="9360" w:val="right"/>
        </w:tabs>
        <w:spacing w:before="120" w:after="120"/>
      </w:pPr>
      <w:r>
        <w:tab/>
      </w:r>
      <m:oMath>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dC</m:t>
                </m:r>
              </m:e>
              <m:sub>
                <m:r>
                  <m:rPr>
                    <m:sty m:val="i"/>
                  </m:rPr>
                  <w:rPr>
                    <w:rFonts w:ascii="Cambria Math" w:hAnsi="Cambria Math"/>
                    <w:i/>
                  </w:rPr>
                  <m:t xml:space="preserve">i</m:t>
                </m:r>
              </m:sub>
            </m:sSub>
          </m:num>
          <m:den>
            <m:r>
              <m:rPr>
                <m:sty m:val="i"/>
              </m:rPr>
              <w:rPr>
                <w:rFonts w:ascii="Cambria Math" w:hAnsi="Cambria Math"/>
                <w:i/>
              </w:rPr>
              <m:t xml:space="preserve">dt</m:t>
            </m:r>
          </m:den>
        </m:f>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k</m:t>
            </m:r>
          </m:e>
          <m:sub>
            <m:r>
              <m:rPr>
                <m:nor/>
              </m:rPr>
              <w:rPr>
                <w:rFonts w:ascii="Cambria Math" w:hAnsi="Cambria Math"/>
                <w:i w:val="0"/>
              </w:rPr>
              <m:t xml:space="preserve">rel</m:t>
            </m:r>
          </m:sub>
        </m:sSub>
        <m:d>
          <m:dPr>
            <m:begChr m:val="("/>
            <m:endChr m:val=")"/>
            <m:ctrlPr>
              <w:rPr>
                <w:rFonts w:ascii="Cambria Math" w:hAnsi="Cambria Math"/>
                <w:i/>
              </w:rPr>
            </m:ctrlPr>
          </m:dPr>
          <m:e>
            <m:r>
              <m:rPr>
                <m:sty m:val="i"/>
              </m:rPr>
              <w:rPr>
                <w:rFonts w:ascii="Cambria Math" w:hAnsi="Cambria Math"/>
                <w:i/>
              </w:rPr>
              <m:t xml:space="preserve">T</m:t>
            </m:r>
          </m:e>
        </m:d>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G</m:t>
                </m:r>
              </m:e>
              <m:sub>
                <m:r>
                  <m:rPr>
                    <m:sty m:val="i"/>
                  </m:rPr>
                  <w:rPr>
                    <w:rFonts w:ascii="Cambria Math" w:hAnsi="Cambria Math"/>
                    <w:i/>
                  </w:rPr>
                  <m:t xml:space="preserve">i</m:t>
                </m:r>
              </m:sub>
            </m:sSub>
            <m:d>
              <m:dPr>
                <m:begChr m:val="("/>
                <m:endChr m:val=")"/>
                <m:ctrlPr>
                  <w:rPr>
                    <w:rFonts w:ascii="Cambria Math" w:hAnsi="Cambria Math"/>
                    <w:i/>
                  </w:rPr>
                </m:ctrlPr>
              </m:dPr>
              <m:e>
                <m:r>
                  <m:rPr>
                    <m:sty m:val="i"/>
                  </m:rPr>
                  <w:rPr>
                    <w:rFonts w:ascii="Cambria Math" w:hAnsi="Cambria Math"/>
                    <w:i/>
                  </w:rPr>
                  <m:t xml:space="preserve">T</m:t>
                </m:r>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sty m:val="i"/>
                  </m:rPr>
                  <w:rPr>
                    <w:rFonts w:ascii="Cambria Math" w:hAnsi="Cambria Math"/>
                    <w:i/>
                  </w:rPr>
                  <m:t xml:space="preserve">i</m:t>
                </m:r>
              </m:sub>
            </m:sSub>
          </m:e>
        </m:d>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G</m:t>
            </m:r>
          </m:e>
          <m:sub>
            <m:r>
              <m:rPr>
                <m:sty m:val="i"/>
              </m:rPr>
              <w:rPr>
                <w:rFonts w:ascii="Cambria Math" w:hAnsi="Cambria Math"/>
                <w:i/>
              </w:rPr>
              <m:t xml:space="preserve">i</m:t>
            </m:r>
          </m:sub>
        </m:sSub>
        <m:r>
          <m:rPr>
            <m:nor/>
          </m:rPr>
          <w:rPr>
            <w:rFonts w:ascii="Cambria Math" w:hAnsi="Cambria Math"/>
            <w:i w:val="0"/>
          </w:rPr>
          <m:t xml:space="preserve"> = </m:t>
        </m:r>
        <m:sSup>
          <m:sSupPr>
            <m:ctrlPr>
              <w:rPr>
                <w:rFonts w:ascii="Cambria Math" w:hAnsi="Cambria Math"/>
                <w:i/>
              </w:rPr>
            </m:ctrlPr>
          </m:sSupPr>
          <m:e>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nor/>
                  </m:rPr>
                  <w:rPr>
                    <w:rFonts w:ascii="Cambria Math" w:hAnsi="Cambria Math"/>
                    <w:i w:val="0"/>
                  </w:rPr>
                  <m:t xml:space="preserve">exp</m:t>
                </m:r>
                <m:d>
                  <m:dPr>
                    <m:begChr m:val="("/>
                    <m:endChr m:val=")"/>
                    <m:ctrlPr>
                      <w:rPr>
                        <w:rFonts w:ascii="Cambria Math" w:hAnsi="Cambria Math"/>
                        <w:i/>
                      </w:rPr>
                    </m:ctrlPr>
                  </m:dPr>
                  <m:e>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T</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T</m:t>
                            </m:r>
                          </m:e>
                          <m:sub>
                            <m:r>
                              <m:rPr>
                                <m:sty m:val="i"/>
                              </m:rPr>
                              <w:rPr>
                                <w:rFonts w:ascii="Cambria Math" w:hAnsi="Cambria Math"/>
                                <w:i/>
                              </w:rPr>
                              <m:t xml:space="preserve">m,i</m:t>
                            </m:r>
                          </m:sub>
                        </m:sSub>
                      </m:num>
                      <m:den>
                        <m:sSub>
                          <m:sSubPr>
                            <m:ctrlPr>
                              <w:rPr>
                                <w:rFonts w:ascii="Cambria Math" w:hAnsi="Cambria Math"/>
                                <w:i/>
                              </w:rPr>
                            </m:ctrlPr>
                          </m:sSubPr>
                          <m:e>
                            <m:r>
                              <m:rPr>
                                <m:sty m:val="i"/>
                              </m:rPr>
                              <w:rPr>
                                <w:rFonts w:ascii="Cambria Math" w:hAnsi="Cambria Math"/>
                                <w:i/>
                              </w:rPr>
                              <m:t xml:space="preserve">w</m:t>
                            </m:r>
                          </m:e>
                          <m:sub>
                            <m:r>
                              <m:rPr>
                                <m:nor/>
                              </m:rPr>
                              <w:rPr>
                                <w:rFonts w:ascii="Cambria Math" w:hAnsi="Cambria Math"/>
                                <w:i w:val="0"/>
                              </w:rPr>
                              <m:t xml:space="preserve">0</m:t>
                            </m:r>
                          </m:sub>
                        </m:sSub>
                      </m:den>
                    </m:f>
                  </m:e>
                </m:d>
              </m:e>
            </m:d>
          </m:e>
          <m:sup>
            <m:r>
              <m:rPr>
                <m:nor/>
              </m:rPr>
              <w:rPr>
                <w:rFonts w:ascii="Cambria Math" w:hAnsi="Cambria Math"/>
                <w:i w:val="0"/>
              </w:rPr>
              <m:t xml:space="preserve">−1</m:t>
            </m:r>
          </m:sup>
        </m:sSup>
        <m:r>
          <m:rPr>
            <m:nor/>
          </m:rPr>
          <w:rPr>
            <w:rFonts w:ascii="Cambria Math" w:hAnsi="Cambria Math"/>
            <w:i w:val="0"/>
          </w:rPr>
          <m:t xml:space="preserve">,   </m:t>
        </m:r>
        <m:d>
          <m:dPr>
            <m:begChr m:val="⟨"/>
            <m:endChr m:val="⟩"/>
            <m:ctrlPr>
              <w:rPr>
                <w:rFonts w:ascii="Cambria Math" w:hAnsi="Cambria Math"/>
                <w:i/>
              </w:rPr>
            </m:ctrlPr>
          </m:dPr>
          <m:e>
            <m:r>
              <m:rPr>
                <m:sty m:val="i"/>
              </m:rPr>
              <w:rPr>
                <w:rFonts w:ascii="Cambria Math" w:hAnsi="Cambria Math"/>
                <w:i/>
              </w:rPr>
              <m:t xml:space="preserve">C</m:t>
            </m:r>
          </m:e>
        </m:d>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sty m:val="i"/>
              </m:rPr>
              <w:rPr>
                <w:rFonts w:ascii="Cambria Math" w:hAnsi="Cambria Math"/>
                <w:i/>
              </w:rPr>
              <m:t xml:space="preserve">K</m:t>
            </m:r>
          </m:den>
        </m:f>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C</m:t>
            </m:r>
          </m:e>
          <m:sub>
            <m:r>
              <m:rPr>
                <m:sty m:val="i"/>
              </m:rPr>
              <w:rPr>
                <w:rFonts w:ascii="Cambria Math" w:hAnsi="Cambria Math"/>
                <w:i/>
              </w:rPr>
              <m:t xml:space="preserve">i</m:t>
            </m:r>
          </m:sub>
        </m:sSub>
        <m:r>
          <m:rPr>
            <m:nor/>
          </m:rPr>
          <w:rPr>
            <w:rFonts w:ascii="Cambria Math" w:hAnsi="Cambria Math"/>
            <w:i w:val="0"/>
          </w:rPr>
          <m:t xml:space="preserve">.</m:t>
        </m:r>
      </m:oMath>
      <w:r>
        <w:tab/>
        <w:t xml:space="preserve">(3)</w:t>
      </w:r>
    </w:p>
    <w:p>
      <w:pPr>
        <w:keepNext w:val="0"/>
        <w:jc w:val="both"/>
      </w:pPr>
      <w:r>
        <w:t>The initial state is α(0) = 0 and C</w:t>
      </w:r>
      <w:r>
        <w:rPr>
          <w:vertAlign w:val="subscript"/>
        </w:rPr>
        <w:t>i</w:t>
      </w:r>
      <w:r>
        <w:t>(0) = 0 unless stated, and T(0) = T</w:t>
      </w:r>
      <w:r>
        <w:rPr>
          <w:vertAlign w:val="subscript"/>
        </w:rPr>
        <w:t>∞</w:t>
      </w:r>
      <w:r>
        <w:t xml:space="preserve"> for the isothermal-start problems of Sections III A–D. The rate constants are Arrhenius, </w:t>
      </w:r>
      <w:r>
        <w:rPr>
          <w:i/>
        </w:rPr>
        <w:t>k</w:t>
      </w:r>
      <w:r>
        <w:rPr>
          <w:vertAlign w:val="subscript"/>
        </w:rPr>
        <w:t>j</w:t>
      </w:r>
      <w:r>
        <w:t xml:space="preserve"> = </w:t>
      </w:r>
      <w:r>
        <w:rPr>
          <w:i/>
        </w:rPr>
        <w:t>A</w:t>
      </w:r>
      <w:r>
        <w:rPr>
          <w:vertAlign w:val="subscript"/>
        </w:rPr>
        <w:t>j</w:t>
      </w:r>
      <w:r>
        <w:t xml:space="preserve"> exp(−</w:t>
      </w:r>
      <w:r>
        <w:rPr>
          <w:i/>
        </w:rPr>
        <w:t>E</w:t>
      </w:r>
      <w:r>
        <w:rPr>
          <w:vertAlign w:val="subscript"/>
        </w:rPr>
        <w:t>j</w:t>
      </w:r>
      <w:r>
        <w:t>/</w:t>
      </w:r>
      <w:r>
        <w:rPr>
          <w:i/>
        </w:rPr>
        <w:t>RT</w:t>
      </w:r>
      <w:r>
        <w:t xml:space="preserve">), for </w:t>
      </w:r>
      <w:r>
        <w:rPr>
          <w:i/>
        </w:rPr>
        <w:t>j</w:t>
      </w:r>
      <w:r>
        <w:t xml:space="preserve"> = 1 (background), 2 (autocatalytic) and rel (release). The model has no spatial structure, no diffusion control and no vitrification (Section VI). Throughout, the </w:t>
      </w:r>
      <w:r>
        <w:rPr>
          <w:i/>
        </w:rPr>
        <w:t>illustrative</w:t>
      </w:r>
      <w:r>
        <w:t xml:space="preserve"> parameter set of Table 1 is used.</w:t>
      </w:r>
    </w:p>
    <w:p>
      <w:pPr>
        <w:keepNext/>
        <w:spacing w:line="276" w:lineRule="auto" w:after="200"/>
      </w:pPr>
      <w:r>
        <w:rPr>
          <w:b/>
          <w:sz w:val="19"/>
        </w:rPr>
        <w:t>Table 1</w:t>
      </w:r>
      <w:r>
        <w:rPr>
          <w:sz w:val="19"/>
        </w:rPr>
        <w:t xml:space="preserve"> Illustrative parameter set (not fitted to any material; taken from Ref. [18]). Arrhenius forms are </w:t>
      </w:r>
      <w:r>
        <w:rPr>
          <w:i/>
          <w:sz w:val="19"/>
        </w:rPr>
        <w:t>k</w:t>
      </w:r>
      <w:r>
        <w:rPr>
          <w:sz w:val="19"/>
        </w:rPr>
        <w:t xml:space="preserve"> = </w:t>
      </w:r>
      <w:r>
        <w:rPr>
          <w:i/>
          <w:sz w:val="19"/>
        </w:rPr>
        <w:t>A</w:t>
      </w:r>
      <w:r>
        <w:rPr>
          <w:sz w:val="19"/>
        </w:rPr>
        <w:t xml:space="preserve"> exp(−</w:t>
      </w:r>
      <w:r>
        <w:rPr>
          <w:i/>
          <w:sz w:val="19"/>
        </w:rPr>
        <w:t>E</w:t>
      </w:r>
      <w:r>
        <w:rPr>
          <w:sz w:val="19"/>
        </w:rPr>
        <w:t>/</w:t>
      </w:r>
      <w:r>
        <w:rPr>
          <w:i/>
          <w:sz w:val="19"/>
        </w:rPr>
        <w:t>RT</w:t>
      </w:r>
      <w:r>
        <w:rPr>
          <w:sz w:val="19"/>
        </w:rPr>
        <w:t xml:space="preserve">). Note that </w:t>
      </w:r>
      <w:r>
        <w:rPr>
          <w:i/>
          <w:sz w:val="19"/>
        </w:rPr>
        <w:t>E</w:t>
      </w:r>
      <w:r>
        <w:rPr>
          <w:sz w:val="19"/>
          <w:vertAlign w:val="subscript"/>
        </w:rPr>
        <w:t>1</w:t>
      </w:r>
      <w:r>
        <w:rPr>
          <w:sz w:val="19"/>
        </w:rPr>
        <w:t xml:space="preserve"> ≠ </w:t>
      </w:r>
      <w:r>
        <w:rPr>
          <w:i/>
          <w:sz w:val="19"/>
        </w:rPr>
        <w:t>E</w:t>
      </w:r>
      <w:r>
        <w:rPr>
          <w:sz w:val="19"/>
          <w:vertAlign w:val="subscript"/>
        </w:rPr>
        <w:t>2</w:t>
      </w:r>
      <w:r>
        <w:rPr>
          <w:sz w:val="19"/>
        </w:rPr>
        <w:t>.</w:t>
      </w:r>
    </w:p>
    <w:tbl>
      <w:tblPr>
        <w:tblStyle w:val="TableGrid"/>
        <w:tblW w:type="auto" w:w="0"/>
        <w:jc w:val="center"/>
        <w:tblLayout w:type="fixed"/>
        <w:tblLook w:firstColumn="1" w:firstRow="1" w:lastColumn="0" w:lastRow="0" w:noHBand="0" w:noVBand="1" w:val="04A0"/>
      </w:tblPr>
      <w:tblGrid>
        <w:gridCol w:w="3744"/>
        <w:gridCol w:w="1872"/>
        <w:gridCol w:w="3888"/>
      </w:tblGrid>
      <w:tr>
        <w:trPr>
          <w:tblHeader w:val="true"/>
        </w:trPr>
        <w:tc>
          <w:tcPr>
            <w:tcW w:type="dxa" w:w="3744"/>
            <w:shd w:val="clear" w:color="auto" w:fill="E7ECF1"/>
          </w:tcPr>
          <w:p>
            <w:pPr>
              <w:spacing w:line="240" w:lineRule="auto" w:after="20"/>
            </w:pPr>
            <w:r/>
            <w:r>
              <w:rPr>
                <w:b/>
                <w:sz w:val="17"/>
              </w:rPr>
              <w:t>Quantity</w:t>
            </w:r>
          </w:p>
        </w:tc>
        <w:tc>
          <w:tcPr>
            <w:tcW w:type="dxa" w:w="1872"/>
            <w:shd w:val="clear" w:color="auto" w:fill="E7ECF1"/>
          </w:tcPr>
          <w:p>
            <w:pPr>
              <w:spacing w:line="240" w:lineRule="auto" w:after="20"/>
            </w:pPr>
            <w:r/>
            <w:r>
              <w:rPr>
                <w:b/>
                <w:sz w:val="17"/>
              </w:rPr>
              <w:t>Symbol</w:t>
            </w:r>
          </w:p>
        </w:tc>
        <w:tc>
          <w:tcPr>
            <w:tcW w:type="dxa" w:w="3888"/>
            <w:shd w:val="clear" w:color="auto" w:fill="E7ECF1"/>
          </w:tcPr>
          <w:p>
            <w:pPr>
              <w:spacing w:line="240" w:lineRule="auto" w:after="20"/>
            </w:pPr>
            <w:r/>
            <w:r>
              <w:rPr>
                <w:b/>
                <w:sz w:val="17"/>
              </w:rPr>
              <w:t>Value</w:t>
            </w:r>
          </w:p>
        </w:tc>
      </w:tr>
      <w:tr>
        <w:tc>
          <w:tcPr>
            <w:tcW w:type="dxa" w:w="3744"/>
          </w:tcPr>
          <w:p>
            <w:pPr>
              <w:spacing w:line="240" w:lineRule="auto" w:after="20"/>
            </w:pPr>
            <w:r/>
            <w:r>
              <w:rPr>
                <w:sz w:val="17"/>
              </w:rPr>
              <w:t>Background rate constant</w:t>
            </w:r>
          </w:p>
        </w:tc>
        <w:tc>
          <w:tcPr>
            <w:tcW w:type="dxa" w:w="1872"/>
          </w:tcPr>
          <w:p>
            <w:pPr>
              <w:spacing w:line="240" w:lineRule="auto" w:after="20"/>
            </w:pPr>
            <w:r/>
            <w:r>
              <w:rPr>
                <w:sz w:val="17"/>
              </w:rPr>
              <w:t>A</w:t>
            </w:r>
            <w:r>
              <w:rPr>
                <w:sz w:val="17"/>
                <w:vertAlign w:val="subscript"/>
              </w:rPr>
              <w:t>1</w:t>
            </w:r>
            <w:r>
              <w:rPr>
                <w:sz w:val="17"/>
              </w:rPr>
              <w:t>, E</w:t>
            </w:r>
            <w:r>
              <w:rPr>
                <w:sz w:val="17"/>
                <w:vertAlign w:val="subscript"/>
              </w:rPr>
              <w:t>1</w:t>
            </w:r>
          </w:p>
        </w:tc>
        <w:tc>
          <w:tcPr>
            <w:tcW w:type="dxa" w:w="3888"/>
          </w:tcPr>
          <w:p>
            <w:pPr>
              <w:spacing w:line="240" w:lineRule="auto" w:after="20"/>
            </w:pPr>
            <w:r/>
            <w:r>
              <w:rPr>
                <w:sz w:val="17"/>
              </w:rPr>
              <w:t>2.0 × 10</w:t>
            </w:r>
            <w:r>
              <w:rPr>
                <w:sz w:val="17"/>
                <w:vertAlign w:val="superscript"/>
              </w:rPr>
              <w:t>3</w:t>
            </w:r>
            <w:r>
              <w:rPr>
                <w:sz w:val="17"/>
              </w:rPr>
              <w:t xml:space="preserve"> min</w:t>
            </w:r>
            <w:r>
              <w:rPr>
                <w:sz w:val="17"/>
                <w:vertAlign w:val="superscript"/>
              </w:rPr>
              <w:t>−1</w:t>
            </w:r>
            <w:r>
              <w:rPr>
                <w:sz w:val="17"/>
              </w:rPr>
              <w:t>, 50 kJ mol</w:t>
            </w:r>
            <w:r>
              <w:rPr>
                <w:sz w:val="17"/>
                <w:vertAlign w:val="superscript"/>
              </w:rPr>
              <w:t>−1</w:t>
            </w:r>
          </w:p>
        </w:tc>
      </w:tr>
      <w:tr>
        <w:tc>
          <w:tcPr>
            <w:tcW w:type="dxa" w:w="3744"/>
          </w:tcPr>
          <w:p>
            <w:pPr>
              <w:spacing w:line="240" w:lineRule="auto" w:after="20"/>
            </w:pPr>
            <w:r/>
            <w:r>
              <w:rPr>
                <w:sz w:val="17"/>
              </w:rPr>
              <w:t>Autocatalytic rate constant</w:t>
            </w:r>
          </w:p>
        </w:tc>
        <w:tc>
          <w:tcPr>
            <w:tcW w:type="dxa" w:w="1872"/>
          </w:tcPr>
          <w:p>
            <w:pPr>
              <w:spacing w:line="240" w:lineRule="auto" w:after="20"/>
            </w:pPr>
            <w:r/>
            <w:r>
              <w:rPr>
                <w:sz w:val="17"/>
              </w:rPr>
              <w:t>A</w:t>
            </w:r>
            <w:r>
              <w:rPr>
                <w:sz w:val="17"/>
                <w:vertAlign w:val="subscript"/>
              </w:rPr>
              <w:t>2</w:t>
            </w:r>
            <w:r>
              <w:rPr>
                <w:sz w:val="17"/>
              </w:rPr>
              <w:t>, E</w:t>
            </w:r>
            <w:r>
              <w:rPr>
                <w:sz w:val="17"/>
                <w:vertAlign w:val="subscript"/>
              </w:rPr>
              <w:t>2</w:t>
            </w:r>
          </w:p>
        </w:tc>
        <w:tc>
          <w:tcPr>
            <w:tcW w:type="dxa" w:w="3888"/>
          </w:tcPr>
          <w:p>
            <w:pPr>
              <w:spacing w:line="240" w:lineRule="auto" w:after="20"/>
            </w:pPr>
            <w:r/>
            <w:r>
              <w:rPr>
                <w:sz w:val="17"/>
              </w:rPr>
              <w:t>2.5 × 10</w:t>
            </w:r>
            <w:r>
              <w:rPr>
                <w:sz w:val="17"/>
                <w:vertAlign w:val="superscript"/>
              </w:rPr>
              <w:t>7</w:t>
            </w:r>
            <w:r>
              <w:rPr>
                <w:sz w:val="17"/>
              </w:rPr>
              <w:t xml:space="preserve"> min</w:t>
            </w:r>
            <w:r>
              <w:rPr>
                <w:sz w:val="17"/>
                <w:vertAlign w:val="superscript"/>
              </w:rPr>
              <w:t>−1</w:t>
            </w:r>
            <w:r>
              <w:rPr>
                <w:sz w:val="17"/>
              </w:rPr>
              <w:t>, 65 kJ mol</w:t>
            </w:r>
            <w:r>
              <w:rPr>
                <w:sz w:val="17"/>
                <w:vertAlign w:val="superscript"/>
              </w:rPr>
              <w:t>−1</w:t>
            </w:r>
          </w:p>
        </w:tc>
      </w:tr>
      <w:tr>
        <w:tc>
          <w:tcPr>
            <w:tcW w:type="dxa" w:w="3744"/>
          </w:tcPr>
          <w:p>
            <w:pPr>
              <w:spacing w:line="240" w:lineRule="auto" w:after="20"/>
            </w:pPr>
            <w:r/>
            <w:r>
              <w:rPr>
                <w:sz w:val="17"/>
              </w:rPr>
              <w:t>Reaction order</w:t>
            </w:r>
          </w:p>
        </w:tc>
        <w:tc>
          <w:tcPr>
            <w:tcW w:type="dxa" w:w="1872"/>
          </w:tcPr>
          <w:p>
            <w:pPr>
              <w:spacing w:line="240" w:lineRule="auto" w:after="20"/>
            </w:pPr>
            <w:r/>
            <w:r>
              <w:rPr>
                <w:sz w:val="17"/>
              </w:rPr>
              <w:t>n</w:t>
            </w:r>
          </w:p>
        </w:tc>
        <w:tc>
          <w:tcPr>
            <w:tcW w:type="dxa" w:w="3888"/>
          </w:tcPr>
          <w:p>
            <w:pPr>
              <w:spacing w:line="240" w:lineRule="auto" w:after="20"/>
            </w:pPr>
            <w:r/>
            <w:r>
              <w:rPr>
                <w:sz w:val="17"/>
              </w:rPr>
              <w:t>1.5 (1 and 2 where stated)</w:t>
            </w:r>
          </w:p>
        </w:tc>
      </w:tr>
      <w:tr>
        <w:tc>
          <w:tcPr>
            <w:tcW w:type="dxa" w:w="3744"/>
          </w:tcPr>
          <w:p>
            <w:pPr>
              <w:spacing w:line="240" w:lineRule="auto" w:after="20"/>
            </w:pPr>
            <w:r/>
            <w:r>
              <w:rPr>
                <w:sz w:val="17"/>
              </w:rPr>
              <w:t>Release rate constant</w:t>
            </w:r>
          </w:p>
        </w:tc>
        <w:tc>
          <w:tcPr>
            <w:tcW w:type="dxa" w:w="1872"/>
          </w:tcPr>
          <w:p>
            <w:pPr>
              <w:spacing w:line="240" w:lineRule="auto" w:after="20"/>
            </w:pPr>
            <w:r/>
            <w:r>
              <w:rPr>
                <w:sz w:val="17"/>
              </w:rPr>
              <w:t>A</w:t>
            </w:r>
            <w:r>
              <w:rPr>
                <w:sz w:val="17"/>
                <w:vertAlign w:val="subscript"/>
              </w:rPr>
              <w:t>rel</w:t>
            </w:r>
            <w:r>
              <w:rPr>
                <w:sz w:val="17"/>
              </w:rPr>
              <w:t>, E</w:t>
            </w:r>
            <w:r>
              <w:rPr>
                <w:sz w:val="17"/>
                <w:vertAlign w:val="subscript"/>
              </w:rPr>
              <w:t>rel</w:t>
            </w:r>
          </w:p>
        </w:tc>
        <w:tc>
          <w:tcPr>
            <w:tcW w:type="dxa" w:w="3888"/>
          </w:tcPr>
          <w:p>
            <w:pPr>
              <w:spacing w:line="240" w:lineRule="auto" w:after="20"/>
            </w:pPr>
            <w:r/>
            <w:r>
              <w:rPr>
                <w:sz w:val="17"/>
              </w:rPr>
              <w:t>6.4 × 10</w:t>
            </w:r>
            <w:r>
              <w:rPr>
                <w:sz w:val="17"/>
                <w:vertAlign w:val="superscript"/>
              </w:rPr>
              <w:t>6</w:t>
            </w:r>
            <w:r>
              <w:rPr>
                <w:sz w:val="17"/>
              </w:rPr>
              <w:t xml:space="preserve"> min</w:t>
            </w:r>
            <w:r>
              <w:rPr>
                <w:sz w:val="17"/>
                <w:vertAlign w:val="superscript"/>
              </w:rPr>
              <w:t>−1</w:t>
            </w:r>
            <w:r>
              <w:rPr>
                <w:sz w:val="17"/>
              </w:rPr>
              <w:t>, 60 kJ mol</w:t>
            </w:r>
            <w:r>
              <w:rPr>
                <w:sz w:val="17"/>
                <w:vertAlign w:val="superscript"/>
              </w:rPr>
              <w:t>−1</w:t>
            </w:r>
          </w:p>
        </w:tc>
      </w:tr>
      <w:tr>
        <w:tc>
          <w:tcPr>
            <w:tcW w:type="dxa" w:w="3744"/>
          </w:tcPr>
          <w:p>
            <w:pPr>
              <w:spacing w:line="240" w:lineRule="auto" w:after="20"/>
            </w:pPr>
            <w:r/>
            <w:r>
              <w:rPr>
                <w:sz w:val="17"/>
              </w:rPr>
              <w:t>Mean melting temperature, activation width</w:t>
            </w:r>
          </w:p>
        </w:tc>
        <w:tc>
          <w:tcPr>
            <w:tcW w:type="dxa" w:w="1872"/>
          </w:tcPr>
          <w:p>
            <w:pPr>
              <w:spacing w:line="240" w:lineRule="auto" w:after="20"/>
            </w:pPr>
            <w:r/>
            <w:r>
              <w:rPr>
                <w:sz w:val="17"/>
              </w:rPr>
              <w:t>T</w:t>
            </w:r>
            <w:r>
              <w:rPr>
                <w:sz w:val="17"/>
                <w:vertAlign w:val="subscript"/>
              </w:rPr>
              <w:t>m</w:t>
            </w:r>
            <w:r>
              <w:rPr>
                <w:sz w:val="17"/>
              </w:rPr>
              <w:t>, w</w:t>
            </w:r>
            <w:r>
              <w:rPr>
                <w:sz w:val="17"/>
                <w:vertAlign w:val="subscript"/>
              </w:rPr>
              <w:t>0</w:t>
            </w:r>
          </w:p>
        </w:tc>
        <w:tc>
          <w:tcPr>
            <w:tcW w:type="dxa" w:w="3888"/>
          </w:tcPr>
          <w:p>
            <w:pPr>
              <w:spacing w:line="240" w:lineRule="auto" w:after="20"/>
            </w:pPr>
            <w:r/>
            <w:r>
              <w:rPr>
                <w:sz w:val="17"/>
              </w:rPr>
              <w:t>118 °C, 0.5 °C</w:t>
            </w:r>
          </w:p>
        </w:tc>
      </w:tr>
      <w:tr>
        <w:tc>
          <w:tcPr>
            <w:tcW w:type="dxa" w:w="3744"/>
          </w:tcPr>
          <w:p>
            <w:pPr>
              <w:spacing w:line="240" w:lineRule="auto" w:after="20"/>
            </w:pPr>
            <w:r/>
            <w:r>
              <w:rPr>
                <w:sz w:val="17"/>
              </w:rPr>
              <w:t>Adiabatic rise, thermal time constant</w:t>
            </w:r>
          </w:p>
        </w:tc>
        <w:tc>
          <w:tcPr>
            <w:tcW w:type="dxa" w:w="1872"/>
          </w:tcPr>
          <w:p>
            <w:pPr>
              <w:spacing w:line="240" w:lineRule="auto" w:after="20"/>
            </w:pPr>
            <w:r/>
            <w:r>
              <w:rPr>
                <w:sz w:val="17"/>
              </w:rPr>
              <w:t>ΔT</w:t>
            </w:r>
            <w:r>
              <w:rPr>
                <w:sz w:val="17"/>
                <w:vertAlign w:val="subscript"/>
              </w:rPr>
              <w:t>ad</w:t>
            </w:r>
            <w:r>
              <w:rPr>
                <w:sz w:val="17"/>
              </w:rPr>
              <w:t>, τ</w:t>
            </w:r>
            <w:r>
              <w:rPr>
                <w:sz w:val="17"/>
                <w:vertAlign w:val="subscript"/>
              </w:rPr>
              <w:t>th</w:t>
            </w:r>
          </w:p>
        </w:tc>
        <w:tc>
          <w:tcPr>
            <w:tcW w:type="dxa" w:w="3888"/>
          </w:tcPr>
          <w:p>
            <w:pPr>
              <w:spacing w:line="240" w:lineRule="auto" w:after="20"/>
            </w:pPr>
            <w:r/>
            <w:r>
              <w:rPr>
                <w:sz w:val="17"/>
              </w:rPr>
              <w:t>220 K, varied (Section III D)</w:t>
            </w:r>
          </w:p>
        </w:tc>
      </w:tr>
      <w:tr>
        <w:tc>
          <w:tcPr>
            <w:tcW w:type="dxa" w:w="3744"/>
          </w:tcPr>
          <w:p>
            <w:pPr>
              <w:spacing w:line="240" w:lineRule="auto" w:after="20"/>
            </w:pPr>
            <w:r/>
            <w:r>
              <w:rPr>
                <w:sz w:val="17"/>
              </w:rPr>
              <w:t>Rate constants at 140 °C</w:t>
            </w:r>
          </w:p>
        </w:tc>
        <w:tc>
          <w:tcPr>
            <w:tcW w:type="dxa" w:w="1872"/>
          </w:tcPr>
          <w:p>
            <w:pPr>
              <w:spacing w:line="240" w:lineRule="auto" w:after="20"/>
            </w:pPr>
            <w:r/>
            <w:r>
              <w:rPr>
                <w:sz w:val="17"/>
              </w:rPr>
              <w:t>k</w:t>
            </w:r>
            <w:r>
              <w:rPr>
                <w:sz w:val="17"/>
                <w:vertAlign w:val="subscript"/>
              </w:rPr>
              <w:t>1</w:t>
            </w:r>
            <w:r>
              <w:rPr>
                <w:sz w:val="17"/>
              </w:rPr>
              <w:t>, k</w:t>
            </w:r>
            <w:r>
              <w:rPr>
                <w:sz w:val="17"/>
                <w:vertAlign w:val="subscript"/>
              </w:rPr>
              <w:t>2</w:t>
            </w:r>
            <w:r>
              <w:rPr>
                <w:sz w:val="17"/>
              </w:rPr>
              <w:t>, k</w:t>
            </w:r>
            <w:r>
              <w:rPr>
                <w:sz w:val="17"/>
                <w:vertAlign w:val="subscript"/>
              </w:rPr>
              <w:t>rel</w:t>
            </w:r>
          </w:p>
        </w:tc>
        <w:tc>
          <w:tcPr>
            <w:tcW w:type="dxa" w:w="3888"/>
          </w:tcPr>
          <w:p>
            <w:pPr>
              <w:spacing w:line="240" w:lineRule="auto" w:after="20"/>
            </w:pPr>
            <w:r/>
            <w:r>
              <w:rPr>
                <w:sz w:val="17"/>
              </w:rPr>
              <w:t>9.53e-04, 0.151, 0.166 min</w:t>
            </w:r>
            <w:r>
              <w:rPr>
                <w:sz w:val="17"/>
                <w:vertAlign w:val="superscript"/>
              </w:rPr>
              <w:t>−1</w:t>
            </w:r>
          </w:p>
        </w:tc>
      </w:tr>
    </w:tbl>
    <w:p>
      <w:pPr>
        <w:spacing w:after="40"/>
      </w:pPr>
    </w:p>
    <w:p>
      <w:pPr>
        <w:pStyle w:val="Heading2"/>
      </w:pPr>
      <w:r>
        <w:rPr>
          <w:rFonts w:ascii="Times New Roman" w:hAnsi="Times New Roman"/>
        </w:rPr>
        <w:t>B. Dimensionless groups and the exponential comparison model</w:t>
      </w:r>
    </w:p>
    <w:p>
      <w:pPr>
        <w:keepNext w:val="0"/>
        <w:jc w:val="both"/>
      </w:pPr>
      <w:r>
        <w:t>Define ε = k</w:t>
      </w:r>
      <w:r>
        <w:rPr>
          <w:vertAlign w:val="subscript"/>
        </w:rPr>
        <w:t>1</w:t>
      </w:r>
      <w:r>
        <w:t>/k</w:t>
      </w:r>
      <w:r>
        <w:rPr>
          <w:vertAlign w:val="subscript"/>
        </w:rPr>
        <w:t>2</w:t>
      </w:r>
      <w:r>
        <w:t>, the thermal number Θ = τ</w:t>
      </w:r>
      <w:r>
        <w:rPr>
          <w:vertAlign w:val="subscript"/>
        </w:rPr>
        <w:t>th</w:t>
      </w:r>
      <w:r>
        <w:t>k</w:t>
      </w:r>
      <w:r>
        <w:rPr>
          <w:vertAlign w:val="subscript"/>
        </w:rPr>
        <w:t>2</w:t>
      </w:r>
      <w:r>
        <w:t>(T</w:t>
      </w:r>
      <w:r>
        <w:rPr>
          <w:vertAlign w:val="subscript"/>
        </w:rPr>
        <w:t>∞</w:t>
      </w:r>
      <w:r>
        <w:t>), the reduced exothermicity ψ = ΔT</w:t>
      </w:r>
      <w:r>
        <w:rPr>
          <w:vertAlign w:val="subscript"/>
        </w:rPr>
        <w:t>ad</w:t>
      </w:r>
      <w:r>
        <w:t>E</w:t>
      </w:r>
      <w:r>
        <w:rPr>
          <w:vertAlign w:val="subscript"/>
        </w:rPr>
        <w:t>2</w:t>
      </w:r>
      <w:r>
        <w:t>/(RT</w:t>
      </w:r>
      <w:r>
        <w:rPr>
          <w:vertAlign w:val="subscript"/>
        </w:rPr>
        <w:t>∞</w:t>
      </w:r>
      <w:r>
        <w:rPr>
          <w:vertAlign w:val="superscript"/>
        </w:rPr>
        <w:t>2</w:t>
      </w:r>
      <w:r>
        <w:t>), the activation number Ar = E</w:t>
      </w:r>
      <w:r>
        <w:rPr>
          <w:vertAlign w:val="subscript"/>
        </w:rPr>
        <w:t>2</w:t>
      </w:r>
      <w:r>
        <w:t>/(RT</w:t>
      </w:r>
      <w:r>
        <w:rPr>
          <w:vertAlign w:val="subscript"/>
        </w:rPr>
        <w:t>∞</w:t>
      </w:r>
      <w:r>
        <w:t>) and the release number Λ = k</w:t>
      </w:r>
      <w:r>
        <w:rPr>
          <w:vertAlign w:val="subscript"/>
        </w:rPr>
        <w:t>2</w:t>
      </w:r>
      <w:r>
        <w:t>/k</w:t>
      </w:r>
      <w:r>
        <w:rPr>
          <w:vertAlign w:val="subscript"/>
        </w:rPr>
        <w:t>rel</w:t>
      </w:r>
      <w:r>
        <w:t>. The combination that controls thermal feedback is</w:t>
      </w:r>
    </w:p>
    <w:p>
      <w:pPr>
        <w:keepLines/>
        <w:tabs>
          <w:tab w:pos="4680" w:val="center"/>
          <w:tab w:pos="9360" w:val="right"/>
        </w:tabs>
        <w:spacing w:before="120" w:after="120"/>
      </w:pPr>
      <w:r>
        <w:tab/>
      </w:r>
      <m:oMath>
        <m:r>
          <m:rPr>
            <m:nor/>
          </m:rPr>
          <w:rPr>
            <w:rFonts w:ascii="Cambria Math" w:hAnsi="Cambria Math"/>
            <w:i w:val="0"/>
          </w:rPr>
          <m:t xml:space="preserve">Π</m:t>
        </m:r>
        <m:r>
          <m:rPr>
            <m:nor/>
          </m:rPr>
          <w:rPr>
            <w:rFonts w:ascii="Cambria Math" w:hAnsi="Cambria Math"/>
            <w:i w:val="0"/>
          </w:rPr>
          <m:t xml:space="preserve"> = </m:t>
        </m:r>
        <m:r>
          <m:rPr>
            <m:nor/>
          </m:rPr>
          <w:rPr>
            <w:rFonts w:ascii="Cambria Math" w:hAnsi="Cambria Math"/>
            <w:i w:val="0"/>
          </w:rPr>
          <m:t xml:space="preserve">ψ</m:t>
        </m:r>
        <m:r>
          <m:rPr>
            <m:nor/>
          </m:rPr>
          <w:rPr>
            <w:rFonts w:ascii="Cambria Math" w:hAnsi="Cambria Math"/>
            <w:i w:val="0"/>
          </w:rPr>
          <m:t xml:space="preserve">Θ</m:t>
        </m:r>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ΔT</m:t>
                </m:r>
              </m:e>
              <m:sub>
                <m:r>
                  <m:rPr>
                    <m:nor/>
                  </m:rPr>
                  <w:rPr>
                    <w:rFonts w:ascii="Cambria Math" w:hAnsi="Cambria Math"/>
                    <w:i w:val="0"/>
                  </w:rPr>
                  <m:t xml:space="preserve">ad</m:t>
                </m:r>
              </m:sub>
            </m:sSub>
            <m:sSub>
              <m:sSubPr>
                <m:ctrlPr>
                  <w:rPr>
                    <w:rFonts w:ascii="Cambria Math" w:hAnsi="Cambria Math"/>
                    <w:i/>
                  </w:rPr>
                </m:ctrlPr>
              </m:sSubPr>
              <m:e>
                <m:r>
                  <m:rPr>
                    <m:sty m:val="i"/>
                  </m:rPr>
                  <w:rPr>
                    <w:rFonts w:ascii="Cambria Math" w:hAnsi="Cambria Math"/>
                    <w:i/>
                  </w:rPr>
                  <m:t xml:space="preserve">E</m:t>
                </m:r>
              </m:e>
              <m:sub>
                <m:r>
                  <m:rPr>
                    <m:nor/>
                  </m:rPr>
                  <w:rPr>
                    <w:rFonts w:ascii="Cambria Math" w:hAnsi="Cambria Math"/>
                    <w:i w:val="0"/>
                  </w:rPr>
                  <m:t xml:space="preserve">2</m:t>
                </m:r>
              </m:sub>
            </m:sSub>
            <m:sSub>
              <m:sSubPr>
                <m:ctrlPr>
                  <w:rPr>
                    <w:rFonts w:ascii="Cambria Math" w:hAnsi="Cambria Math"/>
                    <w:i/>
                  </w:rPr>
                </m:ctrlPr>
              </m:sSubPr>
              <m:e>
                <m:r>
                  <m:rPr>
                    <m:sty m:val="i"/>
                  </m:rPr>
                  <w:rPr>
                    <w:rFonts w:ascii="Cambria Math" w:hAnsi="Cambria Math"/>
                    <w:i/>
                  </w:rPr>
                  <m:t xml:space="preserve">τ</m:t>
                </m:r>
              </m:e>
              <m:sub>
                <m:r>
                  <m:rPr>
                    <m:nor/>
                  </m:rPr>
                  <w:rPr>
                    <w:rFonts w:ascii="Cambria Math" w:hAnsi="Cambria Math"/>
                    <w:i w:val="0"/>
                  </w:rPr>
                  <m:t xml:space="preserve">th</m:t>
                </m:r>
              </m:sub>
            </m:sSub>
            <m:sSub>
              <m:sSubPr>
                <m:ctrlPr>
                  <w:rPr>
                    <w:rFonts w:ascii="Cambria Math" w:hAnsi="Cambria Math"/>
                    <w:i/>
                  </w:rPr>
                </m:ctrlPr>
              </m:sSubPr>
              <m:e>
                <m:r>
                  <m:rPr>
                    <m:sty m:val="i"/>
                  </m:rPr>
                  <w:rPr>
                    <w:rFonts w:ascii="Cambria Math" w:hAnsi="Cambria Math"/>
                    <w:i/>
                  </w:rPr>
                  <m:t xml:space="preserve">k</m:t>
                </m:r>
              </m:e>
              <m:sub>
                <m:r>
                  <m:rPr>
                    <m:nor/>
                  </m:rPr>
                  <w:rPr>
                    <w:rFonts w:ascii="Cambria Math" w:hAnsi="Cambria Math"/>
                    <w:i w:val="0"/>
                  </w:rPr>
                  <m:t xml:space="preserve">2</m:t>
                </m:r>
              </m:sub>
            </m:sSub>
          </m:num>
          <m:den>
            <m:r>
              <m:rPr>
                <m:sty m:val="i"/>
              </m:rPr>
              <w:rPr>
                <w:rFonts w:ascii="Cambria Math" w:hAnsi="Cambria Math"/>
                <w:i/>
              </w:rPr>
              <m:t xml:space="preserve">R</m:t>
            </m:r>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m:t>
                    </m:r>
                  </m:sub>
                </m:sSub>
              </m:e>
              <m:sup>
                <m:r>
                  <m:rPr>
                    <m:nor/>
                  </m:rPr>
                  <w:rPr>
                    <w:rFonts w:ascii="Cambria Math" w:hAnsi="Cambria Math"/>
                    <w:i w:val="0"/>
                  </w:rPr>
                  <m:t xml:space="preserve">2</m:t>
                </m:r>
              </m:sup>
            </m:sSup>
          </m:den>
        </m:f>
        <m:r>
          <m:rPr>
            <m:nor/>
          </m:rPr>
          <w:rPr>
            <w:rFonts w:ascii="Cambria Math" w:hAnsi="Cambria Math"/>
            <w:i w:val="0"/>
          </w:rPr>
          <m:t xml:space="preserve">.</m:t>
        </m:r>
      </m:oMath>
      <w:r>
        <w:tab/>
        <w:t xml:space="preserve">(4)</w:t>
      </w:r>
    </w:p>
    <w:p>
      <w:pPr>
        <w:keepNext w:val="0"/>
        <w:jc w:val="both"/>
      </w:pPr>
      <w:r>
        <w:t xml:space="preserve">The </w:t>
      </w:r>
      <w:r>
        <w:rPr>
          <w:i/>
        </w:rPr>
        <w:t>exponential comparison model</w:t>
      </w:r>
      <w:r>
        <w:t xml:space="preserve"> used in Sections III D and III E replaces the Arrhenius dependence of both rate constants by the common Frank-Kamenetskii form k</w:t>
      </w:r>
      <w:r>
        <w:rPr>
          <w:vertAlign w:val="subscript"/>
        </w:rPr>
        <w:t>j</w:t>
      </w:r>
      <w:r>
        <w:t>(T) = k</w:t>
      </w:r>
      <w:r>
        <w:rPr>
          <w:vertAlign w:val="subscript"/>
        </w:rPr>
        <w:t>j</w:t>
      </w:r>
      <w:r>
        <w:t>(T</w:t>
      </w:r>
      <w:r>
        <w:rPr>
          <w:vertAlign w:val="subscript"/>
        </w:rPr>
        <w:t>∞</w:t>
      </w:r>
      <w:r>
        <w:t>) exp(ψθ), θ = (T − T</w:t>
      </w:r>
      <w:r>
        <w:rPr>
          <w:vertAlign w:val="subscript"/>
        </w:rPr>
        <w:t>∞</w:t>
      </w:r>
      <w:r>
        <w:t>)/ΔT</w:t>
      </w:r>
      <w:r>
        <w:rPr>
          <w:vertAlign w:val="subscript"/>
        </w:rPr>
        <w:t>ad</w:t>
      </w:r>
      <w:r>
        <w:t>, and treats ε as a constant. This is exact when the activation energies are equal and is a good description of the rate near the fold when the background term is negligible there: the fold occurs at conversions of order 0.4, where the autocatalytic term (α ≈ 0.4) exceeds the background term (ε = 3 × 10</w:t>
      </w:r>
      <w:r>
        <w:rPr>
          <w:vertAlign w:val="superscript"/>
        </w:rPr>
        <w:t>−3</w:t>
      </w:r>
      <w:r>
        <w:t>) by two orders of magnitude, so the different activation energy of k</w:t>
      </w:r>
      <w:r>
        <w:rPr>
          <w:vertAlign w:val="subscript"/>
        </w:rPr>
        <w:t>1</w:t>
      </w:r>
      <w:r>
        <w:t xml:space="preserve"> (50 against 65 kJ mol</w:t>
      </w:r>
      <w:r>
        <w:rPr>
          <w:vertAlign w:val="superscript"/>
        </w:rPr>
        <w:t>−1</w:t>
      </w:r>
      <w:r>
        <w:t xml:space="preserve">) matters little. The </w:t>
      </w:r>
      <w:r>
        <w:rPr>
          <w:i/>
        </w:rPr>
        <w:t>Arrhenius simulations</w:t>
      </w:r>
      <w:r>
        <w:t xml:space="preserve"> of Sections III D (Table 5) do not use this simplification: both k</w:t>
      </w:r>
      <w:r>
        <w:rPr>
          <w:vertAlign w:val="subscript"/>
        </w:rPr>
        <w:t>1</w:t>
      </w:r>
      <w:r>
        <w:t>(T) and k</w:t>
      </w:r>
      <w:r>
        <w:rPr>
          <w:vertAlign w:val="subscript"/>
        </w:rPr>
        <w:t>2</w:t>
      </w:r>
      <w:r>
        <w:t>(T) follow their own Arrhenius law and ε = k</w:t>
      </w:r>
      <w:r>
        <w:rPr>
          <w:vertAlign w:val="subscript"/>
        </w:rPr>
        <w:t>1</w:t>
      </w:r>
      <w:r>
        <w:t>/k</w:t>
      </w:r>
      <w:r>
        <w:rPr>
          <w:vertAlign w:val="subscript"/>
        </w:rPr>
        <w:t>2</w:t>
      </w:r>
      <w:r>
        <w:t xml:space="preserve"> is evaluated at T</w:t>
      </w:r>
      <w:r>
        <w:rPr>
          <w:vertAlign w:val="subscript"/>
        </w:rPr>
        <w:t>∞</w:t>
      </w:r>
      <w:r>
        <w:t>.</w:t>
      </w:r>
    </w:p>
    <w:p>
      <w:pPr>
        <w:pStyle w:val="Heading2"/>
      </w:pPr>
      <w:r>
        <w:rPr>
          <w:rFonts w:ascii="Times New Roman" w:hAnsi="Times New Roman"/>
        </w:rPr>
        <w:t>C. Computation and use of AI assistance</w:t>
      </w:r>
    </w:p>
    <w:p>
      <w:pPr>
        <w:keepNext w:val="0"/>
        <w:jc w:val="both"/>
      </w:pPr>
      <w:r>
        <w:t>All numerical results are produced by the released scripts (run_all.py writes results.json; every number in the text is read from it, none is typed by hand), with the reference integrator, solver settings and protocols given in Appendix A. The model code, the closed-form module, the tests, the figure scripts and a first draft of the text were produced with the assistance of Claude Sonnet 5.5 (model identifier claude-sonnet-5-5; Anthropic), used through the Claude Code command-line environment on the author's computer, because the author is an independent researcher without a computational group. The assistant wrote and ran code, drafted derivations and checked algebra; closed forms were verified against independent numerical integration by the test suite (code/test_theory.py) and by the comparisons reported in Section III, and every journal reference was resolved through Crossref. The assistant did not enter or alter any numerical result by hand. The author is responsible for the content.</w:t>
      </w:r>
    </w:p>
    <w:p>
      <w:pPr>
        <w:pStyle w:val="Heading1"/>
      </w:pPr>
      <w:r>
        <w:rPr>
          <w:rFonts w:ascii="Times New Roman" w:hAnsi="Times New Roman"/>
        </w:rPr>
        <w:t>III. Results</w:t>
      </w:r>
    </w:p>
    <w:p>
      <w:pPr>
        <w:pStyle w:val="Heading2"/>
      </w:pPr>
      <w:r>
        <w:rPr>
          <w:rFonts w:ascii="Times New Roman" w:hAnsi="Times New Roman"/>
        </w:rPr>
        <w:t>A. Proposition 1: the gated cure runs on the clock of integrated availability</w:t>
      </w:r>
    </w:p>
    <w:p>
      <w:pPr>
        <w:keepNext w:val="0"/>
        <w:jc w:val="both"/>
      </w:pPr>
      <w:r>
        <w:rPr>
          <w:b/>
        </w:rPr>
        <w:t>Proposition 1.</w:t>
      </w:r>
      <w:r>
        <w:t xml:space="preserve"> At constant temperature, with α(0) = 0 and C</w:t>
      </w:r>
      <w:r>
        <w:rPr>
          <w:vertAlign w:val="subscript"/>
        </w:rPr>
        <w:t>i</w:t>
      </w:r>
      <w:r>
        <w:t>(0) = 0, let F(α) = (k</w:t>
      </w:r>
      <w:r>
        <w:rPr>
          <w:vertAlign w:val="subscript"/>
        </w:rPr>
        <w:t>1</w:t>
      </w:r>
      <w:r>
        <w:t xml:space="preserve"> + k</w:t>
      </w:r>
      <w:r>
        <w:rPr>
          <w:vertAlign w:val="subscript"/>
        </w:rPr>
        <w:t>2</w:t>
      </w:r>
      <w:r>
        <w:t>α)(1 − α)</w:t>
      </w:r>
      <w:r>
        <w:rPr>
          <w:vertAlign w:val="superscript"/>
        </w:rPr>
        <w:t>n</w:t>
      </w:r>
      <w:r>
        <w:t>. Then the gated conversion obeys</w:t>
      </w:r>
    </w:p>
    <w:p>
      <w:pPr>
        <w:keepLines/>
        <w:tabs>
          <w:tab w:pos="4680" w:val="center"/>
          <w:tab w:pos="9360" w:val="right"/>
        </w:tabs>
        <w:spacing w:before="120" w:after="120"/>
      </w:pPr>
      <w:r>
        <w:tab/>
      </w:r>
      <m:oMath>
        <m:sSubSup>
          <m:sSubSupPr>
            <m:ctrlPr>
              <w:rPr>
                <w:rFonts w:ascii="Cambria Math" w:hAnsi="Cambria Math"/>
                <w:i/>
              </w:rPr>
            </m:ctrlPr>
          </m:sSubSupPr>
          <m:e>
            <m:r>
              <m:rPr>
                <m:nor/>
              </m:rPr>
              <w:rPr>
                <w:rFonts w:ascii="Cambria Math" w:hAnsi="Cambria Math"/>
                <w:i w:val="0"/>
              </w:rPr>
              <m:t xml:space="preserve">∫</m:t>
            </m:r>
          </m:e>
          <m:sub>
            <m:r>
              <m:rPr>
                <m:nor/>
              </m:rPr>
              <w:rPr>
                <w:rFonts w:ascii="Cambria Math" w:hAnsi="Cambria Math"/>
                <w:i w:val="0"/>
              </w:rPr>
              <m:t xml:space="preserve">0</m:t>
            </m:r>
          </m:sub>
          <m:sup>
            <m:r>
              <m:rPr>
                <m:sty m:val="i"/>
              </m:rPr>
              <w:rPr>
                <w:rFonts w:ascii="Cambria Math" w:hAnsi="Cambria Math"/>
                <w:i/>
              </w:rPr>
              <m:t xml:space="preserve">α</m:t>
            </m:r>
          </m:sup>
        </m:sSubSup>
        <m:f>
          <m:fPr>
            <m:ctrlPr>
              <w:rPr>
                <w:rFonts w:ascii="Cambria Math" w:hAnsi="Cambria Math"/>
                <w:i/>
              </w:rPr>
            </m:ctrlPr>
          </m:fPr>
          <m:num>
            <m:r>
              <m:rPr>
                <m:sty m:val="i"/>
              </m:rPr>
              <w:rPr>
                <w:rFonts w:ascii="Cambria Math" w:hAnsi="Cambria Math"/>
                <w:i/>
              </w:rPr>
              <m:t xml:space="preserve">dx</m:t>
            </m:r>
          </m:num>
          <m:den>
            <m:r>
              <m:rPr>
                <m:sty m:val="i"/>
              </m:rPr>
              <w:rPr>
                <w:rFonts w:ascii="Cambria Math" w:hAnsi="Cambria Math"/>
                <w:i/>
              </w:rPr>
              <m:t xml:space="preserve">F</m:t>
            </m:r>
            <m:d>
              <m:dPr>
                <m:begChr m:val="("/>
                <m:endChr m:val=")"/>
                <m:ctrlPr>
                  <w:rPr>
                    <w:rFonts w:ascii="Cambria Math" w:hAnsi="Cambria Math"/>
                    <w:i/>
                  </w:rPr>
                </m:ctrlPr>
              </m:dPr>
              <m:e>
                <m:r>
                  <m:rPr>
                    <m:sty m:val="i"/>
                  </m:rPr>
                  <w:rPr>
                    <w:rFonts w:ascii="Cambria Math" w:hAnsi="Cambria Math"/>
                    <w:i/>
                  </w:rPr>
                  <m:t xml:space="preserve">x</m:t>
                </m:r>
              </m:e>
            </m:d>
          </m:den>
        </m:f>
        <m:r>
          <m:rPr>
            <m:nor/>
          </m:rPr>
          <w:rPr>
            <w:rFonts w:ascii="Cambria Math" w:hAnsi="Cambria Math"/>
            <w:i w:val="0"/>
          </w:rPr>
          <m:t xml:space="preserve"> = </m:t>
        </m:r>
        <m:r>
          <m:rPr>
            <m:sty m:val="i"/>
          </m:rPr>
          <w:rPr>
            <w:rFonts w:ascii="Cambria Math" w:hAnsi="Cambria Math"/>
            <w:i/>
          </w:rPr>
          <m:t xml:space="preserve">s</m:t>
        </m:r>
        <m:d>
          <m:dPr>
            <m:begChr m:val="("/>
            <m:endChr m:val=")"/>
            <m:ctrlPr>
              <w:rPr>
                <w:rFonts w:ascii="Cambria Math" w:hAnsi="Cambria Math"/>
                <w:i/>
              </w:rPr>
            </m:ctrlPr>
          </m:dPr>
          <m:e>
            <m:r>
              <m:rPr>
                <m:sty m:val="i"/>
              </m:rPr>
              <w:rPr>
                <w:rFonts w:ascii="Cambria Math" w:hAnsi="Cambria Math"/>
                <w:i/>
              </w:rPr>
              <m:t xml:space="preserve">t</m:t>
            </m:r>
          </m:e>
        </m:d>
        <m:r>
          <m:rPr>
            <m:nor/>
          </m:rPr>
          <w:rPr>
            <w:rFonts w:ascii="Cambria Math" w:hAnsi="Cambria Math"/>
            <w:i w:val="0"/>
          </w:rPr>
          <m:t xml:space="preserve">,   </m:t>
        </m:r>
        <m:r>
          <m:rPr>
            <m:sty m:val="i"/>
          </m:rPr>
          <w:rPr>
            <w:rFonts w:ascii="Cambria Math" w:hAnsi="Cambria Math"/>
            <w:i/>
          </w:rPr>
          <m:t xml:space="preserve">s</m:t>
        </m:r>
        <m:d>
          <m:dPr>
            <m:begChr m:val="("/>
            <m:endChr m:val=")"/>
            <m:ctrlPr>
              <w:rPr>
                <w:rFonts w:ascii="Cambria Math" w:hAnsi="Cambria Math"/>
                <w:i/>
              </w:rPr>
            </m:ctrlPr>
          </m:dPr>
          <m:e>
            <m:r>
              <m:rPr>
                <m:sty m:val="i"/>
              </m:rPr>
              <w:rPr>
                <w:rFonts w:ascii="Cambria Math" w:hAnsi="Cambria Math"/>
                <w:i/>
              </w:rPr>
              <m:t xml:space="preserve">t</m:t>
            </m:r>
          </m:e>
        </m:d>
        <m:r>
          <m:rPr>
            <m:nor/>
          </m:rPr>
          <w:rPr>
            <w:rFonts w:ascii="Cambria Math" w:hAnsi="Cambria Math"/>
            <w:i w:val="0"/>
          </w:rPr>
          <m:t xml:space="preserve"> = </m:t>
        </m:r>
        <m:sSubSup>
          <m:sSubSupPr>
            <m:ctrlPr>
              <w:rPr>
                <w:rFonts w:ascii="Cambria Math" w:hAnsi="Cambria Math"/>
                <w:i/>
              </w:rPr>
            </m:ctrlPr>
          </m:sSubSupPr>
          <m:e>
            <m:r>
              <m:rPr>
                <m:nor/>
              </m:rPr>
              <w:rPr>
                <w:rFonts w:ascii="Cambria Math" w:hAnsi="Cambria Math"/>
                <w:i w:val="0"/>
              </w:rPr>
              <m:t xml:space="preserve">∫</m:t>
            </m:r>
          </m:e>
          <m:sub>
            <m:r>
              <m:rPr>
                <m:nor/>
              </m:rPr>
              <w:rPr>
                <w:rFonts w:ascii="Cambria Math" w:hAnsi="Cambria Math"/>
                <w:i w:val="0"/>
              </w:rPr>
              <m:t xml:space="preserve">0</m:t>
            </m:r>
          </m:sub>
          <m:sup>
            <m:r>
              <m:rPr>
                <m:sty m:val="i"/>
              </m:rPr>
              <w:rPr>
                <w:rFonts w:ascii="Cambria Math" w:hAnsi="Cambria Math"/>
                <w:i/>
              </w:rPr>
              <m:t xml:space="preserve">t</m:t>
            </m:r>
          </m:sup>
        </m:sSubSup>
        <m:d>
          <m:dPr>
            <m:begChr m:val="⟨"/>
            <m:endChr m:val="⟩"/>
            <m:ctrlPr>
              <w:rPr>
                <w:rFonts w:ascii="Cambria Math" w:hAnsi="Cambria Math"/>
                <w:i/>
              </w:rPr>
            </m:ctrlPr>
          </m:dPr>
          <m:e>
            <m:r>
              <m:rPr>
                <m:sty m:val="i"/>
              </m:rPr>
              <w:rPr>
                <w:rFonts w:ascii="Cambria Math" w:hAnsi="Cambria Math"/>
                <w:i/>
              </w:rPr>
              <m:t xml:space="preserve">C</m:t>
            </m:r>
          </m:e>
        </m:d>
        <m:d>
          <m:dPr>
            <m:begChr m:val="("/>
            <m:endChr m:val=")"/>
            <m:ctrlPr>
              <w:rPr>
                <w:rFonts w:ascii="Cambria Math" w:hAnsi="Cambria Math"/>
                <w:i/>
              </w:rPr>
            </m:ctrlPr>
          </m:dPr>
          <m:e>
            <m:r>
              <m:rPr>
                <m:sty m:val="i"/>
              </m:rPr>
              <w:rPr>
                <w:rFonts w:ascii="Cambria Math" w:hAnsi="Cambria Math"/>
                <w:i/>
              </w:rPr>
              <m:t xml:space="preserve">t′</m:t>
            </m:r>
          </m:e>
        </m:d>
        <m:r>
          <m:rPr>
            <m:sty m:val="i"/>
          </m:rPr>
          <w:rPr>
            <w:rFonts w:ascii="Cambria Math" w:hAnsi="Cambria Math"/>
            <w:i/>
          </w:rPr>
          <m:t xml:space="preserve">dt′</m:t>
        </m:r>
        <m:r>
          <m:rPr>
            <m:nor/>
          </m:rPr>
          <w:rPr>
            <w:rFonts w:ascii="Cambria Math" w:hAnsi="Cambria Math"/>
            <w:i w:val="0"/>
          </w:rPr>
          <m:t xml:space="preserve">.</m:t>
        </m:r>
      </m:oMath>
      <w:r>
        <w:tab/>
        <w:t xml:space="preserve">(5)</w:t>
      </w:r>
    </w:p>
    <w:p>
      <w:pPr>
        <w:keepNext w:val="0"/>
        <w:jc w:val="both"/>
      </w:pPr>
      <w:r>
        <w:rPr>
          <w:i/>
        </w:rPr>
        <w:t>Proof.</w:t>
      </w:r>
      <w:r>
        <w:t xml:space="preserve"> With T constant, dα/dt = ⟨C⟩(t)F(α) is separable: dα/F(α) = ⟨C⟩dt. Integration from the initial state gives the identity. ∎ This is the generalized-time identity [17] with the integrated availability as the clock. The left side is the isothermal time t</w:t>
      </w:r>
      <w:r>
        <w:rPr>
          <w:vertAlign w:val="subscript"/>
        </w:rPr>
        <w:t>iso</w:t>
      </w:r>
      <w:r>
        <w:t>(α) of the ungated resin, so the gated time to reach α is the time at which s(t) = t</w:t>
      </w:r>
      <w:r>
        <w:rPr>
          <w:vertAlign w:val="subscript"/>
        </w:rPr>
        <w:t>iso</w:t>
      </w:r>
      <w:r>
        <w:t>(α). For a population that is fully open at the operating temperature, ⟨C⟩ = 1 − exp(−t/τ</w:t>
      </w:r>
      <w:r>
        <w:rPr>
          <w:vertAlign w:val="subscript"/>
        </w:rPr>
        <w:t>rel</w:t>
      </w:r>
      <w:r>
        <w:t>) with τ</w:t>
      </w:r>
      <w:r>
        <w:rPr>
          <w:vertAlign w:val="subscript"/>
        </w:rPr>
        <w:t>rel</w:t>
      </w:r>
      <w:r>
        <w:t xml:space="preserve"> = 1/k</w:t>
      </w:r>
      <w:r>
        <w:rPr>
          <w:vertAlign w:val="subscript"/>
        </w:rPr>
        <w:t>rel</w:t>
      </w:r>
      <w:r>
        <w:t>, so s(t) = t − τ</w:t>
      </w:r>
      <w:r>
        <w:rPr>
          <w:vertAlign w:val="subscript"/>
        </w:rPr>
        <w:t>rel</w:t>
      </w:r>
      <w:r>
        <w:t>[1 − exp(−t/τ</w:t>
      </w:r>
      <w:r>
        <w:rPr>
          <w:vertAlign w:val="subscript"/>
        </w:rPr>
        <w:t>rel</w:t>
      </w:r>
      <w:r>
        <w:t>)] and</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gated</m:t>
            </m:r>
          </m:sub>
        </m:sSub>
        <m:d>
          <m:dPr>
            <m:begChr m:val="("/>
            <m:endChr m:val=")"/>
            <m:ctrlPr>
              <w:rPr>
                <w:rFonts w:ascii="Cambria Math" w:hAnsi="Cambria Math"/>
                <w:i/>
              </w:rPr>
            </m:ctrlPr>
          </m:dPr>
          <m:e>
            <m:r>
              <m:rPr>
                <m:sty m:val="i"/>
              </m:rPr>
              <w:rPr>
                <w:rFonts w:ascii="Cambria Math" w:hAnsi="Cambria Math"/>
                <w:i/>
              </w:rPr>
              <m:t xml:space="preserve">α</m:t>
            </m:r>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iso</m:t>
            </m:r>
          </m:sub>
        </m:sSub>
        <m:d>
          <m:dPr>
            <m:begChr m:val="("/>
            <m:endChr m:val=")"/>
            <m:ctrlPr>
              <w:rPr>
                <w:rFonts w:ascii="Cambria Math" w:hAnsi="Cambria Math"/>
                <w:i/>
              </w:rPr>
            </m:ctrlPr>
          </m:dPr>
          <m:e>
            <m:r>
              <m:rPr>
                <m:sty m:val="i"/>
              </m:rPr>
              <w:rPr>
                <w:rFonts w:ascii="Cambria Math" w:hAnsi="Cambria Math"/>
                <w:i/>
              </w:rPr>
              <m:t xml:space="preserve">α</m:t>
            </m:r>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τ</m:t>
            </m:r>
          </m:e>
          <m:sub>
            <m:r>
              <m:rPr>
                <m:nor/>
              </m:rPr>
              <w:rPr>
                <w:rFonts w:ascii="Cambria Math" w:hAnsi="Cambria Math"/>
                <w:i w:val="0"/>
              </w:rPr>
              <m:t xml:space="preserve">rel</m:t>
            </m:r>
          </m:sub>
        </m:sSub>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nor/>
              </m:rPr>
              <w:rPr>
                <w:rFonts w:ascii="Cambria Math" w:hAnsi="Cambria Math"/>
                <w:i w:val="0"/>
              </w:rPr>
              <m:t xml:space="preserve">exp</m:t>
            </m:r>
            <m:d>
              <m:dPr>
                <m:begChr m:val="("/>
                <m:endChr m:val=")"/>
                <m:ctrlPr>
                  <w:rPr>
                    <w:rFonts w:ascii="Cambria Math" w:hAnsi="Cambria Math"/>
                    <w:i/>
                  </w:rPr>
                </m:ctrlPr>
              </m:dPr>
              <m:e>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gated</m:t>
                        </m:r>
                      </m:sub>
                    </m:sSub>
                    <m:d>
                      <m:dPr>
                        <m:begChr m:val="("/>
                        <m:endChr m:val=")"/>
                        <m:ctrlPr>
                          <w:rPr>
                            <w:rFonts w:ascii="Cambria Math" w:hAnsi="Cambria Math"/>
                            <w:i/>
                          </w:rPr>
                        </m:ctrlPr>
                      </m:dPr>
                      <m:e>
                        <m:r>
                          <m:rPr>
                            <m:sty m:val="i"/>
                          </m:rPr>
                          <w:rPr>
                            <w:rFonts w:ascii="Cambria Math" w:hAnsi="Cambria Math"/>
                            <w:i/>
                          </w:rPr>
                          <m:t xml:space="preserve">α</m:t>
                        </m:r>
                      </m:e>
                    </m:d>
                  </m:num>
                  <m:den>
                    <m:sSub>
                      <m:sSubPr>
                        <m:ctrlPr>
                          <w:rPr>
                            <w:rFonts w:ascii="Cambria Math" w:hAnsi="Cambria Math"/>
                            <w:i/>
                          </w:rPr>
                        </m:ctrlPr>
                      </m:sSubPr>
                      <m:e>
                        <m:r>
                          <m:rPr>
                            <m:sty m:val="i"/>
                          </m:rPr>
                          <w:rPr>
                            <w:rFonts w:ascii="Cambria Math" w:hAnsi="Cambria Math"/>
                            <w:i/>
                          </w:rPr>
                          <m:t xml:space="preserve">τ</m:t>
                        </m:r>
                      </m:e>
                      <m:sub>
                        <m:r>
                          <m:rPr>
                            <m:nor/>
                          </m:rPr>
                          <w:rPr>
                            <w:rFonts w:ascii="Cambria Math" w:hAnsi="Cambria Math"/>
                            <w:i w:val="0"/>
                          </w:rPr>
                          <m:t xml:space="preserve">rel</m:t>
                        </m:r>
                      </m:sub>
                    </m:sSub>
                  </m:den>
                </m:f>
              </m:e>
            </m:d>
          </m:e>
        </m:d>
        <m:r>
          <m:rPr>
            <m:nor/>
          </m:rPr>
          <w:rPr>
            <w:rFonts w:ascii="Cambria Math" w:hAnsi="Cambria Math"/>
            <w:i w:val="0"/>
          </w:rPr>
          <m:t xml:space="preserve">.</m:t>
        </m:r>
      </m:oMath>
      <w:r>
        <w:tab/>
        <w:t xml:space="preserve">(6)</w:t>
      </w:r>
    </w:p>
    <w:p>
      <w:pPr>
        <w:keepNext w:val="0"/>
        <w:jc w:val="both"/>
      </w:pPr>
      <w:r>
        <w:t>The delay is therefore conversion dependent: it lies between 0 and τ</w:t>
      </w:r>
      <w:r>
        <w:rPr>
          <w:vertAlign w:val="subscript"/>
        </w:rPr>
        <w:t>rel</w:t>
      </w:r>
      <w:r>
        <w:t xml:space="preserve"> and approaches τ</w:t>
      </w:r>
      <w:r>
        <w:rPr>
          <w:vertAlign w:val="subscript"/>
        </w:rPr>
        <w:t>rel</w:t>
      </w:r>
      <w:r>
        <w:t xml:space="preserve"> only when t</w:t>
      </w:r>
      <w:r>
        <w:rPr>
          <w:vertAlign w:val="subscript"/>
        </w:rPr>
        <w:t>gated</w:t>
      </w:r>
      <w:r>
        <w:t xml:space="preserve"> ≫ τ</w:t>
      </w:r>
      <w:r>
        <w:rPr>
          <w:vertAlign w:val="subscript"/>
        </w:rPr>
        <w:t>rel</w:t>
      </w:r>
      <w:r>
        <w:t>. The fractional deficit from τ</w:t>
      </w:r>
      <w:r>
        <w:rPr>
          <w:vertAlign w:val="subscript"/>
        </w:rPr>
        <w:t>rel</w:t>
      </w:r>
      <w:r>
        <w:t xml:space="preserve"> is below 1 % when t</w:t>
      </w:r>
      <w:r>
        <w:rPr>
          <w:vertAlign w:val="subscript"/>
        </w:rPr>
        <w:t>gated</w:t>
      </w:r>
      <w:r>
        <w:t>/τ</w:t>
      </w:r>
      <w:r>
        <w:rPr>
          <w:vertAlign w:val="subscript"/>
        </w:rPr>
        <w:t>rel</w:t>
      </w:r>
      <w:r>
        <w:t xml:space="preserve"> exceeds ln 100 = 4.605. At 140 °C (τ</w:t>
      </w:r>
      <w:r>
        <w:rPr>
          <w:vertAlign w:val="subscript"/>
        </w:rPr>
        <w:t>rel</w:t>
      </w:r>
      <w:r>
        <w:t xml:space="preserve"> = 6.02 min) the delay is 2.81 min at α = 0.001 (t</w:t>
      </w:r>
      <w:r>
        <w:rPr>
          <w:vertAlign w:val="subscript"/>
        </w:rPr>
        <w:t>gated</w:t>
      </w:r>
      <w:r>
        <w:t>/τ</w:t>
      </w:r>
      <w:r>
        <w:rPr>
          <w:vertAlign w:val="subscript"/>
        </w:rPr>
        <w:t>rel</w:t>
      </w:r>
      <w:r>
        <w:t xml:space="preserve"> = 0.63), 5.12 min at α = 0.01, and 5.94, 6.02 and 6.02 min at α = 0.1, 0.5 and 0.9 (Table 2); the constant shift is a good description for α ≳ 0.1 at this temperature and fails at early conversion. Independent adaptive integration of the gate and cure equations reproduces Eq. (6) to the integration tolerance in every row, and integrating the full model with the reference RK4 integrator at 125, 140 and 155 °C and α = 0.1, 0.5, 0.9 reproduces the gated times of Eq. (5) to a relative error of at most 7.7e-07.</w:t>
      </w:r>
    </w:p>
    <w:p>
      <w:pPr>
        <w:keepNext w:val="0"/>
        <w:jc w:val="both"/>
      </w:pPr>
      <w:r>
        <w:t>For incomplete activation, with open fraction f &lt; 1 (a fraction of the capsules that has not melted at the operating temperature), the clock is s(t) = f[t − τ</w:t>
      </w:r>
      <w:r>
        <w:rPr>
          <w:vertAlign w:val="subscript"/>
        </w:rPr>
        <w:t>rel</w:t>
      </w:r>
      <w:r>
        <w:t>(1 − exp(−t/τ</w:t>
      </w:r>
      <w:r>
        <w:rPr>
          <w:vertAlign w:val="subscript"/>
        </w:rPr>
        <w:t>rel</w:t>
      </w:r>
      <w:r>
        <w:t>))], so the delay relative to the ungated resin is not a constant shift: the gated cure is slowed in proportion to 1/f as well. For f = 0.5 at 140 °C the integrated times to α = 0.1, 0.5 and 0.9 are 45.1, 78.5 and 138.9 min, and the clock gives 45.1, 78.5 and 138.9 min, while the fully open population reaches them at 25.5, 42.3 and 72.4 min. A population whose mean melting temperature lies below the operating temperature is not necessarily fully open: a broad population has a tail of capsules that melt above it, and f must be computed from the melting-temperature distribution (Section III C). The statement is exact only at constant temperature; a heat-up transient or an exotherm adds a temperature-dependent delay that Proposition 1 does not describe.</w:t>
      </w:r>
    </w:p>
    <w:p>
      <w:pPr>
        <w:keepNext/>
        <w:spacing w:line="276" w:lineRule="auto" w:after="200"/>
      </w:pPr>
      <w:r>
        <w:rPr>
          <w:b/>
          <w:sz w:val="19"/>
        </w:rPr>
        <w:t>Table 2</w:t>
      </w:r>
      <w:r>
        <w:rPr>
          <w:sz w:val="19"/>
        </w:rPr>
        <w:t xml:space="preserve"> Delay of a fully open population relative to the ungated resin at 140 °C (n = 3/2, τ</w:t>
      </w:r>
      <w:r>
        <w:rPr>
          <w:sz w:val="19"/>
          <w:vertAlign w:val="subscript"/>
        </w:rPr>
        <w:t>rel</w:t>
      </w:r>
      <w:r>
        <w:rPr>
          <w:sz w:val="19"/>
        </w:rPr>
        <w:t xml:space="preserve"> = 6.02 min): integrated gate and cure equations against Eq. (6).</w:t>
      </w:r>
    </w:p>
    <w:tbl>
      <w:tblPr>
        <w:tblStyle w:val="TableGrid"/>
        <w:tblW w:type="auto" w:w="0"/>
        <w:jc w:val="center"/>
        <w:tblLayout w:type="fixed"/>
        <w:tblLook w:firstColumn="1" w:firstRow="1" w:lastColumn="0" w:lastRow="0" w:noHBand="0" w:noVBand="1" w:val="04A0"/>
      </w:tblPr>
      <w:tblGrid>
        <w:gridCol w:w="864"/>
        <w:gridCol w:w="1584"/>
        <w:gridCol w:w="2016"/>
        <w:gridCol w:w="1296"/>
        <w:gridCol w:w="2448"/>
        <w:gridCol w:w="1440"/>
      </w:tblGrid>
      <w:tr>
        <w:trPr>
          <w:tblHeader w:val="true"/>
        </w:trPr>
        <w:tc>
          <w:tcPr>
            <w:tcW w:type="dxa" w:w="864"/>
            <w:shd w:val="clear" w:color="auto" w:fill="E7ECF1"/>
          </w:tcPr>
          <w:p>
            <w:pPr>
              <w:spacing w:line="240" w:lineRule="auto" w:after="20"/>
            </w:pPr>
            <w:r/>
            <w:r>
              <w:rPr>
                <w:b/>
                <w:sz w:val="17"/>
              </w:rPr>
              <w:t>α</w:t>
            </w:r>
          </w:p>
        </w:tc>
        <w:tc>
          <w:tcPr>
            <w:tcW w:type="dxa" w:w="1584"/>
            <w:shd w:val="clear" w:color="auto" w:fill="E7ECF1"/>
          </w:tcPr>
          <w:p>
            <w:pPr>
              <w:spacing w:line="240" w:lineRule="auto" w:after="20"/>
            </w:pPr>
            <w:r/>
            <w:r>
              <w:rPr>
                <w:b/>
                <w:sz w:val="17"/>
              </w:rPr>
              <w:t>t</w:t>
            </w:r>
            <w:r>
              <w:rPr>
                <w:b/>
                <w:sz w:val="17"/>
                <w:vertAlign w:val="subscript"/>
              </w:rPr>
              <w:t>iso</w:t>
            </w:r>
            <w:r>
              <w:rPr>
                <w:b/>
                <w:sz w:val="17"/>
              </w:rPr>
              <w:t>(α) (min)</w:t>
            </w:r>
          </w:p>
        </w:tc>
        <w:tc>
          <w:tcPr>
            <w:tcW w:type="dxa" w:w="2016"/>
            <w:shd w:val="clear" w:color="auto" w:fill="E7ECF1"/>
          </w:tcPr>
          <w:p>
            <w:pPr>
              <w:spacing w:line="240" w:lineRule="auto" w:after="20"/>
            </w:pPr>
            <w:r/>
            <w:r>
              <w:rPr>
                <w:b/>
                <w:sz w:val="17"/>
              </w:rPr>
              <w:t>t</w:t>
            </w:r>
            <w:r>
              <w:rPr>
                <w:b/>
                <w:sz w:val="17"/>
                <w:vertAlign w:val="subscript"/>
              </w:rPr>
              <w:t>gated</w:t>
            </w:r>
            <w:r>
              <w:rPr>
                <w:b/>
                <w:sz w:val="17"/>
              </w:rPr>
              <w:t xml:space="preserve"> (min), integrated</w:t>
            </w:r>
          </w:p>
        </w:tc>
        <w:tc>
          <w:tcPr>
            <w:tcW w:type="dxa" w:w="1296"/>
            <w:shd w:val="clear" w:color="auto" w:fill="E7ECF1"/>
          </w:tcPr>
          <w:p>
            <w:pPr>
              <w:spacing w:line="240" w:lineRule="auto" w:after="20"/>
            </w:pPr>
            <w:r/>
            <w:r>
              <w:rPr>
                <w:b/>
                <w:sz w:val="17"/>
              </w:rPr>
              <w:t>Delay (min)</w:t>
            </w:r>
          </w:p>
        </w:tc>
        <w:tc>
          <w:tcPr>
            <w:tcW w:type="dxa" w:w="2448"/>
            <w:shd w:val="clear" w:color="auto" w:fill="E7ECF1"/>
          </w:tcPr>
          <w:p>
            <w:pPr>
              <w:spacing w:line="240" w:lineRule="auto" w:after="20"/>
            </w:pPr>
            <w:r/>
            <w:r>
              <w:rPr>
                <w:b/>
                <w:sz w:val="17"/>
              </w:rPr>
              <w:t>τ</w:t>
            </w:r>
            <w:r>
              <w:rPr>
                <w:b/>
                <w:sz w:val="17"/>
                <w:vertAlign w:val="subscript"/>
              </w:rPr>
              <w:t>rel</w:t>
            </w:r>
            <w:r>
              <w:rPr>
                <w:b/>
                <w:sz w:val="17"/>
              </w:rPr>
              <w:t>[1 − exp(−t</w:t>
            </w:r>
            <w:r>
              <w:rPr>
                <w:b/>
                <w:sz w:val="17"/>
                <w:vertAlign w:val="subscript"/>
              </w:rPr>
              <w:t>gated</w:t>
            </w:r>
            <w:r>
              <w:rPr>
                <w:b/>
                <w:sz w:val="17"/>
              </w:rPr>
              <w:t>/τ</w:t>
            </w:r>
            <w:r>
              <w:rPr>
                <w:b/>
                <w:sz w:val="17"/>
                <w:vertAlign w:val="subscript"/>
              </w:rPr>
              <w:t>rel</w:t>
            </w:r>
            <w:r>
              <w:rPr>
                <w:b/>
                <w:sz w:val="17"/>
              </w:rPr>
              <w:t>)] (min)</w:t>
            </w:r>
          </w:p>
        </w:tc>
        <w:tc>
          <w:tcPr>
            <w:tcW w:type="dxa" w:w="1440"/>
            <w:shd w:val="clear" w:color="auto" w:fill="E7ECF1"/>
          </w:tcPr>
          <w:p>
            <w:pPr>
              <w:spacing w:line="240" w:lineRule="auto" w:after="20"/>
            </w:pPr>
            <w:r/>
            <w:r>
              <w:rPr>
                <w:b/>
                <w:sz w:val="17"/>
              </w:rPr>
              <w:t>t</w:t>
            </w:r>
            <w:r>
              <w:rPr>
                <w:b/>
                <w:sz w:val="17"/>
                <w:vertAlign w:val="subscript"/>
              </w:rPr>
              <w:t>gated</w:t>
            </w:r>
            <w:r>
              <w:rPr>
                <w:b/>
                <w:sz w:val="17"/>
              </w:rPr>
              <w:t>/τ</w:t>
            </w:r>
            <w:r>
              <w:rPr>
                <w:b/>
                <w:sz w:val="17"/>
                <w:vertAlign w:val="subscript"/>
              </w:rPr>
              <w:t>rel</w:t>
            </w:r>
          </w:p>
        </w:tc>
      </w:tr>
      <w:tr>
        <w:tc>
          <w:tcPr>
            <w:tcW w:type="dxa" w:w="864"/>
          </w:tcPr>
          <w:p>
            <w:pPr>
              <w:spacing w:line="240" w:lineRule="auto" w:after="20"/>
            </w:pPr>
            <w:r/>
            <w:r>
              <w:rPr>
                <w:sz w:val="17"/>
              </w:rPr>
              <w:t>0.001</w:t>
            </w:r>
          </w:p>
        </w:tc>
        <w:tc>
          <w:tcPr>
            <w:tcW w:type="dxa" w:w="1584"/>
          </w:tcPr>
          <w:p>
            <w:pPr>
              <w:spacing w:line="240" w:lineRule="auto" w:after="20"/>
            </w:pPr>
            <w:r/>
            <w:r>
              <w:rPr>
                <w:sz w:val="17"/>
              </w:rPr>
              <w:t>0.97</w:t>
            </w:r>
          </w:p>
        </w:tc>
        <w:tc>
          <w:tcPr>
            <w:tcW w:type="dxa" w:w="2016"/>
          </w:tcPr>
          <w:p>
            <w:pPr>
              <w:spacing w:line="240" w:lineRule="auto" w:after="20"/>
            </w:pPr>
            <w:r/>
            <w:r>
              <w:rPr>
                <w:sz w:val="17"/>
              </w:rPr>
              <w:t>3.78</w:t>
            </w:r>
          </w:p>
        </w:tc>
        <w:tc>
          <w:tcPr>
            <w:tcW w:type="dxa" w:w="1296"/>
          </w:tcPr>
          <w:p>
            <w:pPr>
              <w:spacing w:line="240" w:lineRule="auto" w:after="20"/>
            </w:pPr>
            <w:r/>
            <w:r>
              <w:rPr>
                <w:sz w:val="17"/>
              </w:rPr>
              <w:t>2.81</w:t>
            </w:r>
          </w:p>
        </w:tc>
        <w:tc>
          <w:tcPr>
            <w:tcW w:type="dxa" w:w="2448"/>
          </w:tcPr>
          <w:p>
            <w:pPr>
              <w:spacing w:line="240" w:lineRule="auto" w:after="20"/>
            </w:pPr>
            <w:r/>
            <w:r>
              <w:rPr>
                <w:sz w:val="17"/>
              </w:rPr>
              <w:t>2.81</w:t>
            </w:r>
          </w:p>
        </w:tc>
        <w:tc>
          <w:tcPr>
            <w:tcW w:type="dxa" w:w="1440"/>
          </w:tcPr>
          <w:p>
            <w:pPr>
              <w:spacing w:line="240" w:lineRule="auto" w:after="20"/>
            </w:pPr>
            <w:r/>
            <w:r>
              <w:rPr>
                <w:sz w:val="17"/>
              </w:rPr>
              <w:t>0.63</w:t>
            </w:r>
          </w:p>
        </w:tc>
      </w:tr>
      <w:tr>
        <w:tc>
          <w:tcPr>
            <w:tcW w:type="dxa" w:w="864"/>
          </w:tcPr>
          <w:p>
            <w:pPr>
              <w:spacing w:line="240" w:lineRule="auto" w:after="20"/>
            </w:pPr>
            <w:r/>
            <w:r>
              <w:rPr>
                <w:sz w:val="17"/>
              </w:rPr>
              <w:t>0.01</w:t>
            </w:r>
          </w:p>
        </w:tc>
        <w:tc>
          <w:tcPr>
            <w:tcW w:type="dxa" w:w="1584"/>
          </w:tcPr>
          <w:p>
            <w:pPr>
              <w:spacing w:line="240" w:lineRule="auto" w:after="20"/>
            </w:pPr>
            <w:r/>
            <w:r>
              <w:rPr>
                <w:sz w:val="17"/>
              </w:rPr>
              <w:t>6.32</w:t>
            </w:r>
          </w:p>
        </w:tc>
        <w:tc>
          <w:tcPr>
            <w:tcW w:type="dxa" w:w="2016"/>
          </w:tcPr>
          <w:p>
            <w:pPr>
              <w:spacing w:line="240" w:lineRule="auto" w:after="20"/>
            </w:pPr>
            <w:r/>
            <w:r>
              <w:rPr>
                <w:sz w:val="17"/>
              </w:rPr>
              <w:t>11.45</w:t>
            </w:r>
          </w:p>
        </w:tc>
        <w:tc>
          <w:tcPr>
            <w:tcW w:type="dxa" w:w="1296"/>
          </w:tcPr>
          <w:p>
            <w:pPr>
              <w:spacing w:line="240" w:lineRule="auto" w:after="20"/>
            </w:pPr>
            <w:r/>
            <w:r>
              <w:rPr>
                <w:sz w:val="17"/>
              </w:rPr>
              <w:t>5.12</w:t>
            </w:r>
          </w:p>
        </w:tc>
        <w:tc>
          <w:tcPr>
            <w:tcW w:type="dxa" w:w="2448"/>
          </w:tcPr>
          <w:p>
            <w:pPr>
              <w:spacing w:line="240" w:lineRule="auto" w:after="20"/>
            </w:pPr>
            <w:r/>
            <w:r>
              <w:rPr>
                <w:sz w:val="17"/>
              </w:rPr>
              <w:t>5.12</w:t>
            </w:r>
          </w:p>
        </w:tc>
        <w:tc>
          <w:tcPr>
            <w:tcW w:type="dxa" w:w="1440"/>
          </w:tcPr>
          <w:p>
            <w:pPr>
              <w:spacing w:line="240" w:lineRule="auto" w:after="20"/>
            </w:pPr>
            <w:r/>
            <w:r>
              <w:rPr>
                <w:sz w:val="17"/>
              </w:rPr>
              <w:t>1.90</w:t>
            </w:r>
          </w:p>
        </w:tc>
      </w:tr>
      <w:tr>
        <w:tc>
          <w:tcPr>
            <w:tcW w:type="dxa" w:w="864"/>
          </w:tcPr>
          <w:p>
            <w:pPr>
              <w:spacing w:line="240" w:lineRule="auto" w:after="20"/>
            </w:pPr>
            <w:r/>
            <w:r>
              <w:rPr>
                <w:sz w:val="17"/>
              </w:rPr>
              <w:t>0.1</w:t>
            </w:r>
          </w:p>
        </w:tc>
        <w:tc>
          <w:tcPr>
            <w:tcW w:type="dxa" w:w="1584"/>
          </w:tcPr>
          <w:p>
            <w:pPr>
              <w:spacing w:line="240" w:lineRule="auto" w:after="20"/>
            </w:pPr>
            <w:r/>
            <w:r>
              <w:rPr>
                <w:sz w:val="17"/>
              </w:rPr>
              <w:t>19.55</w:t>
            </w:r>
          </w:p>
        </w:tc>
        <w:tc>
          <w:tcPr>
            <w:tcW w:type="dxa" w:w="2016"/>
          </w:tcPr>
          <w:p>
            <w:pPr>
              <w:spacing w:line="240" w:lineRule="auto" w:after="20"/>
            </w:pPr>
            <w:r/>
            <w:r>
              <w:rPr>
                <w:sz w:val="17"/>
              </w:rPr>
              <w:t>25.49</w:t>
            </w:r>
          </w:p>
        </w:tc>
        <w:tc>
          <w:tcPr>
            <w:tcW w:type="dxa" w:w="1296"/>
          </w:tcPr>
          <w:p>
            <w:pPr>
              <w:spacing w:line="240" w:lineRule="auto" w:after="20"/>
            </w:pPr>
            <w:r/>
            <w:r>
              <w:rPr>
                <w:sz w:val="17"/>
              </w:rPr>
              <w:t>5.94</w:t>
            </w:r>
          </w:p>
        </w:tc>
        <w:tc>
          <w:tcPr>
            <w:tcW w:type="dxa" w:w="2448"/>
          </w:tcPr>
          <w:p>
            <w:pPr>
              <w:spacing w:line="240" w:lineRule="auto" w:after="20"/>
            </w:pPr>
            <w:r/>
            <w:r>
              <w:rPr>
                <w:sz w:val="17"/>
              </w:rPr>
              <w:t>5.94</w:t>
            </w:r>
          </w:p>
        </w:tc>
        <w:tc>
          <w:tcPr>
            <w:tcW w:type="dxa" w:w="1440"/>
          </w:tcPr>
          <w:p>
            <w:pPr>
              <w:spacing w:line="240" w:lineRule="auto" w:after="20"/>
            </w:pPr>
            <w:r/>
            <w:r>
              <w:rPr>
                <w:sz w:val="17"/>
              </w:rPr>
              <w:t>4.23</w:t>
            </w:r>
          </w:p>
        </w:tc>
      </w:tr>
      <w:tr>
        <w:tc>
          <w:tcPr>
            <w:tcW w:type="dxa" w:w="864"/>
          </w:tcPr>
          <w:p>
            <w:pPr>
              <w:spacing w:line="240" w:lineRule="auto" w:after="20"/>
            </w:pPr>
            <w:r/>
            <w:r>
              <w:rPr>
                <w:sz w:val="17"/>
              </w:rPr>
              <w:t>0.5</w:t>
            </w:r>
          </w:p>
        </w:tc>
        <w:tc>
          <w:tcPr>
            <w:tcW w:type="dxa" w:w="1584"/>
          </w:tcPr>
          <w:p>
            <w:pPr>
              <w:spacing w:line="240" w:lineRule="auto" w:after="20"/>
            </w:pPr>
            <w:r/>
            <w:r>
              <w:rPr>
                <w:sz w:val="17"/>
              </w:rPr>
              <w:t>36.24</w:t>
            </w:r>
          </w:p>
        </w:tc>
        <w:tc>
          <w:tcPr>
            <w:tcW w:type="dxa" w:w="2016"/>
          </w:tcPr>
          <w:p>
            <w:pPr>
              <w:spacing w:line="240" w:lineRule="auto" w:after="20"/>
            </w:pPr>
            <w:r/>
            <w:r>
              <w:rPr>
                <w:sz w:val="17"/>
              </w:rPr>
              <w:t>42.26</w:t>
            </w:r>
          </w:p>
        </w:tc>
        <w:tc>
          <w:tcPr>
            <w:tcW w:type="dxa" w:w="1296"/>
          </w:tcPr>
          <w:p>
            <w:pPr>
              <w:spacing w:line="240" w:lineRule="auto" w:after="20"/>
            </w:pPr>
            <w:r/>
            <w:r>
              <w:rPr>
                <w:sz w:val="17"/>
              </w:rPr>
              <w:t>6.02</w:t>
            </w:r>
          </w:p>
        </w:tc>
        <w:tc>
          <w:tcPr>
            <w:tcW w:type="dxa" w:w="2448"/>
          </w:tcPr>
          <w:p>
            <w:pPr>
              <w:spacing w:line="240" w:lineRule="auto" w:after="20"/>
            </w:pPr>
            <w:r/>
            <w:r>
              <w:rPr>
                <w:sz w:val="17"/>
              </w:rPr>
              <w:t>6.02</w:t>
            </w:r>
          </w:p>
        </w:tc>
        <w:tc>
          <w:tcPr>
            <w:tcW w:type="dxa" w:w="1440"/>
          </w:tcPr>
          <w:p>
            <w:pPr>
              <w:spacing w:line="240" w:lineRule="auto" w:after="20"/>
            </w:pPr>
            <w:r/>
            <w:r>
              <w:rPr>
                <w:sz w:val="17"/>
              </w:rPr>
              <w:t>7.01</w:t>
            </w:r>
          </w:p>
        </w:tc>
      </w:tr>
      <w:tr>
        <w:tc>
          <w:tcPr>
            <w:tcW w:type="dxa" w:w="864"/>
          </w:tcPr>
          <w:p>
            <w:pPr>
              <w:spacing w:line="240" w:lineRule="auto" w:after="20"/>
            </w:pPr>
            <w:r/>
            <w:r>
              <w:rPr>
                <w:sz w:val="17"/>
              </w:rPr>
              <w:t>0.9</w:t>
            </w:r>
          </w:p>
        </w:tc>
        <w:tc>
          <w:tcPr>
            <w:tcW w:type="dxa" w:w="1584"/>
          </w:tcPr>
          <w:p>
            <w:pPr>
              <w:spacing w:line="240" w:lineRule="auto" w:after="20"/>
            </w:pPr>
            <w:r/>
            <w:r>
              <w:rPr>
                <w:sz w:val="17"/>
              </w:rPr>
              <w:t>66.42</w:t>
            </w:r>
          </w:p>
        </w:tc>
        <w:tc>
          <w:tcPr>
            <w:tcW w:type="dxa" w:w="2016"/>
          </w:tcPr>
          <w:p>
            <w:pPr>
              <w:spacing w:line="240" w:lineRule="auto" w:after="20"/>
            </w:pPr>
            <w:r/>
            <w:r>
              <w:rPr>
                <w:sz w:val="17"/>
              </w:rPr>
              <w:t>72.45</w:t>
            </w:r>
          </w:p>
        </w:tc>
        <w:tc>
          <w:tcPr>
            <w:tcW w:type="dxa" w:w="1296"/>
          </w:tcPr>
          <w:p>
            <w:pPr>
              <w:spacing w:line="240" w:lineRule="auto" w:after="20"/>
            </w:pPr>
            <w:r/>
            <w:r>
              <w:rPr>
                <w:sz w:val="17"/>
              </w:rPr>
              <w:t>6.02</w:t>
            </w:r>
          </w:p>
        </w:tc>
        <w:tc>
          <w:tcPr>
            <w:tcW w:type="dxa" w:w="2448"/>
          </w:tcPr>
          <w:p>
            <w:pPr>
              <w:spacing w:line="240" w:lineRule="auto" w:after="20"/>
            </w:pPr>
            <w:r/>
            <w:r>
              <w:rPr>
                <w:sz w:val="17"/>
              </w:rPr>
              <w:t>6.02</w:t>
            </w:r>
          </w:p>
        </w:tc>
        <w:tc>
          <w:tcPr>
            <w:tcW w:type="dxa" w:w="1440"/>
          </w:tcPr>
          <w:p>
            <w:pPr>
              <w:spacing w:line="240" w:lineRule="auto" w:after="20"/>
            </w:pPr>
            <w:r/>
            <w:r>
              <w:rPr>
                <w:sz w:val="17"/>
              </w:rPr>
              <w:t>12.03</w:t>
            </w:r>
          </w:p>
        </w:tc>
      </w:tr>
    </w:tbl>
    <w:p>
      <w:pPr>
        <w:spacing w:after="40"/>
      </w:pPr>
    </w:p>
    <w:p>
      <w:pPr>
        <w:pStyle w:val="Heading2"/>
      </w:pPr>
      <w:r>
        <w:rPr>
          <w:rFonts w:ascii="Times New Roman" w:hAnsi="Times New Roman"/>
        </w:rPr>
        <w:t>B. Proposition 2: isothermal cure time, induction, and sharpness</w:t>
      </w:r>
    </w:p>
    <w:p>
      <w:pPr>
        <w:keepNext w:val="0"/>
        <w:jc w:val="both"/>
      </w:pPr>
      <w:r>
        <w:rPr>
          <w:b/>
        </w:rPr>
        <w:t>Proposition 2.</w:t>
      </w:r>
      <w:r>
        <w:t xml:space="preserve"> With a = k</w:t>
      </w:r>
      <w:r>
        <w:rPr>
          <w:vertAlign w:val="subscript"/>
        </w:rPr>
        <w:t>1</w:t>
      </w:r>
      <w:r>
        <w:t xml:space="preserve"> and b = k</w:t>
      </w:r>
      <w:r>
        <w:rPr>
          <w:vertAlign w:val="subscript"/>
        </w:rPr>
        <w:t>2</w:t>
      </w:r>
      <w:r>
        <w:t>, the isothermal time to reach conversion α is, for any n, t</w:t>
      </w:r>
      <w:r>
        <w:rPr>
          <w:vertAlign w:val="subscript"/>
        </w:rPr>
        <w:t>iso</w:t>
      </w:r>
      <w:r>
        <w:t>(α) = ∫</w:t>
      </w:r>
      <w:r>
        <w:rPr>
          <w:vertAlign w:val="subscript"/>
        </w:rPr>
        <w:t>0</w:t>
      </w:r>
      <w:r>
        <w:rPr>
          <w:vertAlign w:val="superscript"/>
        </w:rPr>
        <w:t>α</w:t>
      </w:r>
      <w:r>
        <w:t xml:space="preserve"> dx/[(a + bx)(1 − x)</w:t>
      </w:r>
      <w:r>
        <w:rPr>
          <w:vertAlign w:val="superscript"/>
        </w:rPr>
        <w:t>n</w:t>
      </w:r>
      <w:r>
        <w:t>], and for n = 1</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iso</m:t>
            </m:r>
          </m:sub>
        </m:sSub>
        <m:d>
          <m:dPr>
            <m:begChr m:val="("/>
            <m:endChr m:val=")"/>
            <m:ctrlPr>
              <w:rPr>
                <w:rFonts w:ascii="Cambria Math" w:hAnsi="Cambria Math"/>
                <w:i/>
              </w:rPr>
            </m:ctrlPr>
          </m:dPr>
          <m:e>
            <m:r>
              <m:rPr>
                <m:sty m:val="i"/>
              </m:rPr>
              <w:rPr>
                <w:rFonts w:ascii="Cambria Math" w:hAnsi="Cambria Math"/>
                <w:i/>
              </w:rPr>
              <m:t xml:space="preserve">α</m:t>
            </m:r>
          </m:e>
        </m:d>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sty m:val="i"/>
              </m:rPr>
              <w:rPr>
                <w:rFonts w:ascii="Cambria Math" w:hAnsi="Cambria Math"/>
                <w:i/>
              </w:rPr>
              <m:t xml:space="preserve">a</m:t>
            </m:r>
            <m:r>
              <m:rPr>
                <m:nor/>
              </m:rPr>
              <w:rPr>
                <w:rFonts w:ascii="Cambria Math" w:hAnsi="Cambria Math"/>
                <w:i w:val="0"/>
              </w:rPr>
              <m:t xml:space="preserve"> + </m:t>
            </m:r>
            <m:r>
              <m:rPr>
                <m:sty m:val="i"/>
              </m:rPr>
              <w:rPr>
                <w:rFonts w:ascii="Cambria Math" w:hAnsi="Cambria Math"/>
                <w:i/>
              </w:rPr>
              <m:t xml:space="preserve">b</m:t>
            </m:r>
          </m:den>
        </m:f>
        <m:r>
          <m:rPr>
            <m:nor/>
          </m:rPr>
          <w:rPr>
            <w:rFonts w:ascii="Cambria Math" w:hAnsi="Cambria Math"/>
            <w:i w:val="0"/>
          </w:rPr>
          <m:t xml:space="preserve">ln</m:t>
        </m:r>
        <m:f>
          <m:fPr>
            <m:ctrlPr>
              <w:rPr>
                <w:rFonts w:ascii="Cambria Math" w:hAnsi="Cambria Math"/>
                <w:i/>
              </w:rPr>
            </m:ctrlPr>
          </m:fPr>
          <m:num>
            <m:r>
              <m:rPr>
                <m:sty m:val="i"/>
              </m:rPr>
              <w:rPr>
                <w:rFonts w:ascii="Cambria Math" w:hAnsi="Cambria Math"/>
                <w:i/>
              </w:rPr>
              <m:t xml:space="preserve">a</m:t>
            </m:r>
            <m:r>
              <m:rPr>
                <m:nor/>
              </m:rPr>
              <w:rPr>
                <w:rFonts w:ascii="Cambria Math" w:hAnsi="Cambria Math"/>
                <w:i w:val="0"/>
              </w:rPr>
              <m:t xml:space="preserve"> + </m:t>
            </m:r>
            <m:r>
              <m:rPr>
                <m:sty m:val="i"/>
              </m:rPr>
              <w:rPr>
                <w:rFonts w:ascii="Cambria Math" w:hAnsi="Cambria Math"/>
                <w:i/>
              </w:rPr>
              <m:t xml:space="preserve">b</m:t>
            </m:r>
            <m:r>
              <m:rPr>
                <m:sty m:val="i"/>
              </m:rPr>
              <w:rPr>
                <w:rFonts w:ascii="Cambria Math" w:hAnsi="Cambria Math"/>
                <w:i/>
              </w:rPr>
              <m:t xml:space="preserve">α</m:t>
            </m:r>
          </m:num>
          <m:den>
            <m:r>
              <m:rPr>
                <m:sty m:val="i"/>
              </m:rPr>
              <w:rPr>
                <w:rFonts w:ascii="Cambria Math" w:hAnsi="Cambria Math"/>
                <w:i/>
              </w:rPr>
              <m:t xml:space="preserve">a</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α</m:t>
                </m:r>
              </m:e>
            </m:d>
          </m:den>
        </m:f>
        <m:r>
          <m:rPr>
            <m:nor/>
          </m:rPr>
          <w:rPr>
            <w:rFonts w:ascii="Cambria Math" w:hAnsi="Cambria Math"/>
            <w:i w:val="0"/>
          </w:rPr>
          <m:t xml:space="preserve">.</m:t>
        </m:r>
      </m:oMath>
      <w:r>
        <w:tab/>
        <w:t xml:space="preserve">(7)</w:t>
      </w:r>
    </w:p>
    <w:p>
      <w:pPr>
        <w:keepNext w:val="0"/>
        <w:jc w:val="both"/>
      </w:pPr>
      <w:r>
        <w:rPr>
          <w:i/>
        </w:rPr>
        <w:t>Proof.</w:t>
      </w:r>
      <w:r>
        <w:t xml:space="preserve"> Partial fractions of 1/[(a + bx)(1 − x)] give (a + b)</w:t>
      </w:r>
      <w:r>
        <w:rPr>
          <w:vertAlign w:val="superscript"/>
        </w:rPr>
        <w:t>−1</w:t>
      </w:r>
      <w:r>
        <w:t>[b/(a + bx) + 1/(1 − x)], and integration gives the logarithm. ∎ For small α the factor (1 − x)</w:t>
      </w:r>
      <w:r>
        <w:rPr>
          <w:vertAlign w:val="superscript"/>
        </w:rPr>
        <w:t>n</w:t>
      </w:r>
      <w:r>
        <w:t xml:space="preserve"> is close to 1, so the induction time (α = 0.1) is almost independent of n; the late-time tail is not. For n = 1 the sharpness S = (t</w:t>
      </w:r>
      <w:r>
        <w:rPr>
          <w:vertAlign w:val="subscript"/>
        </w:rPr>
        <w:t>90</w:t>
      </w:r>
      <w:r>
        <w:t xml:space="preserve"> − t</w:t>
      </w:r>
      <w:r>
        <w:rPr>
          <w:vertAlign w:val="subscript"/>
        </w:rPr>
        <w:t>10</w:t>
      </w:r>
      <w:r>
        <w:t>)/t</w:t>
      </w:r>
      <w:r>
        <w:rPr>
          <w:vertAlign w:val="subscript"/>
        </w:rPr>
        <w:t>10</w:t>
      </w:r>
      <w:r>
        <w:t xml:space="preserve"> is exactly</w:t>
      </w:r>
    </w:p>
    <w:p>
      <w:pPr>
        <w:keepLines/>
        <w:tabs>
          <w:tab w:pos="4680" w:val="center"/>
          <w:tab w:pos="9360" w:val="right"/>
        </w:tabs>
        <w:spacing w:before="120" w:after="120"/>
      </w:pPr>
      <w:r>
        <w:tab/>
      </w:r>
      <m:oMath>
        <m:r>
          <m:rPr>
            <m:sty m:val="i"/>
          </m:rPr>
          <w:rPr>
            <w:rFonts w:ascii="Cambria Math" w:hAnsi="Cambria Math"/>
            <w:i/>
          </w:rPr>
          <m:t xml:space="preserve">S</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ln</m:t>
            </m:r>
            <m:d>
              <m:dPr>
                <m:begChr m:val="("/>
                <m:endChr m:val=")"/>
                <m:ctrlPr>
                  <w:rPr>
                    <w:rFonts w:ascii="Cambria Math" w:hAnsi="Cambria Math"/>
                    <w:i/>
                  </w:rPr>
                </m:ctrlPr>
              </m:dPr>
              <m:e>
                <m:f>
                  <m:fPr>
                    <m:ctrlPr>
                      <w:rPr>
                        <w:rFonts w:ascii="Cambria Math" w:hAnsi="Cambria Math"/>
                        <w:i/>
                      </w:rPr>
                    </m:ctrlPr>
                  </m:fPr>
                  <m:num>
                    <m:r>
                      <m:rPr>
                        <m:nor/>
                      </m:rPr>
                      <w:rPr>
                        <w:rFonts w:ascii="Cambria Math" w:hAnsi="Cambria Math"/>
                        <w:i w:val="0"/>
                      </w:rPr>
                      <m:t xml:space="preserve">9</m:t>
                    </m:r>
                    <m:d>
                      <m:dPr>
                        <m:begChr m:val="("/>
                        <m:endChr m:val=")"/>
                        <m:ctrlPr>
                          <w:rPr>
                            <w:rFonts w:ascii="Cambria Math" w:hAnsi="Cambria Math"/>
                            <w:i/>
                          </w:rPr>
                        </m:ctrlPr>
                      </m:dPr>
                      <m:e>
                        <m:r>
                          <m:rPr>
                            <m:sty m:val="i"/>
                          </m:rPr>
                          <w:rPr>
                            <w:rFonts w:ascii="Cambria Math" w:hAnsi="Cambria Math"/>
                            <w:i/>
                          </w:rPr>
                          <m:t xml:space="preserve">a</m:t>
                        </m:r>
                        <m:r>
                          <m:rPr>
                            <m:nor/>
                          </m:rPr>
                          <w:rPr>
                            <w:rFonts w:ascii="Cambria Math" w:hAnsi="Cambria Math"/>
                            <w:i w:val="0"/>
                          </w:rPr>
                          <m:t xml:space="preserve"> + </m:t>
                        </m:r>
                        <m:r>
                          <m:rPr>
                            <m:nor/>
                          </m:rPr>
                          <w:rPr>
                            <w:rFonts w:ascii="Cambria Math" w:hAnsi="Cambria Math"/>
                            <w:i w:val="0"/>
                          </w:rPr>
                          <m:t xml:space="preserve">0.9</m:t>
                        </m:r>
                        <m:r>
                          <m:rPr>
                            <m:sty m:val="i"/>
                          </m:rPr>
                          <w:rPr>
                            <w:rFonts w:ascii="Cambria Math" w:hAnsi="Cambria Math"/>
                            <w:i/>
                          </w:rPr>
                          <m:t xml:space="preserve">b</m:t>
                        </m:r>
                      </m:e>
                    </m:d>
                  </m:num>
                  <m:den>
                    <m:r>
                      <m:rPr>
                        <m:sty m:val="i"/>
                      </m:rPr>
                      <w:rPr>
                        <w:rFonts w:ascii="Cambria Math" w:hAnsi="Cambria Math"/>
                        <w:i/>
                      </w:rPr>
                      <m:t xml:space="preserve">a</m:t>
                    </m:r>
                    <m:r>
                      <m:rPr>
                        <m:nor/>
                      </m:rPr>
                      <w:rPr>
                        <w:rFonts w:ascii="Cambria Math" w:hAnsi="Cambria Math"/>
                        <w:i w:val="0"/>
                      </w:rPr>
                      <m:t xml:space="preserve"> + </m:t>
                    </m:r>
                    <m:r>
                      <m:rPr>
                        <m:nor/>
                      </m:rPr>
                      <w:rPr>
                        <w:rFonts w:ascii="Cambria Math" w:hAnsi="Cambria Math"/>
                        <w:i w:val="0"/>
                      </w:rPr>
                      <m:t xml:space="preserve">0.1</m:t>
                    </m:r>
                    <m:r>
                      <m:rPr>
                        <m:sty m:val="i"/>
                      </m:rPr>
                      <w:rPr>
                        <w:rFonts w:ascii="Cambria Math" w:hAnsi="Cambria Math"/>
                        <w:i/>
                      </w:rPr>
                      <m:t xml:space="preserve">b</m:t>
                    </m:r>
                  </m:den>
                </m:f>
              </m:e>
            </m:d>
          </m:num>
          <m:den>
            <m:r>
              <m:rPr>
                <m:nor/>
              </m:rPr>
              <w:rPr>
                <w:rFonts w:ascii="Cambria Math" w:hAnsi="Cambria Math"/>
                <w:i w:val="0"/>
              </w:rPr>
              <m:t xml:space="preserve">ln</m:t>
            </m:r>
            <m:d>
              <m:dPr>
                <m:begChr m:val="("/>
                <m:endChr m:val=")"/>
                <m:ctrlPr>
                  <w:rPr>
                    <w:rFonts w:ascii="Cambria Math" w:hAnsi="Cambria Math"/>
                    <w:i/>
                  </w:rPr>
                </m:ctrlPr>
              </m:dPr>
              <m:e>
                <m:f>
                  <m:fPr>
                    <m:ctrlPr>
                      <w:rPr>
                        <w:rFonts w:ascii="Cambria Math" w:hAnsi="Cambria Math"/>
                        <w:i/>
                      </w:rPr>
                    </m:ctrlPr>
                  </m:fPr>
                  <m:num>
                    <m:r>
                      <m:rPr>
                        <m:sty m:val="i"/>
                      </m:rPr>
                      <w:rPr>
                        <w:rFonts w:ascii="Cambria Math" w:hAnsi="Cambria Math"/>
                        <w:i/>
                      </w:rPr>
                      <m:t xml:space="preserve">a</m:t>
                    </m:r>
                    <m:r>
                      <m:rPr>
                        <m:nor/>
                      </m:rPr>
                      <w:rPr>
                        <w:rFonts w:ascii="Cambria Math" w:hAnsi="Cambria Math"/>
                        <w:i w:val="0"/>
                      </w:rPr>
                      <m:t xml:space="preserve"> + </m:t>
                    </m:r>
                    <m:r>
                      <m:rPr>
                        <m:nor/>
                      </m:rPr>
                      <w:rPr>
                        <w:rFonts w:ascii="Cambria Math" w:hAnsi="Cambria Math"/>
                        <w:i w:val="0"/>
                      </w:rPr>
                      <m:t xml:space="preserve">0.1</m:t>
                    </m:r>
                    <m:r>
                      <m:rPr>
                        <m:sty m:val="i"/>
                      </m:rPr>
                      <w:rPr>
                        <w:rFonts w:ascii="Cambria Math" w:hAnsi="Cambria Math"/>
                        <w:i/>
                      </w:rPr>
                      <m:t xml:space="preserve">b</m:t>
                    </m:r>
                  </m:num>
                  <m:den>
                    <m:r>
                      <m:rPr>
                        <m:nor/>
                      </m:rPr>
                      <w:rPr>
                        <w:rFonts w:ascii="Cambria Math" w:hAnsi="Cambria Math"/>
                        <w:i w:val="0"/>
                      </w:rPr>
                      <m:t xml:space="preserve">0.9</m:t>
                    </m:r>
                    <m:r>
                      <m:rPr>
                        <m:sty m:val="i"/>
                      </m:rPr>
                      <w:rPr>
                        <w:rFonts w:ascii="Cambria Math" w:hAnsi="Cambria Math"/>
                        <w:i/>
                      </w:rPr>
                      <m:t xml:space="preserve">a</m:t>
                    </m:r>
                  </m:den>
                </m:f>
              </m:e>
            </m:d>
          </m:den>
        </m:f>
      </m:oMath>
      <w:r>
        <w:tab/>
        <w:t xml:space="preserve">(8)</w:t>
      </w:r>
    </w:p>
    <w:p>
      <w:pPr>
        <w:keepNext w:val="0"/>
        <w:jc w:val="both"/>
      </w:pPr>
      <w:r>
        <w:t>and, for b ≫ 9a and n = 1 only, it reduces to the asymptotic law</w:t>
      </w:r>
    </w:p>
    <w:p>
      <w:pPr>
        <w:keepLines/>
        <w:tabs>
          <w:tab w:pos="4680" w:val="center"/>
          <w:tab w:pos="9360" w:val="right"/>
        </w:tabs>
        <w:spacing w:before="120" w:after="120"/>
      </w:pPr>
      <w:r>
        <w:tab/>
      </w:r>
      <m:oMath>
        <m:r>
          <m:rPr>
            <m:sty m:val="i"/>
          </m:rPr>
          <w:rPr>
            <w:rFonts w:ascii="Cambria Math" w:hAnsi="Cambria Math"/>
            <w:i/>
          </w:rPr>
          <m:t xml:space="preserve">S</m:t>
        </m:r>
        <m:r>
          <m:rPr>
            <m:nor/>
          </m:rPr>
          <w:rPr>
            <w:rFonts w:ascii="Cambria Math" w:hAnsi="Cambria Math"/>
            <w:i w:val="0"/>
          </w:rPr>
          <m:t xml:space="preserve">≈</m:t>
        </m:r>
        <m:f>
          <m:fPr>
            <m:ctrlPr>
              <w:rPr>
                <w:rFonts w:ascii="Cambria Math" w:hAnsi="Cambria Math"/>
                <w:i/>
              </w:rPr>
            </m:ctrlPr>
          </m:fPr>
          <m:num>
            <m:r>
              <m:rPr>
                <m:nor/>
              </m:rPr>
              <w:rPr>
                <w:rFonts w:ascii="Cambria Math" w:hAnsi="Cambria Math"/>
                <w:i w:val="0"/>
              </w:rPr>
              <m:t xml:space="preserve">2 ln 9</m:t>
            </m:r>
          </m:num>
          <m:den>
            <m:r>
              <m:rPr>
                <m:nor/>
              </m:rPr>
              <w:rPr>
                <w:rFonts w:ascii="Cambria Math" w:hAnsi="Cambria Math"/>
                <w:i w:val="0"/>
              </w:rPr>
              <m:t xml:space="preserve">ln</m:t>
            </m:r>
            <m:d>
              <m:dPr>
                <m:begChr m:val="("/>
                <m:endChr m:val=")"/>
                <m:ctrlPr>
                  <w:rPr>
                    <w:rFonts w:ascii="Cambria Math" w:hAnsi="Cambria Math"/>
                    <w:i/>
                  </w:rPr>
                </m:ctrlPr>
              </m:dPr>
              <m:e>
                <m:f>
                  <m:fPr>
                    <m:ctrlPr>
                      <w:rPr>
                        <w:rFonts w:ascii="Cambria Math" w:hAnsi="Cambria Math"/>
                        <w:i/>
                      </w:rPr>
                    </m:ctrlPr>
                  </m:fPr>
                  <m:num>
                    <m:r>
                      <m:rPr>
                        <m:sty m:val="i"/>
                      </m:rPr>
                      <w:rPr>
                        <w:rFonts w:ascii="Cambria Math" w:hAnsi="Cambria Math"/>
                        <w:i/>
                      </w:rPr>
                      <m:t xml:space="preserve">b</m:t>
                    </m:r>
                  </m:num>
                  <m:den>
                    <m:r>
                      <m:rPr>
                        <m:nor/>
                      </m:rPr>
                      <w:rPr>
                        <w:rFonts w:ascii="Cambria Math" w:hAnsi="Cambria Math"/>
                        <w:i w:val="0"/>
                      </w:rPr>
                      <m:t xml:space="preserve">9</m:t>
                    </m:r>
                    <m:r>
                      <m:rPr>
                        <m:sty m:val="i"/>
                      </m:rPr>
                      <w:rPr>
                        <w:rFonts w:ascii="Cambria Math" w:hAnsi="Cambria Math"/>
                        <w:i/>
                      </w:rPr>
                      <m:t xml:space="preserve">a</m:t>
                    </m:r>
                  </m:den>
                </m:f>
              </m:e>
            </m:d>
          </m:den>
        </m:f>
        <m:r>
          <m:rPr>
            <m:nor/>
          </m:rPr>
          <w:rPr>
            <w:rFonts w:ascii="Cambria Math" w:hAnsi="Cambria Math"/>
            <w:i w:val="0"/>
          </w:rPr>
          <m:t xml:space="preserve">.</m:t>
        </m:r>
      </m:oMath>
      <w:r>
        <w:tab/>
        <w:t xml:space="preserve">(9)</w:t>
      </w:r>
    </w:p>
    <w:p>
      <w:pPr>
        <w:keepNext w:val="0"/>
        <w:jc w:val="both"/>
      </w:pPr>
      <w:r>
        <w:t>Sharpness is then controlled by the rate-constant ratio alone, and only logarithmically. At 140 °C, b/a = 159 gives S = 1.48 exactly for n = 1 and 1.53 from Eq. (9), with a difference of 3.4 %; the law is accurate to 5 % across 110–155 °C for n = 1. A hundredfold increase of b/a, from 159 to 15,900, lowers the exact S from 1.48 to 0.59, a factor of 2.5. For n ≠ 1 the law does not apply: at 140 °C the integrated sharpness rises from 1.48 (n = 1) to 2.40 (n = 3/2) because of the longer tail, and the quadrature should be used. The closed forms and the quadrature reproduce the integrated t</w:t>
      </w:r>
      <w:r>
        <w:rPr>
          <w:vertAlign w:val="subscript"/>
        </w:rPr>
        <w:t>10</w:t>
      </w:r>
      <w:r>
        <w:t xml:space="preserve"> and t</w:t>
      </w:r>
      <w:r>
        <w:rPr>
          <w:vertAlign w:val="subscript"/>
        </w:rPr>
        <w:t>90</w:t>
      </w:r>
      <w:r>
        <w:t xml:space="preserve"> for T = 110–155 °C and n = 1 and 3/2 to within 1.2e-07 (relative).</w:t>
      </w:r>
    </w:p>
    <w:p>
      <w:pPr>
        <w:keepNext/>
        <w:spacing w:before="160" w:after="40"/>
        <w:jc w:val="center"/>
      </w:pPr>
      <w:r>
        <w:drawing>
          <wp:inline xmlns:a="http://schemas.openxmlformats.org/drawingml/2006/main" xmlns:pic="http://schemas.openxmlformats.org/drawingml/2006/picture">
            <wp:extent cx="6126480" cy="1861969"/>
            <wp:docPr id="1" name="Picture 1" descr="Three panels. (a) Conversion against time for the ungated and gated resin with integrated points. (b) Delay against conversion approaching the release time constant. (c) Sharpness against the logarithm of the rate-constant ratio."/>
            <wp:cNvGraphicFramePr>
              <a:graphicFrameLocks noChangeAspect="1"/>
            </wp:cNvGraphicFramePr>
            <a:graphic>
              <a:graphicData uri="http://schemas.openxmlformats.org/drawingml/2006/picture">
                <pic:pic>
                  <pic:nvPicPr>
                    <pic:cNvPr id="0" name="fig1_clock_sharpness.png"/>
                    <pic:cNvPicPr/>
                  </pic:nvPicPr>
                  <pic:blipFill>
                    <a:blip r:embed="rId10"/>
                    <a:stretch>
                      <a:fillRect/>
                    </a:stretch>
                  </pic:blipFill>
                  <pic:spPr>
                    <a:xfrm>
                      <a:off x="0" y="0"/>
                      <a:ext cx="6126480" cy="1861969"/>
                    </a:xfrm>
                    <a:prstGeom prst="rect"/>
                  </pic:spPr>
                </pic:pic>
              </a:graphicData>
            </a:graphic>
          </wp:inline>
        </w:drawing>
      </w:r>
    </w:p>
    <w:p>
      <w:pPr>
        <w:keepNext w:val="0"/>
        <w:spacing w:line="276" w:lineRule="auto" w:after="200"/>
      </w:pPr>
      <w:r>
        <w:rPr>
          <w:b/>
          <w:sz w:val="19"/>
        </w:rPr>
        <w:t>Fig. 1</w:t>
      </w:r>
      <w:r>
        <w:rPr>
          <w:sz w:val="19"/>
        </w:rPr>
        <w:t xml:space="preserve"> (a) Gated and ungated cure at constant temperature (140 °C): the gated curve is the isothermal curve evaluated on the integrated-availability clock, and the integrated ODE (circles) agrees. (b) Delay of the gated cure relative to the ungated resin as a function of the conversion level: integrated (points), Eq. (6) (line), and the limit τ</w:t>
      </w:r>
      <w:r>
        <w:rPr>
          <w:sz w:val="19"/>
          <w:vertAlign w:val="subscript"/>
        </w:rPr>
        <w:t>rel</w:t>
      </w:r>
      <w:r>
        <w:rPr>
          <w:sz w:val="19"/>
        </w:rPr>
        <w:t xml:space="preserve"> (dashed). (c) Sharpness against the rate-constant ratio: exact n = 1, the asymptotic law Eq. (9), and integrated results for n = 3/2.</w:t>
      </w:r>
    </w:p>
    <w:p>
      <w:pPr>
        <w:pStyle w:val="Heading2"/>
      </w:pPr>
      <w:r>
        <w:rPr>
          <w:rFonts w:ascii="Times New Roman" w:hAnsi="Times New Roman"/>
        </w:rPr>
        <w:t>C. Proposition 3: storage conversion of a capsule population and a bound on the spread</w:t>
      </w:r>
    </w:p>
    <w:p>
      <w:pPr>
        <w:keepNext w:val="0"/>
        <w:jc w:val="both"/>
      </w:pPr>
      <w:r>
        <w:t>A capsule that is open at the storage temperature T</w:t>
      </w:r>
      <w:r>
        <w:rPr>
          <w:vertAlign w:val="subscript"/>
        </w:rPr>
        <w:t>s</w:t>
      </w:r>
      <w:r>
        <w:t xml:space="preserve"> releases catalyst that drives the cure at T</w:t>
      </w:r>
      <w:r>
        <w:rPr>
          <w:vertAlign w:val="subscript"/>
        </w:rPr>
        <w:t>s</w:t>
      </w:r>
      <w:r>
        <w:t xml:space="preserve">. For a Gaussian spread σ of melting temperatures and a logistic activation of width </w:t>
      </w:r>
      <w:r>
        <w:rPr>
          <w:i/>
        </w:rPr>
        <w:t>w</w:t>
      </w:r>
      <w:r>
        <w:rPr>
          <w:vertAlign w:val="subscript"/>
        </w:rPr>
        <w:t>0</w:t>
      </w:r>
      <w:r>
        <w:t>, the equilibrium open fraction at a margin Δ = T</w:t>
      </w:r>
      <w:r>
        <w:rPr>
          <w:vertAlign w:val="subscript"/>
        </w:rPr>
        <w:t>m</w:t>
      </w:r>
      <w:r>
        <w:t xml:space="preserve"> − T</w:t>
      </w:r>
      <w:r>
        <w:rPr>
          <w:vertAlign w:val="subscript"/>
        </w:rPr>
        <w:t>s</w:t>
      </w:r>
      <w:r>
        <w:t xml:space="preserve"> is the Gaussian–logistic convolution, which the probit approximation (matching the variance π²w</w:t>
      </w:r>
      <w:r>
        <w:rPr>
          <w:vertAlign w:val="subscript"/>
        </w:rPr>
        <w:t>0</w:t>
      </w:r>
      <w:r>
        <w:t>²/3 of the logistic) writes as</w:t>
      </w:r>
    </w:p>
    <w:p>
      <w:pPr>
        <w:keepLines/>
        <w:tabs>
          <w:tab w:pos="4680" w:val="center"/>
          <w:tab w:pos="9360" w:val="right"/>
        </w:tabs>
        <w:spacing w:before="120" w:after="120"/>
      </w:pPr>
      <w:r>
        <w:tab/>
      </w:r>
      <m:oMath>
        <m:r>
          <m:rPr>
            <m:sty m:val="i"/>
          </m:rPr>
          <w:rPr>
            <w:rFonts w:ascii="Cambria Math" w:hAnsi="Cambria Math"/>
            <w:i/>
          </w:rPr>
          <m:t xml:space="preserve">f</m:t>
        </m:r>
        <m:r>
          <m:rPr>
            <m:nor/>
          </m:rPr>
          <w:rPr>
            <w:rFonts w:ascii="Cambria Math" w:hAnsi="Cambria Math"/>
            <w:i w:val="0"/>
          </w:rPr>
          <m:t xml:space="preserve"> = </m:t>
        </m:r>
        <m:r>
          <m:rPr>
            <m:nor/>
          </m:rPr>
          <w:rPr>
            <w:rFonts w:ascii="Cambria Math" w:hAnsi="Cambria Math"/>
            <w:i w:val="0"/>
          </w:rPr>
          <m:t xml:space="preserve">Φ</m:t>
        </m:r>
        <m:d>
          <m:dPr>
            <m:begChr m:val="("/>
            <m:endChr m:val=")"/>
            <m:ctrlPr>
              <w:rPr>
                <w:rFonts w:ascii="Cambria Math" w:hAnsi="Cambria Math"/>
                <w:i/>
              </w:rPr>
            </m:ctrlPr>
          </m:dPr>
          <m:e>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Δ</m:t>
                </m:r>
              </m:num>
              <m:den>
                <m:sSub>
                  <m:sSubPr>
                    <m:ctrlPr>
                      <w:rPr>
                        <w:rFonts w:ascii="Cambria Math" w:hAnsi="Cambria Math"/>
                        <w:i/>
                      </w:rPr>
                    </m:ctrlPr>
                  </m:sSubPr>
                  <m:e>
                    <m:r>
                      <m:rPr>
                        <m:sty m:val="i"/>
                      </m:rPr>
                      <w:rPr>
                        <w:rFonts w:ascii="Cambria Math" w:hAnsi="Cambria Math"/>
                        <w:i/>
                      </w:rPr>
                      <m:t xml:space="preserve">σ</m:t>
                    </m:r>
                  </m:e>
                  <m:sub>
                    <m:r>
                      <m:rPr>
                        <m:nor/>
                      </m:rPr>
                      <w:rPr>
                        <w:rFonts w:ascii="Cambria Math" w:hAnsi="Cambria Math"/>
                        <w:i w:val="0"/>
                      </w:rPr>
                      <m:t xml:space="preserve">eff</m:t>
                    </m:r>
                  </m:sub>
                </m:sSub>
              </m:den>
            </m:f>
          </m:e>
        </m:d>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σ</m:t>
            </m:r>
          </m:e>
          <m:sub>
            <m:r>
              <m:rPr>
                <m:nor/>
              </m:rPr>
              <w:rPr>
                <w:rFonts w:ascii="Cambria Math" w:hAnsi="Cambria Math"/>
                <w:i w:val="0"/>
              </w:rPr>
              <m:t xml:space="preserve">eff</m:t>
            </m:r>
          </m:sub>
        </m:sSub>
        <m:r>
          <m:rPr>
            <m:nor/>
          </m:rPr>
          <w:rPr>
            <w:rFonts w:ascii="Cambria Math" w:hAnsi="Cambria Math"/>
            <w:i w:val="0"/>
          </w:rPr>
          <m:t xml:space="preserve">²</m:t>
        </m:r>
        <m:r>
          <m:rPr>
            <m:nor/>
          </m:rPr>
          <w:rPr>
            <w:rFonts w:ascii="Cambria Math" w:hAnsi="Cambria Math"/>
            <w:i w:val="0"/>
          </w:rPr>
          <m:t xml:space="preserve"> = </m:t>
        </m:r>
        <m:sSup>
          <m:sSupPr>
            <m:ctrlPr>
              <w:rPr>
                <w:rFonts w:ascii="Cambria Math" w:hAnsi="Cambria Math"/>
                <w:i/>
              </w:rPr>
            </m:ctrlPr>
          </m:sSupPr>
          <m:e>
            <m:r>
              <m:rPr>
                <m:sty m:val="i"/>
              </m:rPr>
              <w:rPr>
                <w:rFonts w:ascii="Cambria Math" w:hAnsi="Cambria Math"/>
                <w:i/>
              </w:rPr>
              <m:t xml:space="preserve">σ</m:t>
            </m:r>
          </m:e>
          <m:sup>
            <m:r>
              <m:rPr>
                <m:nor/>
              </m:rPr>
              <w:rPr>
                <w:rFonts w:ascii="Cambria Math" w:hAnsi="Cambria Math"/>
                <w:i w:val="0"/>
              </w:rPr>
              <m:t xml:space="preserve">2</m:t>
            </m:r>
          </m:sup>
        </m:sSup>
        <m:r>
          <m:rPr>
            <m:nor/>
          </m:rPr>
          <w:rPr>
            <w:rFonts w:ascii="Cambria Math" w:hAnsi="Cambria Math"/>
            <w:i w:val="0"/>
          </w:rPr>
          <m:t xml:space="preserve"> + </m:t>
        </m:r>
        <m:f>
          <m:fPr>
            <m:ctrlPr>
              <w:rPr>
                <w:rFonts w:ascii="Cambria Math" w:hAnsi="Cambria Math"/>
                <w:i/>
              </w:rPr>
            </m:ctrlPr>
          </m:fPr>
          <m:num>
            <m:sSup>
              <m:sSupPr>
                <m:ctrlPr>
                  <w:rPr>
                    <w:rFonts w:ascii="Cambria Math" w:hAnsi="Cambria Math"/>
                    <w:i/>
                  </w:rPr>
                </m:ctrlPr>
              </m:sSupPr>
              <m:e>
                <m:r>
                  <m:rPr>
                    <m:nor/>
                  </m:rPr>
                  <w:rPr>
                    <w:rFonts w:ascii="Cambria Math" w:hAnsi="Cambria Math"/>
                    <w:i w:val="0"/>
                  </w:rPr>
                  <m:t xml:space="preserve">π</m:t>
                </m:r>
              </m:e>
              <m:sup>
                <m:r>
                  <m:rPr>
                    <m:nor/>
                  </m:rPr>
                  <w:rPr>
                    <w:rFonts w:ascii="Cambria Math" w:hAnsi="Cambria Math"/>
                    <w:i w:val="0"/>
                  </w:rPr>
                  <m:t xml:space="preserve">2</m:t>
                </m:r>
              </m:sup>
            </m:sSup>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w</m:t>
                    </m:r>
                  </m:e>
                  <m:sub>
                    <m:r>
                      <m:rPr>
                        <m:nor/>
                      </m:rPr>
                      <w:rPr>
                        <w:rFonts w:ascii="Cambria Math" w:hAnsi="Cambria Math"/>
                        <w:i w:val="0"/>
                      </w:rPr>
                      <m:t xml:space="preserve">0</m:t>
                    </m:r>
                  </m:sub>
                </m:sSub>
              </m:e>
              <m:sup>
                <m:r>
                  <m:rPr>
                    <m:nor/>
                  </m:rPr>
                  <w:rPr>
                    <w:rFonts w:ascii="Cambria Math" w:hAnsi="Cambria Math"/>
                    <w:i w:val="0"/>
                  </w:rPr>
                  <m:t xml:space="preserve">2</m:t>
                </m:r>
              </m:sup>
            </m:sSup>
          </m:num>
          <m:den>
            <m:r>
              <m:rPr>
                <m:nor/>
              </m:rPr>
              <w:rPr>
                <w:rFonts w:ascii="Cambria Math" w:hAnsi="Cambria Math"/>
                <w:i w:val="0"/>
              </w:rPr>
              <m:t xml:space="preserve">3</m:t>
            </m:r>
          </m:den>
        </m:f>
        <m:r>
          <m:rPr>
            <m:nor/>
          </m:rPr>
          <w:rPr>
            <w:rFonts w:ascii="Cambria Math" w:hAnsi="Cambria Math"/>
            <w:i w:val="0"/>
          </w:rPr>
          <m:t xml:space="preserve">.</m:t>
        </m:r>
      </m:oMath>
      <w:r>
        <w:tab/>
        <w:t xml:space="preserve">(10)</w:t>
      </w:r>
    </w:p>
    <w:p>
      <w:pPr>
        <w:keepNext w:val="0"/>
        <w:jc w:val="both"/>
      </w:pPr>
      <w:r>
        <w:t xml:space="preserve">The approximation, not the identity, carries the error of this step; it is tested below. </w:t>
      </w:r>
      <w:r>
        <w:rPr>
          <w:b/>
        </w:rPr>
        <w:t>Proposition 3.</w:t>
      </w:r>
      <w:r>
        <w:t xml:space="preserve"> If every capsule relaxes toward its own activation with the common rate constant k</w:t>
      </w:r>
      <w:r>
        <w:rPr>
          <w:vertAlign w:val="subscript"/>
        </w:rPr>
        <w:t>rel</w:t>
      </w:r>
      <w:r>
        <w:t>(T</w:t>
      </w:r>
      <w:r>
        <w:rPr>
          <w:vertAlign w:val="subscript"/>
        </w:rPr>
        <w:t>s</w:t>
      </w:r>
      <w:r>
        <w:t>), then ⟨C⟩(t) = f[1 − exp(−k</w:t>
      </w:r>
      <w:r>
        <w:rPr>
          <w:vertAlign w:val="subscript"/>
        </w:rPr>
        <w:t>rel</w:t>
      </w:r>
      <w:r>
        <w:t>t)] and, in the small-conversion limit (α ≪ 1, (1 − α)</w:t>
      </w:r>
      <w:r>
        <w:rPr>
          <w:vertAlign w:val="superscript"/>
        </w:rPr>
        <w:t>n</w:t>
      </w:r>
      <w:r>
        <w:t xml:space="preserve"> ≈ 1), the storage conversion after a time t is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α</m:t>
            </m:r>
          </m:e>
          <m:sub>
            <m:r>
              <m:rPr>
                <m:nor/>
              </m:rPr>
              <w:rPr>
                <w:rFonts w:ascii="Cambria Math" w:hAnsi="Cambria Math"/>
                <w:i w:val="0"/>
              </w:rPr>
              <m:t xml:space="preserve">s</m:t>
            </m:r>
          </m:sub>
        </m:sSub>
        <m:d>
          <m:dPr>
            <m:begChr m:val="("/>
            <m:endChr m:val=")"/>
            <m:ctrlPr>
              <w:rPr>
                <w:rFonts w:ascii="Cambria Math" w:hAnsi="Cambria Math"/>
                <w:i/>
              </w:rPr>
            </m:ctrlPr>
          </m:dPr>
          <m:e>
            <m:r>
              <m:rPr>
                <m:sty m:val="i"/>
              </m:rPr>
              <w:rPr>
                <w:rFonts w:ascii="Cambria Math" w:hAnsi="Cambria Math"/>
                <w:i/>
              </w:rPr>
              <m:t xml:space="preserve">t</m:t>
            </m:r>
          </m:e>
        </m:d>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a</m:t>
            </m:r>
          </m:num>
          <m:den>
            <m:r>
              <m:rPr>
                <m:sty m:val="i"/>
              </m:rPr>
              <w:rPr>
                <w:rFonts w:ascii="Cambria Math" w:hAnsi="Cambria Math"/>
                <w:i/>
              </w:rPr>
              <m:t xml:space="preserve">b</m:t>
            </m:r>
          </m:den>
        </m:f>
        <m:d>
          <m:dPr>
            <m:begChr m:val="["/>
            <m:endChr m:val="]"/>
            <m:ctrlPr>
              <w:rPr>
                <w:rFonts w:ascii="Cambria Math" w:hAnsi="Cambria Math"/>
                <w:i/>
              </w:rPr>
            </m:ctrlPr>
          </m:dPr>
          <m:e>
            <m:r>
              <m:rPr>
                <m:nor/>
              </m:rPr>
              <w:rPr>
                <w:rFonts w:ascii="Cambria Math" w:hAnsi="Cambria Math"/>
                <w:i w:val="0"/>
              </w:rPr>
              <m:t xml:space="preserve">exp</m:t>
            </m:r>
            <m:d>
              <m:dPr>
                <m:begChr m:val="("/>
                <m:endChr m:val=")"/>
                <m:ctrlPr>
                  <w:rPr>
                    <w:rFonts w:ascii="Cambria Math" w:hAnsi="Cambria Math"/>
                    <w:i/>
                  </w:rPr>
                </m:ctrlPr>
              </m:dPr>
              <m:e>
                <m:r>
                  <m:rPr>
                    <m:sty m:val="i"/>
                  </m:rPr>
                  <w:rPr>
                    <w:rFonts w:ascii="Cambria Math" w:hAnsi="Cambria Math"/>
                    <w:i/>
                  </w:rPr>
                  <m:t xml:space="preserve">b</m:t>
                </m:r>
                <m:r>
                  <m:rPr>
                    <m:sty m:val="i"/>
                  </m:rPr>
                  <w:rPr>
                    <w:rFonts w:ascii="Cambria Math" w:hAnsi="Cambria Math"/>
                    <w:i/>
                  </w:rPr>
                  <m:t xml:space="preserve">f</m:t>
                </m:r>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eff</m:t>
                    </m:r>
                  </m:sub>
                </m:sSub>
              </m:e>
            </m:d>
            <m:r>
              <m:rPr>
                <m:nor/>
              </m:rPr>
              <w:rPr>
                <w:rFonts w:ascii="Cambria Math" w:hAnsi="Cambria Math"/>
                <w:i w:val="0"/>
              </w:rPr>
              <m:t xml:space="preserve"> − </m:t>
            </m:r>
            <m:r>
              <m:rPr>
                <m:nor/>
              </m:rPr>
              <w:rPr>
                <w:rFonts w:ascii="Cambria Math" w:hAnsi="Cambria Math"/>
                <w:i w:val="0"/>
              </w:rPr>
              <m:t xml:space="preserve">1</m:t>
            </m:r>
          </m:e>
        </m:d>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eff</m:t>
            </m:r>
          </m:sub>
        </m:sSub>
        <m:r>
          <m:rPr>
            <m:nor/>
          </m:rPr>
          <w:rPr>
            <w:rFonts w:ascii="Cambria Math" w:hAnsi="Cambria Math"/>
            <w:i w:val="0"/>
          </w:rPr>
          <m:t xml:space="preserve"> = </m:t>
        </m:r>
        <m:r>
          <m:rPr>
            <m:sty m:val="i"/>
          </m:rPr>
          <w:rPr>
            <w:rFonts w:ascii="Cambria Math" w:hAnsi="Cambria Math"/>
            <w:i/>
          </w:rPr>
          <m:t xml:space="preserve">t</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τ</m:t>
            </m:r>
          </m:e>
          <m:sub>
            <m:r>
              <m:rPr>
                <m:nor/>
              </m:rPr>
              <w:rPr>
                <w:rFonts w:ascii="Cambria Math" w:hAnsi="Cambria Math"/>
                <w:i w:val="0"/>
              </w:rPr>
              <m:t xml:space="preserve">rel</m:t>
            </m:r>
          </m:sub>
        </m:sSub>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nor/>
              </m:rPr>
              <w:rPr>
                <w:rFonts w:ascii="Cambria Math" w:hAnsi="Cambria Math"/>
                <w:i w:val="0"/>
              </w:rPr>
              <m:t xml:space="preserve">exp</m:t>
            </m:r>
            <m:d>
              <m:dPr>
                <m:begChr m:val="("/>
                <m:endChr m:val=")"/>
                <m:ctrlPr>
                  <w:rPr>
                    <w:rFonts w:ascii="Cambria Math" w:hAnsi="Cambria Math"/>
                    <w:i/>
                  </w:rPr>
                </m:ctrlPr>
              </m:dPr>
              <m:e>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t</m:t>
                    </m:r>
                  </m:num>
                  <m:den>
                    <m:sSub>
                      <m:sSubPr>
                        <m:ctrlPr>
                          <w:rPr>
                            <w:rFonts w:ascii="Cambria Math" w:hAnsi="Cambria Math"/>
                            <w:i/>
                          </w:rPr>
                        </m:ctrlPr>
                      </m:sSubPr>
                      <m:e>
                        <m:r>
                          <m:rPr>
                            <m:sty m:val="i"/>
                          </m:rPr>
                          <w:rPr>
                            <w:rFonts w:ascii="Cambria Math" w:hAnsi="Cambria Math"/>
                            <w:i/>
                          </w:rPr>
                          <m:t xml:space="preserve">τ</m:t>
                        </m:r>
                      </m:e>
                      <m:sub>
                        <m:r>
                          <m:rPr>
                            <m:nor/>
                          </m:rPr>
                          <w:rPr>
                            <w:rFonts w:ascii="Cambria Math" w:hAnsi="Cambria Math"/>
                            <w:i w:val="0"/>
                          </w:rPr>
                          <m:t xml:space="preserve">rel</m:t>
                        </m:r>
                      </m:sub>
                    </m:sSub>
                  </m:den>
                </m:f>
              </m:e>
            </m:d>
          </m:e>
        </m:d>
        <m:r>
          <m:rPr>
            <m:nor/>
          </m:rPr>
          <w:rPr>
            <w:rFonts w:ascii="Cambria Math" w:hAnsi="Cambria Math"/>
            <w:i w:val="0"/>
          </w:rPr>
          <m:t xml:space="preserve">.</m:t>
        </m:r>
      </m:oMath>
      <w:r>
        <w:tab/>
        <w:t xml:space="preserve">(11)</w:t>
      </w:r>
    </w:p>
    <w:p>
      <w:pPr>
        <w:keepNext w:val="0"/>
        <w:jc w:val="both"/>
      </w:pPr>
      <w:r>
        <w:rPr>
          <w:i/>
        </w:rPr>
        <w:t>Proof.</w:t>
      </w:r>
      <w:r>
        <w:t xml:space="preserve"> In the small-conversion limit the rate law is linear, dα/dt = ⟨C⟩(a + bα), so that α = (a/b)[exp(b s(t)) − 1] with s(t) = ∫⟨C⟩dt = f t</w:t>
      </w:r>
      <w:r>
        <w:rPr>
          <w:vertAlign w:val="subscript"/>
        </w:rPr>
        <w:t>eff</w:t>
      </w:r>
      <w:r>
        <w:t>. ∎ The tolerance η on the storage conversion (a symbol distinct from ε = k</w:t>
      </w:r>
      <w:r>
        <w:rPr>
          <w:vertAlign w:val="subscript"/>
        </w:rPr>
        <w:t>1</w:t>
      </w:r>
      <w:r>
        <w:t>/k</w:t>
      </w:r>
      <w:r>
        <w:rPr>
          <w:vertAlign w:val="subscript"/>
        </w:rPr>
        <w:t>2</w:t>
      </w:r>
      <w:r>
        <w:t>) then fixes the largest admissible open fraction exactly, f</w:t>
      </w:r>
      <w:r>
        <w:rPr>
          <w:vertAlign w:val="superscript"/>
        </w:rPr>
        <w:t>*</w:t>
      </w:r>
      <w:r>
        <w:t xml:space="preserve"> = ln(1 + ηb/a)/(b t</w:t>
      </w:r>
      <w:r>
        <w:rPr>
          <w:vertAlign w:val="subscript"/>
        </w:rPr>
        <w:t>eff</w:t>
      </w:r>
      <w:r>
        <w:t xml:space="preserve">), and the bound on the spread follows by inverting Eq. (10), including </w:t>
      </w:r>
      <w:r>
        <w:rPr>
          <w:i/>
        </w:rPr>
        <w:t>w</w:t>
      </w:r>
      <w:r>
        <w:rPr>
          <w:vertAlign w:val="subscript"/>
        </w:rPr>
        <w:t>0</w:t>
      </w:r>
      <w:r>
        <w:t>:</w:t>
      </w:r>
    </w:p>
    <w:p>
      <w:pPr>
        <w:keepLines/>
        <w:tabs>
          <w:tab w:pos="4680" w:val="center"/>
          <w:tab w:pos="9360" w:val="right"/>
        </w:tabs>
        <w:spacing w:before="120" w:after="120"/>
      </w:pPr>
      <w:r>
        <w:tab/>
      </w:r>
      <m:oMath>
        <m:sSup>
          <m:sSupPr>
            <m:ctrlPr>
              <w:rPr>
                <w:rFonts w:ascii="Cambria Math" w:hAnsi="Cambria Math"/>
                <w:i/>
              </w:rPr>
            </m:ctrlPr>
          </m:sSupPr>
          <m:e>
            <m:r>
              <m:rPr>
                <m:sty m:val="i"/>
              </m:rPr>
              <w:rPr>
                <w:rFonts w:ascii="Cambria Math" w:hAnsi="Cambria Math"/>
                <w:i/>
              </w:rPr>
              <m:t xml:space="preserve">σ</m:t>
            </m:r>
          </m:e>
          <m:sup>
            <m:r>
              <m:rPr>
                <m:nor/>
              </m:rPr>
              <w:rPr>
                <w:rFonts w:ascii="Cambria Math" w:hAnsi="Cambria Math"/>
                <w:i w:val="0"/>
              </w:rPr>
              <m:t xml:space="preserve">*</m:t>
            </m:r>
          </m:sup>
        </m:sSup>
        <m:r>
          <m:rPr>
            <m:nor/>
          </m:rPr>
          <w:rPr>
            <w:rFonts w:ascii="Cambria Math" w:hAnsi="Cambria Math"/>
            <w:i w:val="0"/>
          </w:rPr>
          <m:t xml:space="preserve"> = </m:t>
        </m:r>
        <m:r>
          <m:rPr>
            <m:nor/>
          </m:rPr>
          <w:rPr>
            <w:rFonts w:ascii="Cambria Math" w:hAnsi="Cambria Math"/>
            <w:i w:val="0"/>
          </w:rPr>
          <m:t xml:space="preserve">√</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m:rPr>
                        <m:sty m:val="i"/>
                      </m:rPr>
                      <w:rPr>
                        <w:rFonts w:ascii="Cambria Math" w:hAnsi="Cambria Math"/>
                        <w:i/>
                      </w:rPr>
                      <m:t xml:space="preserve">Δ</m:t>
                    </m:r>
                  </m:num>
                  <m:den>
                    <m:sSup>
                      <m:sSupPr>
                        <m:ctrlPr>
                          <w:rPr>
                            <w:rFonts w:ascii="Cambria Math" w:hAnsi="Cambria Math"/>
                            <w:i/>
                          </w:rPr>
                        </m:ctrlPr>
                      </m:sSupPr>
                      <m:e>
                        <m:r>
                          <m:rPr>
                            <m:sty m:val="i"/>
                          </m:rPr>
                          <w:rPr>
                            <w:rFonts w:ascii="Cambria Math" w:hAnsi="Cambria Math"/>
                            <w:i/>
                          </w:rPr>
                          <m:t xml:space="preserve">z</m:t>
                        </m:r>
                      </m:e>
                      <m:sup>
                        <m:r>
                          <m:rPr>
                            <m:nor/>
                          </m:rPr>
                          <w:rPr>
                            <w:rFonts w:ascii="Cambria Math" w:hAnsi="Cambria Math"/>
                            <w:i w:val="0"/>
                          </w:rPr>
                          <m:t xml:space="preserve">*</m:t>
                        </m:r>
                      </m:sup>
                    </m:sSup>
                  </m:den>
                </m:f>
              </m:e>
            </m:d>
            <m:r>
              <m:rPr>
                <m:nor/>
              </m:rPr>
              <w:rPr>
                <w:rFonts w:ascii="Cambria Math" w:hAnsi="Cambria Math"/>
                <w:i w:val="0"/>
              </w:rPr>
              <m:t xml:space="preserve">²</m:t>
            </m:r>
            <m:r>
              <m:rPr>
                <m:nor/>
              </m:rPr>
              <w:rPr>
                <w:rFonts w:ascii="Cambria Math" w:hAnsi="Cambria Math"/>
                <w:i w:val="0"/>
              </w:rPr>
              <m:t xml:space="preserve"> − </m:t>
            </m:r>
            <m:f>
              <m:fPr>
                <m:ctrlPr>
                  <w:rPr>
                    <w:rFonts w:ascii="Cambria Math" w:hAnsi="Cambria Math"/>
                    <w:i/>
                  </w:rPr>
                </m:ctrlPr>
              </m:fPr>
              <m:num>
                <m:sSup>
                  <m:sSupPr>
                    <m:ctrlPr>
                      <w:rPr>
                        <w:rFonts w:ascii="Cambria Math" w:hAnsi="Cambria Math"/>
                        <w:i/>
                      </w:rPr>
                    </m:ctrlPr>
                  </m:sSupPr>
                  <m:e>
                    <m:r>
                      <m:rPr>
                        <m:nor/>
                      </m:rPr>
                      <w:rPr>
                        <w:rFonts w:ascii="Cambria Math" w:hAnsi="Cambria Math"/>
                        <w:i w:val="0"/>
                      </w:rPr>
                      <m:t xml:space="preserve">π</m:t>
                    </m:r>
                  </m:e>
                  <m:sup>
                    <m:r>
                      <m:rPr>
                        <m:nor/>
                      </m:rPr>
                      <w:rPr>
                        <w:rFonts w:ascii="Cambria Math" w:hAnsi="Cambria Math"/>
                        <w:i w:val="0"/>
                      </w:rPr>
                      <m:t xml:space="preserve">2</m:t>
                    </m:r>
                  </m:sup>
                </m:sSup>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w</m:t>
                        </m:r>
                      </m:e>
                      <m:sub>
                        <m:r>
                          <m:rPr>
                            <m:nor/>
                          </m:rPr>
                          <w:rPr>
                            <w:rFonts w:ascii="Cambria Math" w:hAnsi="Cambria Math"/>
                            <w:i w:val="0"/>
                          </w:rPr>
                          <m:t xml:space="preserve">0</m:t>
                        </m:r>
                      </m:sub>
                    </m:sSub>
                  </m:e>
                  <m:sup>
                    <m:r>
                      <m:rPr>
                        <m:nor/>
                      </m:rPr>
                      <w:rPr>
                        <w:rFonts w:ascii="Cambria Math" w:hAnsi="Cambria Math"/>
                        <w:i w:val="0"/>
                      </w:rPr>
                      <m:t xml:space="preserve">2</m:t>
                    </m:r>
                  </m:sup>
                </m:sSup>
              </m:num>
              <m:den>
                <m:r>
                  <m:rPr>
                    <m:nor/>
                  </m:rPr>
                  <w:rPr>
                    <w:rFonts w:ascii="Cambria Math" w:hAnsi="Cambria Math"/>
                    <w:i w:val="0"/>
                  </w:rPr>
                  <m:t xml:space="preserve">3</m:t>
                </m:r>
              </m:den>
            </m:f>
          </m:e>
        </m:d>
        <m:r>
          <m:rPr>
            <m:nor/>
          </m:rPr>
          <w:rPr>
            <w:rFonts w:ascii="Cambria Math" w:hAnsi="Cambria Math"/>
            <w:i w:val="0"/>
          </w:rPr>
          <m:t xml:space="preserve">,   </m:t>
        </m:r>
        <m:sSup>
          <m:sSupPr>
            <m:ctrlPr>
              <w:rPr>
                <w:rFonts w:ascii="Cambria Math" w:hAnsi="Cambria Math"/>
                <w:i/>
              </w:rPr>
            </m:ctrlPr>
          </m:sSupPr>
          <m:e>
            <m:r>
              <m:rPr>
                <m:sty m:val="i"/>
              </m:rPr>
              <w:rPr>
                <w:rFonts w:ascii="Cambria Math" w:hAnsi="Cambria Math"/>
                <w:i/>
              </w:rPr>
              <m:t xml:space="preserve">z</m:t>
            </m:r>
          </m:e>
          <m:sup>
            <m:r>
              <m:rPr>
                <m:nor/>
              </m:rPr>
              <w:rPr>
                <w:rFonts w:ascii="Cambria Math" w:hAnsi="Cambria Math"/>
                <w:i w:val="0"/>
              </w:rPr>
              <m:t xml:space="preserve">*</m:t>
            </m:r>
          </m:sup>
        </m:sSup>
        <m:r>
          <m:rPr>
            <m:nor/>
          </m:rPr>
          <w:rPr>
            <w:rFonts w:ascii="Cambria Math" w:hAnsi="Cambria Math"/>
            <w:i w:val="0"/>
          </w:rPr>
          <m:t xml:space="preserve"> = </m:t>
        </m:r>
        <m:r>
          <m:rPr>
            <m:nor/>
          </m:rPr>
          <w:rPr>
            <w:rFonts w:ascii="Cambria Math" w:hAnsi="Cambria Math"/>
            <w:i w:val="0"/>
          </w:rPr>
          <m:t xml:space="preserve"> − </m:t>
        </m:r>
        <m:sSup>
          <m:sSupPr>
            <m:ctrlPr>
              <w:rPr>
                <w:rFonts w:ascii="Cambria Math" w:hAnsi="Cambria Math"/>
                <w:i/>
              </w:rPr>
            </m:ctrlPr>
          </m:sSupPr>
          <m:e>
            <m:r>
              <m:rPr>
                <m:nor/>
              </m:rPr>
              <w:rPr>
                <w:rFonts w:ascii="Cambria Math" w:hAnsi="Cambria Math"/>
                <w:i w:val="0"/>
              </w:rPr>
              <m:t xml:space="preserve">Φ</m:t>
            </m:r>
          </m:e>
          <m:sup>
            <m:r>
              <m:rPr>
                <m:nor/>
              </m:rPr>
              <w:rPr>
                <w:rFonts w:ascii="Cambria Math" w:hAnsi="Cambria Math"/>
                <w:i w:val="0"/>
              </w:rPr>
              <m:t xml:space="preserve">−1</m:t>
            </m:r>
          </m:sup>
        </m:sSup>
        <m:d>
          <m:dPr>
            <m:begChr m:val="("/>
            <m:endChr m:val=")"/>
            <m:ctrlPr>
              <w:rPr>
                <w:rFonts w:ascii="Cambria Math" w:hAnsi="Cambria Math"/>
                <w:i/>
              </w:rPr>
            </m:ctrlPr>
          </m:dPr>
          <m:e>
            <m:sSup>
              <m:sSupPr>
                <m:ctrlPr>
                  <w:rPr>
                    <w:rFonts w:ascii="Cambria Math" w:hAnsi="Cambria Math"/>
                    <w:i/>
                  </w:rPr>
                </m:ctrlPr>
              </m:sSupPr>
              <m:e>
                <m:r>
                  <m:rPr>
                    <m:sty m:val="i"/>
                  </m:rPr>
                  <w:rPr>
                    <w:rFonts w:ascii="Cambria Math" w:hAnsi="Cambria Math"/>
                    <w:i/>
                  </w:rPr>
                  <m:t xml:space="preserve">f</m:t>
                </m:r>
              </m:e>
              <m:sup>
                <m:r>
                  <m:rPr>
                    <m:nor/>
                  </m:rPr>
                  <w:rPr>
                    <w:rFonts w:ascii="Cambria Math" w:hAnsi="Cambria Math"/>
                    <w:i w:val="0"/>
                  </w:rPr>
                  <m:t xml:space="preserve">*</m:t>
                </m:r>
              </m:sup>
            </m:sSup>
          </m:e>
        </m:d>
        <m:r>
          <m:rPr>
            <m:nor/>
          </m:rPr>
          <w:rPr>
            <w:rFonts w:ascii="Cambria Math" w:hAnsi="Cambria Math"/>
            <w:i w:val="0"/>
          </w:rPr>
          <m:t xml:space="preserve">.</m:t>
        </m:r>
      </m:oMath>
      <w:r>
        <w:tab/>
        <w:t xml:space="preserve">(12)</w:t>
      </w:r>
    </w:p>
    <w:p>
      <w:pPr>
        <w:keepNext w:val="0"/>
        <w:jc w:val="both"/>
      </w:pPr>
      <w:r>
        <w:t>This is defined for 0 &lt; f</w:t>
      </w:r>
      <w:r>
        <w:rPr>
          <w:vertAlign w:val="superscript"/>
        </w:rPr>
        <w:t>*</w:t>
      </w:r>
      <w:r>
        <w:t xml:space="preserve"> &lt; 1/2 (a finite positive bound). If f</w:t>
      </w:r>
      <w:r>
        <w:rPr>
          <w:vertAlign w:val="superscript"/>
        </w:rPr>
        <w:t>*</w:t>
      </w:r>
      <w:r>
        <w:t xml:space="preserve"> ≥ 1/2 no finite upper bound on the spread is imposed, because even a population centered at the margin Δ above the storage temperature cannot exceed the tolerance; if the radicand is negative, even σ = 0 violates the tolerance because the logistic width alone opens too large a fraction. Eq. (12) with </w:t>
      </w:r>
      <w:r>
        <w:rPr>
          <w:i/>
        </w:rPr>
        <w:t>w</w:t>
      </w:r>
      <w:r>
        <w:rPr>
          <w:vertAlign w:val="subscript"/>
        </w:rPr>
        <w:t>0</w:t>
      </w:r>
      <w:r>
        <w:t xml:space="preserve"> = 0.5 °C generated Table 3; the column for </w:t>
      </w:r>
      <w:r>
        <w:rPr>
          <w:i/>
        </w:rPr>
        <w:t>w</w:t>
      </w:r>
      <w:r>
        <w:rPr>
          <w:vertAlign w:val="subscript"/>
        </w:rPr>
        <w:t>0</w:t>
      </w:r>
      <w:r>
        <w:t xml:space="preserve"> → 0 shows the limit, which differs from it most for the narrowest widths. We tested the closed forms against the capsule-population equations (K = 801 deterministic Gaussian quantiles of the melting temperature, constant temperature, t = 150 min) for margins of 3, 6 and 10 °C and spreads of 2–10 °C: the storage conversions agree within 4 % (difference = closed form/numerical − 1; median ratio 0.992), the closed form agrees with the defining integral to 4e-16, and the spread σ</w:t>
      </w:r>
      <w:r>
        <w:rPr>
          <w:vertAlign w:val="superscript"/>
        </w:rPr>
        <w:t>*</w:t>
      </w:r>
      <w:r>
        <w:t xml:space="preserve"> that solves α</w:t>
      </w:r>
      <w:r>
        <w:rPr>
          <w:vertAlign w:val="subscript"/>
        </w:rPr>
        <w:t>s</w:t>
      </w:r>
      <w:r>
        <w:t xml:space="preserve"> = η agrees with the root of the population equations within 3 % for all 8 cases in which the ODE reaches η (Table 3). For η = 0.01 and a 6 °C margin the bound is σ</w:t>
      </w:r>
      <w:r>
        <w:rPr>
          <w:vertAlign w:val="superscript"/>
        </w:rPr>
        <w:t>*</w:t>
      </w:r>
      <w:r>
        <w:t xml:space="preserve"> = 5.9 °C.</w:t>
      </w:r>
    </w:p>
    <w:p>
      <w:pPr>
        <w:keepNext/>
        <w:spacing w:line="276" w:lineRule="auto" w:after="200"/>
      </w:pPr>
      <w:r>
        <w:rPr>
          <w:b/>
          <w:sz w:val="19"/>
        </w:rPr>
        <w:t>Table 3</w:t>
      </w:r>
      <w:r>
        <w:rPr>
          <w:sz w:val="19"/>
        </w:rPr>
        <w:t xml:space="preserve"> Largest admissible melting-temperature spread σ</w:t>
      </w:r>
      <w:r>
        <w:rPr>
          <w:sz w:val="19"/>
          <w:vertAlign w:val="superscript"/>
        </w:rPr>
        <w:t>*</w:t>
      </w:r>
      <w:r>
        <w:rPr>
          <w:sz w:val="19"/>
        </w:rPr>
        <w:t xml:space="preserve"> for a storage time of 150 min and </w:t>
      </w:r>
      <w:r>
        <w:rPr>
          <w:i/>
          <w:sz w:val="19"/>
        </w:rPr>
        <w:t>w</w:t>
      </w:r>
      <w:r>
        <w:rPr>
          <w:sz w:val="19"/>
          <w:vertAlign w:val="subscript"/>
        </w:rPr>
        <w:t>0</w:t>
      </w:r>
      <w:r>
        <w:rPr>
          <w:sz w:val="19"/>
        </w:rPr>
        <w:t xml:space="preserve"> = 0.5 °C: Eq. (12), its </w:t>
      </w:r>
      <w:r>
        <w:rPr>
          <w:i/>
          <w:sz w:val="19"/>
        </w:rPr>
        <w:t>w</w:t>
      </w:r>
      <w:r>
        <w:rPr>
          <w:sz w:val="19"/>
          <w:vertAlign w:val="subscript"/>
        </w:rPr>
        <w:t>0</w:t>
      </w:r>
      <w:r>
        <w:rPr>
          <w:sz w:val="19"/>
        </w:rPr>
        <w:t xml:space="preserve"> → 0 limit, and root-finding on the population equations (difference = closed form/ODE − 1).</w:t>
      </w:r>
    </w:p>
    <w:tbl>
      <w:tblPr>
        <w:tblStyle w:val="TableGrid"/>
        <w:tblW w:type="auto" w:w="0"/>
        <w:jc w:val="center"/>
        <w:tblLayout w:type="fixed"/>
        <w:tblLook w:firstColumn="1" w:firstRow="1" w:lastColumn="0" w:lastRow="0" w:noHBand="0" w:noVBand="1" w:val="04A0"/>
      </w:tblPr>
      <w:tblGrid>
        <w:gridCol w:w="1296"/>
        <w:gridCol w:w="1152"/>
        <w:gridCol w:w="1008"/>
        <w:gridCol w:w="2016"/>
        <w:gridCol w:w="1584"/>
        <w:gridCol w:w="1872"/>
        <w:gridCol w:w="1152"/>
      </w:tblGrid>
      <w:tr>
        <w:trPr>
          <w:tblHeader w:val="true"/>
        </w:trPr>
        <w:tc>
          <w:tcPr>
            <w:tcW w:type="dxa" w:w="1296"/>
            <w:shd w:val="clear" w:color="auto" w:fill="E7ECF1"/>
          </w:tcPr>
          <w:p>
            <w:pPr>
              <w:spacing w:line="240" w:lineRule="auto" w:after="20"/>
            </w:pPr>
            <w:r/>
            <w:r>
              <w:rPr>
                <w:b/>
                <w:sz w:val="16"/>
              </w:rPr>
              <w:t>Margin Δ (°C)</w:t>
            </w:r>
          </w:p>
        </w:tc>
        <w:tc>
          <w:tcPr>
            <w:tcW w:type="dxa" w:w="1152"/>
            <w:shd w:val="clear" w:color="auto" w:fill="E7ECF1"/>
          </w:tcPr>
          <w:p>
            <w:pPr>
              <w:spacing w:line="240" w:lineRule="auto" w:after="20"/>
            </w:pPr>
            <w:r/>
            <w:r>
              <w:rPr>
                <w:b/>
                <w:sz w:val="16"/>
              </w:rPr>
              <w:t>Tolerance η</w:t>
            </w:r>
          </w:p>
        </w:tc>
        <w:tc>
          <w:tcPr>
            <w:tcW w:type="dxa" w:w="1008"/>
            <w:shd w:val="clear" w:color="auto" w:fill="E7ECF1"/>
          </w:tcPr>
          <w:p>
            <w:pPr>
              <w:spacing w:line="240" w:lineRule="auto" w:after="20"/>
            </w:pPr>
            <w:r/>
            <w:r>
              <w:rPr>
                <w:b/>
                <w:sz w:val="16"/>
              </w:rPr>
              <w:t>f</w:t>
            </w:r>
            <w:r>
              <w:rPr>
                <w:b/>
                <w:sz w:val="16"/>
                <w:vertAlign w:val="superscript"/>
              </w:rPr>
              <w:t>*</w:t>
            </w:r>
          </w:p>
        </w:tc>
        <w:tc>
          <w:tcPr>
            <w:tcW w:type="dxa" w:w="2016"/>
            <w:shd w:val="clear" w:color="auto" w:fill="E7ECF1"/>
          </w:tcPr>
          <w:p>
            <w:pPr>
              <w:spacing w:line="240" w:lineRule="auto" w:after="20"/>
            </w:pPr>
            <w:r/>
            <w:r>
              <w:rPr>
                <w:b/>
                <w:sz w:val="16"/>
              </w:rPr>
              <w:t>σ</w:t>
            </w:r>
            <w:r>
              <w:rPr>
                <w:b/>
                <w:sz w:val="16"/>
                <w:vertAlign w:val="superscript"/>
              </w:rPr>
              <w:t>*</w:t>
            </w:r>
            <w:r>
              <w:rPr>
                <w:b/>
                <w:sz w:val="16"/>
              </w:rPr>
              <w:t xml:space="preserve"> Eq. (12) (°C)</w:t>
            </w:r>
          </w:p>
        </w:tc>
        <w:tc>
          <w:tcPr>
            <w:tcW w:type="dxa" w:w="1584"/>
            <w:shd w:val="clear" w:color="auto" w:fill="E7ECF1"/>
          </w:tcPr>
          <w:p>
            <w:pPr>
              <w:spacing w:line="240" w:lineRule="auto" w:after="20"/>
            </w:pPr>
            <w:r/>
            <w:r>
              <w:rPr>
                <w:b/>
                <w:sz w:val="16"/>
              </w:rPr>
              <w:t>σ</w:t>
            </w:r>
            <w:r>
              <w:rPr>
                <w:b/>
                <w:sz w:val="16"/>
                <w:vertAlign w:val="superscript"/>
              </w:rPr>
              <w:t>*</w:t>
            </w:r>
            <w:r>
              <w:rPr>
                <w:b/>
                <w:sz w:val="16"/>
              </w:rPr>
              <w:t>, w</w:t>
            </w:r>
            <w:r>
              <w:rPr>
                <w:b/>
                <w:sz w:val="16"/>
                <w:vertAlign w:val="subscript"/>
              </w:rPr>
              <w:t>0</w:t>
            </w:r>
            <w:r>
              <w:rPr>
                <w:b/>
                <w:sz w:val="16"/>
              </w:rPr>
              <w:t xml:space="preserve"> → 0 (°C)</w:t>
            </w:r>
          </w:p>
        </w:tc>
        <w:tc>
          <w:tcPr>
            <w:tcW w:type="dxa" w:w="1872"/>
            <w:shd w:val="clear" w:color="auto" w:fill="E7ECF1"/>
          </w:tcPr>
          <w:p>
            <w:pPr>
              <w:spacing w:line="240" w:lineRule="auto" w:after="20"/>
            </w:pPr>
            <w:r/>
            <w:r>
              <w:rPr>
                <w:b/>
                <w:sz w:val="16"/>
              </w:rPr>
              <w:t>σ</w:t>
            </w:r>
            <w:r>
              <w:rPr>
                <w:b/>
                <w:sz w:val="16"/>
                <w:vertAlign w:val="superscript"/>
              </w:rPr>
              <w:t>*</w:t>
            </w:r>
            <w:r>
              <w:rPr>
                <w:b/>
                <w:sz w:val="16"/>
              </w:rPr>
              <w:t xml:space="preserve"> population ODE (°C)</w:t>
            </w:r>
          </w:p>
        </w:tc>
        <w:tc>
          <w:tcPr>
            <w:tcW w:type="dxa" w:w="1152"/>
            <w:shd w:val="clear" w:color="auto" w:fill="E7ECF1"/>
          </w:tcPr>
          <w:p>
            <w:pPr>
              <w:spacing w:line="240" w:lineRule="auto" w:after="20"/>
            </w:pPr>
            <w:r/>
            <w:r>
              <w:rPr>
                <w:b/>
                <w:sz w:val="16"/>
              </w:rPr>
              <w:t>Difference</w:t>
            </w:r>
          </w:p>
        </w:tc>
      </w:tr>
      <w:tr>
        <w:tc>
          <w:tcPr>
            <w:tcW w:type="dxa" w:w="1296"/>
          </w:tcPr>
          <w:p>
            <w:pPr>
              <w:spacing w:line="240" w:lineRule="auto" w:after="20"/>
            </w:pPr>
            <w:r/>
            <w:r>
              <w:rPr>
                <w:sz w:val="16"/>
              </w:rPr>
              <w:t>3</w:t>
            </w:r>
          </w:p>
        </w:tc>
        <w:tc>
          <w:tcPr>
            <w:tcW w:type="dxa" w:w="1152"/>
          </w:tcPr>
          <w:p>
            <w:pPr>
              <w:spacing w:line="240" w:lineRule="auto" w:after="20"/>
            </w:pPr>
            <w:r/>
            <w:r>
              <w:rPr>
                <w:sz w:val="16"/>
              </w:rPr>
              <w:t>0.001</w:t>
            </w:r>
          </w:p>
        </w:tc>
        <w:tc>
          <w:tcPr>
            <w:tcW w:type="dxa" w:w="1008"/>
          </w:tcPr>
          <w:p>
            <w:pPr>
              <w:spacing w:line="240" w:lineRule="auto" w:after="20"/>
            </w:pPr>
            <w:r/>
            <w:r>
              <w:rPr>
                <w:sz w:val="16"/>
              </w:rPr>
              <w:t>0.019</w:t>
            </w:r>
          </w:p>
        </w:tc>
        <w:tc>
          <w:tcPr>
            <w:tcW w:type="dxa" w:w="2016"/>
          </w:tcPr>
          <w:p>
            <w:pPr>
              <w:spacing w:line="240" w:lineRule="auto" w:after="20"/>
            </w:pPr>
            <w:r/>
            <w:r>
              <w:rPr>
                <w:sz w:val="16"/>
              </w:rPr>
              <w:t>1.13</w:t>
            </w:r>
          </w:p>
        </w:tc>
        <w:tc>
          <w:tcPr>
            <w:tcW w:type="dxa" w:w="1584"/>
          </w:tcPr>
          <w:p>
            <w:pPr>
              <w:spacing w:line="240" w:lineRule="auto" w:after="20"/>
            </w:pPr>
            <w:r/>
            <w:r>
              <w:rPr>
                <w:sz w:val="16"/>
              </w:rPr>
              <w:t>1.45</w:t>
            </w:r>
          </w:p>
        </w:tc>
        <w:tc>
          <w:tcPr>
            <w:tcW w:type="dxa" w:w="1872"/>
          </w:tcPr>
          <w:p>
            <w:pPr>
              <w:spacing w:line="240" w:lineRule="auto" w:after="20"/>
            </w:pPr>
            <w:r/>
            <w:r>
              <w:rPr>
                <w:sz w:val="16"/>
              </w:rPr>
              <w:t>1.12</w:t>
            </w:r>
          </w:p>
        </w:tc>
        <w:tc>
          <w:tcPr>
            <w:tcW w:type="dxa" w:w="1152"/>
          </w:tcPr>
          <w:p>
            <w:pPr>
              <w:spacing w:line="240" w:lineRule="auto" w:after="20"/>
            </w:pPr>
            <w:r/>
            <w:r>
              <w:rPr>
                <w:sz w:val="16"/>
              </w:rPr>
              <w:t>+1.4 %</w:t>
            </w:r>
          </w:p>
        </w:tc>
      </w:tr>
      <w:tr>
        <w:tc>
          <w:tcPr>
            <w:tcW w:type="dxa" w:w="1296"/>
          </w:tcPr>
          <w:p>
            <w:pPr>
              <w:spacing w:line="240" w:lineRule="auto" w:after="20"/>
            </w:pPr>
            <w:r/>
            <w:r>
              <w:rPr>
                <w:sz w:val="16"/>
              </w:rPr>
              <w:t>3</w:t>
            </w:r>
          </w:p>
        </w:tc>
        <w:tc>
          <w:tcPr>
            <w:tcW w:type="dxa" w:w="1152"/>
          </w:tcPr>
          <w:p>
            <w:pPr>
              <w:spacing w:line="240" w:lineRule="auto" w:after="20"/>
            </w:pPr>
            <w:r/>
            <w:r>
              <w:rPr>
                <w:sz w:val="16"/>
              </w:rPr>
              <w:t>0.01</w:t>
            </w:r>
          </w:p>
        </w:tc>
        <w:tc>
          <w:tcPr>
            <w:tcW w:type="dxa" w:w="1008"/>
          </w:tcPr>
          <w:p>
            <w:pPr>
              <w:spacing w:line="240" w:lineRule="auto" w:after="20"/>
            </w:pPr>
            <w:r/>
            <w:r>
              <w:rPr>
                <w:sz w:val="16"/>
              </w:rPr>
              <w:t>0.134</w:t>
            </w:r>
          </w:p>
        </w:tc>
        <w:tc>
          <w:tcPr>
            <w:tcW w:type="dxa" w:w="2016"/>
          </w:tcPr>
          <w:p>
            <w:pPr>
              <w:spacing w:line="240" w:lineRule="auto" w:after="20"/>
            </w:pPr>
            <w:r/>
            <w:r>
              <w:rPr>
                <w:sz w:val="16"/>
              </w:rPr>
              <w:t>2.55</w:t>
            </w:r>
          </w:p>
        </w:tc>
        <w:tc>
          <w:tcPr>
            <w:tcW w:type="dxa" w:w="1584"/>
          </w:tcPr>
          <w:p>
            <w:pPr>
              <w:spacing w:line="240" w:lineRule="auto" w:after="20"/>
            </w:pPr>
            <w:r/>
            <w:r>
              <w:rPr>
                <w:sz w:val="16"/>
              </w:rPr>
              <w:t>2.71</w:t>
            </w:r>
          </w:p>
        </w:tc>
        <w:tc>
          <w:tcPr>
            <w:tcW w:type="dxa" w:w="1872"/>
          </w:tcPr>
          <w:p>
            <w:pPr>
              <w:spacing w:line="240" w:lineRule="auto" w:after="20"/>
            </w:pPr>
            <w:r/>
            <w:r>
              <w:rPr>
                <w:sz w:val="16"/>
              </w:rPr>
              <w:t>2.52</w:t>
            </w:r>
          </w:p>
        </w:tc>
        <w:tc>
          <w:tcPr>
            <w:tcW w:type="dxa" w:w="1152"/>
          </w:tcPr>
          <w:p>
            <w:pPr>
              <w:spacing w:line="240" w:lineRule="auto" w:after="20"/>
            </w:pPr>
            <w:r/>
            <w:r>
              <w:rPr>
                <w:sz w:val="16"/>
              </w:rPr>
              <w:t>+1.1 %</w:t>
            </w:r>
          </w:p>
        </w:tc>
      </w:tr>
      <w:tr>
        <w:tc>
          <w:tcPr>
            <w:tcW w:type="dxa" w:w="1296"/>
          </w:tcPr>
          <w:p>
            <w:pPr>
              <w:spacing w:line="240" w:lineRule="auto" w:after="20"/>
            </w:pPr>
            <w:r/>
            <w:r>
              <w:rPr>
                <w:sz w:val="16"/>
              </w:rPr>
              <w:t>3</w:t>
            </w:r>
          </w:p>
        </w:tc>
        <w:tc>
          <w:tcPr>
            <w:tcW w:type="dxa" w:w="1152"/>
          </w:tcPr>
          <w:p>
            <w:pPr>
              <w:spacing w:line="240" w:lineRule="auto" w:after="20"/>
            </w:pPr>
            <w:r/>
            <w:r>
              <w:rPr>
                <w:sz w:val="16"/>
              </w:rPr>
              <w:t>0.05</w:t>
            </w:r>
          </w:p>
        </w:tc>
        <w:tc>
          <w:tcPr>
            <w:tcW w:type="dxa" w:w="1008"/>
          </w:tcPr>
          <w:p>
            <w:pPr>
              <w:spacing w:line="240" w:lineRule="auto" w:after="20"/>
            </w:pPr>
            <w:r/>
            <w:r>
              <w:rPr>
                <w:sz w:val="16"/>
              </w:rPr>
              <w:t>0.331</w:t>
            </w:r>
          </w:p>
        </w:tc>
        <w:tc>
          <w:tcPr>
            <w:tcW w:type="dxa" w:w="2016"/>
          </w:tcPr>
          <w:p>
            <w:pPr>
              <w:spacing w:line="240" w:lineRule="auto" w:after="20"/>
            </w:pPr>
            <w:r/>
            <w:r>
              <w:rPr>
                <w:sz w:val="16"/>
              </w:rPr>
              <w:t>6.79</w:t>
            </w:r>
          </w:p>
        </w:tc>
        <w:tc>
          <w:tcPr>
            <w:tcW w:type="dxa" w:w="1584"/>
          </w:tcPr>
          <w:p>
            <w:pPr>
              <w:spacing w:line="240" w:lineRule="auto" w:after="20"/>
            </w:pPr>
            <w:r/>
            <w:r>
              <w:rPr>
                <w:sz w:val="16"/>
              </w:rPr>
              <w:t>6.85</w:t>
            </w:r>
          </w:p>
        </w:tc>
        <w:tc>
          <w:tcPr>
            <w:tcW w:type="dxa" w:w="1872"/>
          </w:tcPr>
          <w:p>
            <w:pPr>
              <w:spacing w:line="240" w:lineRule="auto" w:after="20"/>
            </w:pPr>
            <w:r/>
            <w:r>
              <w:rPr>
                <w:sz w:val="16"/>
              </w:rPr>
              <w:t>6.59</w:t>
            </w:r>
          </w:p>
        </w:tc>
        <w:tc>
          <w:tcPr>
            <w:tcW w:type="dxa" w:w="1152"/>
          </w:tcPr>
          <w:p>
            <w:pPr>
              <w:spacing w:line="240" w:lineRule="auto" w:after="20"/>
            </w:pPr>
            <w:r/>
            <w:r>
              <w:rPr>
                <w:sz w:val="16"/>
              </w:rPr>
              <w:t>+3.0 %</w:t>
            </w:r>
          </w:p>
        </w:tc>
      </w:tr>
      <w:tr>
        <w:tc>
          <w:tcPr>
            <w:tcW w:type="dxa" w:w="1296"/>
          </w:tcPr>
          <w:p>
            <w:pPr>
              <w:spacing w:line="240" w:lineRule="auto" w:after="20"/>
            </w:pPr>
            <w:r/>
            <w:r>
              <w:rPr>
                <w:sz w:val="16"/>
              </w:rPr>
              <w:t>6</w:t>
            </w:r>
          </w:p>
        </w:tc>
        <w:tc>
          <w:tcPr>
            <w:tcW w:type="dxa" w:w="1152"/>
          </w:tcPr>
          <w:p>
            <w:pPr>
              <w:spacing w:line="240" w:lineRule="auto" w:after="20"/>
            </w:pPr>
            <w:r/>
            <w:r>
              <w:rPr>
                <w:sz w:val="16"/>
              </w:rPr>
              <w:t>0.001</w:t>
            </w:r>
          </w:p>
        </w:tc>
        <w:tc>
          <w:tcPr>
            <w:tcW w:type="dxa" w:w="1008"/>
          </w:tcPr>
          <w:p>
            <w:pPr>
              <w:spacing w:line="240" w:lineRule="auto" w:after="20"/>
            </w:pPr>
            <w:r/>
            <w:r>
              <w:rPr>
                <w:sz w:val="16"/>
              </w:rPr>
              <w:t>0.022</w:t>
            </w:r>
          </w:p>
        </w:tc>
        <w:tc>
          <w:tcPr>
            <w:tcW w:type="dxa" w:w="2016"/>
          </w:tcPr>
          <w:p>
            <w:pPr>
              <w:spacing w:line="240" w:lineRule="auto" w:after="20"/>
            </w:pPr>
            <w:r/>
            <w:r>
              <w:rPr>
                <w:sz w:val="16"/>
              </w:rPr>
              <w:t>2.84</w:t>
            </w:r>
          </w:p>
        </w:tc>
        <w:tc>
          <w:tcPr>
            <w:tcW w:type="dxa" w:w="1584"/>
          </w:tcPr>
          <w:p>
            <w:pPr>
              <w:spacing w:line="240" w:lineRule="auto" w:after="20"/>
            </w:pPr>
            <w:r/>
            <w:r>
              <w:rPr>
                <w:sz w:val="16"/>
              </w:rPr>
              <w:t>2.99</w:t>
            </w:r>
          </w:p>
        </w:tc>
        <w:tc>
          <w:tcPr>
            <w:tcW w:type="dxa" w:w="1872"/>
          </w:tcPr>
          <w:p>
            <w:pPr>
              <w:spacing w:line="240" w:lineRule="auto" w:after="20"/>
            </w:pPr>
            <w:r/>
            <w:r>
              <w:rPr>
                <w:sz w:val="16"/>
              </w:rPr>
              <w:t>2.84</w:t>
            </w:r>
          </w:p>
        </w:tc>
        <w:tc>
          <w:tcPr>
            <w:tcW w:type="dxa" w:w="1152"/>
          </w:tcPr>
          <w:p>
            <w:pPr>
              <w:spacing w:line="240" w:lineRule="auto" w:after="20"/>
            </w:pPr>
            <w:r/>
            <w:r>
              <w:rPr>
                <w:sz w:val="16"/>
              </w:rPr>
              <w:t>+0.1 %</w:t>
            </w:r>
          </w:p>
        </w:tc>
      </w:tr>
      <w:tr>
        <w:tc>
          <w:tcPr>
            <w:tcW w:type="dxa" w:w="1296"/>
          </w:tcPr>
          <w:p>
            <w:pPr>
              <w:spacing w:line="240" w:lineRule="auto" w:after="20"/>
            </w:pPr>
            <w:r/>
            <w:r>
              <w:rPr>
                <w:sz w:val="16"/>
              </w:rPr>
              <w:t>6</w:t>
            </w:r>
          </w:p>
        </w:tc>
        <w:tc>
          <w:tcPr>
            <w:tcW w:type="dxa" w:w="1152"/>
          </w:tcPr>
          <w:p>
            <w:pPr>
              <w:spacing w:line="240" w:lineRule="auto" w:after="20"/>
            </w:pPr>
            <w:r/>
            <w:r>
              <w:rPr>
                <w:sz w:val="16"/>
              </w:rPr>
              <w:t>0.01</w:t>
            </w:r>
          </w:p>
        </w:tc>
        <w:tc>
          <w:tcPr>
            <w:tcW w:type="dxa" w:w="1008"/>
          </w:tcPr>
          <w:p>
            <w:pPr>
              <w:spacing w:line="240" w:lineRule="auto" w:after="20"/>
            </w:pPr>
            <w:r/>
            <w:r>
              <w:rPr>
                <w:sz w:val="16"/>
              </w:rPr>
              <w:t>0.156</w:t>
            </w:r>
          </w:p>
        </w:tc>
        <w:tc>
          <w:tcPr>
            <w:tcW w:type="dxa" w:w="2016"/>
          </w:tcPr>
          <w:p>
            <w:pPr>
              <w:spacing w:line="240" w:lineRule="auto" w:after="20"/>
            </w:pPr>
            <w:r/>
            <w:r>
              <w:rPr>
                <w:sz w:val="16"/>
              </w:rPr>
              <w:t>5.87</w:t>
            </w:r>
          </w:p>
        </w:tc>
        <w:tc>
          <w:tcPr>
            <w:tcW w:type="dxa" w:w="1584"/>
          </w:tcPr>
          <w:p>
            <w:pPr>
              <w:spacing w:line="240" w:lineRule="auto" w:after="20"/>
            </w:pPr>
            <w:r/>
            <w:r>
              <w:rPr>
                <w:sz w:val="16"/>
              </w:rPr>
              <w:t>5.94</w:t>
            </w:r>
          </w:p>
        </w:tc>
        <w:tc>
          <w:tcPr>
            <w:tcW w:type="dxa" w:w="1872"/>
          </w:tcPr>
          <w:p>
            <w:pPr>
              <w:spacing w:line="240" w:lineRule="auto" w:after="20"/>
            </w:pPr>
            <w:r/>
            <w:r>
              <w:rPr>
                <w:sz w:val="16"/>
              </w:rPr>
              <w:t>5.85</w:t>
            </w:r>
          </w:p>
        </w:tc>
        <w:tc>
          <w:tcPr>
            <w:tcW w:type="dxa" w:w="1152"/>
          </w:tcPr>
          <w:p>
            <w:pPr>
              <w:spacing w:line="240" w:lineRule="auto" w:after="20"/>
            </w:pPr>
            <w:r/>
            <w:r>
              <w:rPr>
                <w:sz w:val="16"/>
              </w:rPr>
              <w:t>+0.4 %</w:t>
            </w:r>
          </w:p>
        </w:tc>
      </w:tr>
      <w:tr>
        <w:tc>
          <w:tcPr>
            <w:tcW w:type="dxa" w:w="1296"/>
          </w:tcPr>
          <w:p>
            <w:pPr>
              <w:spacing w:line="240" w:lineRule="auto" w:after="20"/>
            </w:pPr>
            <w:r/>
            <w:r>
              <w:rPr>
                <w:sz w:val="16"/>
              </w:rPr>
              <w:t>6</w:t>
            </w:r>
          </w:p>
        </w:tc>
        <w:tc>
          <w:tcPr>
            <w:tcW w:type="dxa" w:w="1152"/>
          </w:tcPr>
          <w:p>
            <w:pPr>
              <w:spacing w:line="240" w:lineRule="auto" w:after="20"/>
            </w:pPr>
            <w:r/>
            <w:r>
              <w:rPr>
                <w:sz w:val="16"/>
              </w:rPr>
              <w:t>0.05</w:t>
            </w:r>
          </w:p>
        </w:tc>
        <w:tc>
          <w:tcPr>
            <w:tcW w:type="dxa" w:w="1008"/>
          </w:tcPr>
          <w:p>
            <w:pPr>
              <w:spacing w:line="240" w:lineRule="auto" w:after="20"/>
            </w:pPr>
            <w:r/>
            <w:r>
              <w:rPr>
                <w:sz w:val="16"/>
              </w:rPr>
              <w:t>0.389</w:t>
            </w:r>
          </w:p>
        </w:tc>
        <w:tc>
          <w:tcPr>
            <w:tcW w:type="dxa" w:w="2016"/>
          </w:tcPr>
          <w:p>
            <w:pPr>
              <w:spacing w:line="240" w:lineRule="auto" w:after="20"/>
            </w:pPr>
            <w:r/>
            <w:r>
              <w:rPr>
                <w:sz w:val="16"/>
              </w:rPr>
              <w:t>21.34</w:t>
            </w:r>
          </w:p>
        </w:tc>
        <w:tc>
          <w:tcPr>
            <w:tcW w:type="dxa" w:w="1584"/>
          </w:tcPr>
          <w:p>
            <w:pPr>
              <w:spacing w:line="240" w:lineRule="auto" w:after="20"/>
            </w:pPr>
            <w:r/>
            <w:r>
              <w:rPr>
                <w:sz w:val="16"/>
              </w:rPr>
              <w:t>21.36</w:t>
            </w:r>
          </w:p>
        </w:tc>
        <w:tc>
          <w:tcPr>
            <w:tcW w:type="dxa" w:w="1872"/>
          </w:tcPr>
          <w:p>
            <w:pPr>
              <w:spacing w:line="240" w:lineRule="auto" w:after="20"/>
            </w:pPr>
            <w:r/>
            <w:r>
              <w:rPr>
                <w:sz w:val="16"/>
              </w:rPr>
              <w:t>21.90</w:t>
            </w:r>
          </w:p>
        </w:tc>
        <w:tc>
          <w:tcPr>
            <w:tcW w:type="dxa" w:w="1152"/>
          </w:tcPr>
          <w:p>
            <w:pPr>
              <w:spacing w:line="240" w:lineRule="auto" w:after="20"/>
            </w:pPr>
            <w:r/>
            <w:r>
              <w:rPr>
                <w:sz w:val="16"/>
              </w:rPr>
              <w:t>-2.5 %</w:t>
            </w:r>
          </w:p>
        </w:tc>
      </w:tr>
      <w:tr>
        <w:tc>
          <w:tcPr>
            <w:tcW w:type="dxa" w:w="1296"/>
          </w:tcPr>
          <w:p>
            <w:pPr>
              <w:spacing w:line="240" w:lineRule="auto" w:after="20"/>
            </w:pPr>
            <w:r/>
            <w:r>
              <w:rPr>
                <w:sz w:val="16"/>
              </w:rPr>
              <w:t>10</w:t>
            </w:r>
          </w:p>
        </w:tc>
        <w:tc>
          <w:tcPr>
            <w:tcW w:type="dxa" w:w="1152"/>
          </w:tcPr>
          <w:p>
            <w:pPr>
              <w:spacing w:line="240" w:lineRule="auto" w:after="20"/>
            </w:pPr>
            <w:r/>
            <w:r>
              <w:rPr>
                <w:sz w:val="16"/>
              </w:rPr>
              <w:t>0.001</w:t>
            </w:r>
          </w:p>
        </w:tc>
        <w:tc>
          <w:tcPr>
            <w:tcW w:type="dxa" w:w="1008"/>
          </w:tcPr>
          <w:p>
            <w:pPr>
              <w:spacing w:line="240" w:lineRule="auto" w:after="20"/>
            </w:pPr>
            <w:r/>
            <w:r>
              <w:rPr>
                <w:sz w:val="16"/>
              </w:rPr>
              <w:t>0.027</w:t>
            </w:r>
          </w:p>
        </w:tc>
        <w:tc>
          <w:tcPr>
            <w:tcW w:type="dxa" w:w="2016"/>
          </w:tcPr>
          <w:p>
            <w:pPr>
              <w:spacing w:line="240" w:lineRule="auto" w:after="20"/>
            </w:pPr>
            <w:r/>
            <w:r>
              <w:rPr>
                <w:sz w:val="16"/>
              </w:rPr>
              <w:t>5.12</w:t>
            </w:r>
          </w:p>
        </w:tc>
        <w:tc>
          <w:tcPr>
            <w:tcW w:type="dxa" w:w="1584"/>
          </w:tcPr>
          <w:p>
            <w:pPr>
              <w:spacing w:line="240" w:lineRule="auto" w:after="20"/>
            </w:pPr>
            <w:r/>
            <w:r>
              <w:rPr>
                <w:sz w:val="16"/>
              </w:rPr>
              <w:t>5.20</w:t>
            </w:r>
          </w:p>
        </w:tc>
        <w:tc>
          <w:tcPr>
            <w:tcW w:type="dxa" w:w="1872"/>
          </w:tcPr>
          <w:p>
            <w:pPr>
              <w:spacing w:line="240" w:lineRule="auto" w:after="20"/>
            </w:pPr>
            <w:r/>
            <w:r>
              <w:rPr>
                <w:sz w:val="16"/>
              </w:rPr>
              <w:t>5.12</w:t>
            </w:r>
          </w:p>
        </w:tc>
        <w:tc>
          <w:tcPr>
            <w:tcW w:type="dxa" w:w="1152"/>
          </w:tcPr>
          <w:p>
            <w:pPr>
              <w:spacing w:line="240" w:lineRule="auto" w:after="20"/>
            </w:pPr>
            <w:r/>
            <w:r>
              <w:rPr>
                <w:sz w:val="16"/>
              </w:rPr>
              <w:t>+0.0 %</w:t>
            </w:r>
          </w:p>
        </w:tc>
      </w:tr>
      <w:tr>
        <w:tc>
          <w:tcPr>
            <w:tcW w:type="dxa" w:w="1296"/>
          </w:tcPr>
          <w:p>
            <w:pPr>
              <w:spacing w:line="240" w:lineRule="auto" w:after="20"/>
            </w:pPr>
            <w:r/>
            <w:r>
              <w:rPr>
                <w:sz w:val="16"/>
              </w:rPr>
              <w:t>10</w:t>
            </w:r>
          </w:p>
        </w:tc>
        <w:tc>
          <w:tcPr>
            <w:tcW w:type="dxa" w:w="1152"/>
          </w:tcPr>
          <w:p>
            <w:pPr>
              <w:spacing w:line="240" w:lineRule="auto" w:after="20"/>
            </w:pPr>
            <w:r/>
            <w:r>
              <w:rPr>
                <w:sz w:val="16"/>
              </w:rPr>
              <w:t>0.01</w:t>
            </w:r>
          </w:p>
        </w:tc>
        <w:tc>
          <w:tcPr>
            <w:tcW w:type="dxa" w:w="1008"/>
          </w:tcPr>
          <w:p>
            <w:pPr>
              <w:spacing w:line="240" w:lineRule="auto" w:after="20"/>
            </w:pPr>
            <w:r/>
            <w:r>
              <w:rPr>
                <w:sz w:val="16"/>
              </w:rPr>
              <w:t>0.194</w:t>
            </w:r>
          </w:p>
        </w:tc>
        <w:tc>
          <w:tcPr>
            <w:tcW w:type="dxa" w:w="2016"/>
          </w:tcPr>
          <w:p>
            <w:pPr>
              <w:spacing w:line="240" w:lineRule="auto" w:after="20"/>
            </w:pPr>
            <w:r/>
            <w:r>
              <w:rPr>
                <w:sz w:val="16"/>
              </w:rPr>
              <w:t>11.53</w:t>
            </w:r>
          </w:p>
        </w:tc>
        <w:tc>
          <w:tcPr>
            <w:tcW w:type="dxa" w:w="1584"/>
          </w:tcPr>
          <w:p>
            <w:pPr>
              <w:spacing w:line="240" w:lineRule="auto" w:after="20"/>
            </w:pPr>
            <w:r/>
            <w:r>
              <w:rPr>
                <w:sz w:val="16"/>
              </w:rPr>
              <w:t>11.57</w:t>
            </w:r>
          </w:p>
        </w:tc>
        <w:tc>
          <w:tcPr>
            <w:tcW w:type="dxa" w:w="1872"/>
          </w:tcPr>
          <w:p>
            <w:pPr>
              <w:spacing w:line="240" w:lineRule="auto" w:after="20"/>
            </w:pPr>
            <w:r/>
            <w:r>
              <w:rPr>
                <w:sz w:val="16"/>
              </w:rPr>
              <w:t>11.53</w:t>
            </w:r>
          </w:p>
        </w:tc>
        <w:tc>
          <w:tcPr>
            <w:tcW w:type="dxa" w:w="1152"/>
          </w:tcPr>
          <w:p>
            <w:pPr>
              <w:spacing w:line="240" w:lineRule="auto" w:after="20"/>
            </w:pPr>
            <w:r/>
            <w:r>
              <w:rPr>
                <w:sz w:val="16"/>
              </w:rPr>
              <w:t>+0.0 %</w:t>
            </w:r>
          </w:p>
        </w:tc>
      </w:tr>
      <w:tr>
        <w:tc>
          <w:tcPr>
            <w:tcW w:type="dxa" w:w="1296"/>
          </w:tcPr>
          <w:p>
            <w:pPr>
              <w:spacing w:line="240" w:lineRule="auto" w:after="20"/>
            </w:pPr>
            <w:r/>
            <w:r>
              <w:rPr>
                <w:sz w:val="16"/>
              </w:rPr>
              <w:t>10</w:t>
            </w:r>
          </w:p>
        </w:tc>
        <w:tc>
          <w:tcPr>
            <w:tcW w:type="dxa" w:w="1152"/>
          </w:tcPr>
          <w:p>
            <w:pPr>
              <w:spacing w:line="240" w:lineRule="auto" w:after="20"/>
            </w:pPr>
            <w:r/>
            <w:r>
              <w:rPr>
                <w:sz w:val="16"/>
              </w:rPr>
              <w:t>0.05</w:t>
            </w:r>
          </w:p>
        </w:tc>
        <w:tc>
          <w:tcPr>
            <w:tcW w:type="dxa" w:w="1008"/>
          </w:tcPr>
          <w:p>
            <w:pPr>
              <w:spacing w:line="240" w:lineRule="auto" w:after="20"/>
            </w:pPr>
            <w:r/>
            <w:r>
              <w:rPr>
                <w:sz w:val="16"/>
              </w:rPr>
              <w:t>0.489</w:t>
            </w:r>
          </w:p>
        </w:tc>
        <w:tc>
          <w:tcPr>
            <w:tcW w:type="dxa" w:w="2016"/>
          </w:tcPr>
          <w:p>
            <w:pPr>
              <w:spacing w:line="240" w:lineRule="auto" w:after="20"/>
            </w:pPr>
            <w:r/>
            <w:r>
              <w:rPr>
                <w:sz w:val="16"/>
              </w:rPr>
              <w:t>&gt; 40</w:t>
            </w:r>
          </w:p>
        </w:tc>
        <w:tc>
          <w:tcPr>
            <w:tcW w:type="dxa" w:w="1584"/>
          </w:tcPr>
          <w:p>
            <w:pPr>
              <w:spacing w:line="240" w:lineRule="auto" w:after="20"/>
            </w:pPr>
            <w:r/>
            <w:r>
              <w:rPr>
                <w:sz w:val="16"/>
              </w:rPr>
              <w:t>&gt; 40</w:t>
            </w:r>
          </w:p>
        </w:tc>
        <w:tc>
          <w:tcPr>
            <w:tcW w:type="dxa" w:w="1872"/>
          </w:tcPr>
          <w:p>
            <w:pPr>
              <w:spacing w:line="240" w:lineRule="auto" w:after="20"/>
            </w:pPr>
            <w:r/>
            <w:r>
              <w:rPr>
                <w:sz w:val="16"/>
              </w:rPr>
              <w:t>&gt; 40</w:t>
            </w:r>
          </w:p>
        </w:tc>
        <w:tc>
          <w:tcPr>
            <w:tcW w:type="dxa" w:w="1152"/>
          </w:tcPr>
          <w:p>
            <w:pPr>
              <w:spacing w:line="240" w:lineRule="auto" w:after="20"/>
            </w:pPr>
            <w:r/>
            <w:r>
              <w:rPr>
                <w:sz w:val="16"/>
              </w:rPr>
              <w:t>–</w:t>
            </w:r>
          </w:p>
        </w:tc>
      </w:tr>
    </w:tbl>
    <w:p>
      <w:pPr>
        <w:spacing w:after="40"/>
      </w:pPr>
    </w:p>
    <w:p>
      <w:pPr>
        <w:keepNext/>
        <w:spacing w:before="160" w:after="40"/>
        <w:jc w:val="center"/>
      </w:pPr>
      <w:r>
        <w:drawing>
          <wp:inline xmlns:a="http://schemas.openxmlformats.org/drawingml/2006/main" xmlns:pic="http://schemas.openxmlformats.org/drawingml/2006/picture">
            <wp:extent cx="5852160" cy="2519680"/>
            <wp:docPr id="2" name="Picture 2" descr="Two panels. (a) Log-log scatter of closed-form against ODE storage conversion lying on the identity line. (b) Largest admissible spread against tolerance for three margins with ODE roots."/>
            <wp:cNvGraphicFramePr>
              <a:graphicFrameLocks noChangeAspect="1"/>
            </wp:cNvGraphicFramePr>
            <a:graphic>
              <a:graphicData uri="http://schemas.openxmlformats.org/drawingml/2006/picture">
                <pic:pic>
                  <pic:nvPicPr>
                    <pic:cNvPr id="0" name="fig2_storage.png"/>
                    <pic:cNvPicPr/>
                  </pic:nvPicPr>
                  <pic:blipFill>
                    <a:blip r:embed="rId11"/>
                    <a:stretch>
                      <a:fillRect/>
                    </a:stretch>
                  </pic:blipFill>
                  <pic:spPr>
                    <a:xfrm>
                      <a:off x="0" y="0"/>
                      <a:ext cx="5852160" cy="2519680"/>
                    </a:xfrm>
                    <a:prstGeom prst="rect"/>
                  </pic:spPr>
                </pic:pic>
              </a:graphicData>
            </a:graphic>
          </wp:inline>
        </w:drawing>
      </w:r>
    </w:p>
    <w:p>
      <w:pPr>
        <w:keepNext w:val="0"/>
        <w:spacing w:line="276" w:lineRule="auto" w:after="200"/>
      </w:pPr>
      <w:r>
        <w:rPr>
          <w:b/>
          <w:sz w:val="19"/>
        </w:rPr>
        <w:t>Fig. 2</w:t>
      </w:r>
      <w:r>
        <w:rPr>
          <w:sz w:val="19"/>
        </w:rPr>
        <w:t xml:space="preserve"> (a) Closed-form storage conversion Eq. (11) against the population ODE for margins of 3, 6 and 10 °C. (b) Largest admissible spread σ</w:t>
      </w:r>
      <w:r>
        <w:rPr>
          <w:sz w:val="19"/>
          <w:vertAlign w:val="superscript"/>
        </w:rPr>
        <w:t>*</w:t>
      </w:r>
      <w:r>
        <w:rPr>
          <w:sz w:val="19"/>
        </w:rPr>
        <w:t xml:space="preserve"> (Eq. (12)) as a function of the tolerance η; open symbols are roots of the population ODE.</w:t>
      </w:r>
    </w:p>
    <w:p>
      <w:pPr>
        <w:pStyle w:val="Heading2"/>
      </w:pPr>
      <w:r>
        <w:rPr>
          <w:rFonts w:ascii="Times New Roman" w:hAnsi="Times New Roman"/>
        </w:rPr>
        <w:t>D. Proposition 4: thermal-feedback criticality, overshoot, and Arrhenius correction</w:t>
      </w:r>
    </w:p>
    <w:p>
      <w:pPr>
        <w:keepNext w:val="0"/>
        <w:jc w:val="both"/>
      </w:pPr>
      <w:r>
        <w:t>When the thermal time constant is short compared with the reaction time (Θ ≪ 1), the temperature rise θ = (T − T</w:t>
      </w:r>
      <w:r>
        <w:rPr>
          <w:vertAlign w:val="subscript"/>
        </w:rPr>
        <w:t>∞</w:t>
      </w:r>
      <w:r>
        <w:t>)/ΔT</w:t>
      </w:r>
      <w:r>
        <w:rPr>
          <w:vertAlign w:val="subscript"/>
        </w:rPr>
        <w:t>ad</w:t>
      </w:r>
      <w:r>
        <w:t xml:space="preserve"> of the exponential comparison model follows the reaction quasi-statically with the conversion frozen, θ = Θ r(α) exp(ψθ), where r(α) = (ε + α)(1 − α)</w:t>
      </w:r>
      <w:r>
        <w:rPr>
          <w:vertAlign w:val="superscript"/>
        </w:rPr>
        <w:t>n</w:t>
      </w:r>
      <w:r>
        <w:t xml:space="preserve"> is the isothermal rate in units of k</w:t>
      </w:r>
      <w:r>
        <w:rPr>
          <w:vertAlign w:val="subscript"/>
        </w:rPr>
        <w:t>2</w:t>
      </w:r>
      <w:r>
        <w:t>. Multiplying by ψ gives ψθ exp(−ψθ) = Πr, whose solution, if Πr ≤ 1/e, is</w:t>
      </w:r>
    </w:p>
    <w:p>
      <w:pPr>
        <w:keepLines/>
        <w:tabs>
          <w:tab w:pos="4680" w:val="center"/>
          <w:tab w:pos="9360" w:val="right"/>
        </w:tabs>
        <w:spacing w:before="120" w:after="120"/>
      </w:pPr>
      <w:r>
        <w:tab/>
      </w:r>
      <m:oMath>
        <m:r>
          <m:rPr>
            <m:sty m:val="i"/>
          </m:rPr>
          <w:rPr>
            <w:rFonts w:ascii="Cambria Math" w:hAnsi="Cambria Math"/>
            <w:i/>
          </w:rPr>
          <m:t xml:space="preserve">ψθ</m:t>
        </m:r>
        <m:r>
          <m:rPr>
            <m:nor/>
          </m:rPr>
          <w:rPr>
            <w:rFonts w:ascii="Cambria Math" w:hAnsi="Cambria Math"/>
            <w:i w:val="0"/>
          </w:rPr>
          <m:t xml:space="preserve"> = </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W</m:t>
            </m:r>
          </m:e>
          <m:sub>
            <m:r>
              <m:rPr>
                <m:nor/>
              </m:rPr>
              <w:rPr>
                <w:rFonts w:ascii="Cambria Math" w:hAnsi="Cambria Math"/>
                <w:i w:val="0"/>
              </w:rPr>
              <m:t xml:space="preserve">0</m:t>
            </m:r>
          </m:sub>
        </m:sSub>
        <m:d>
          <m:dPr>
            <m:begChr m:val="("/>
            <m:endChr m:val=")"/>
            <m:ctrlPr>
              <w:rPr>
                <w:rFonts w:ascii="Cambria Math" w:hAnsi="Cambria Math"/>
                <w:i/>
              </w:rPr>
            </m:ctrlPr>
          </m:dPr>
          <m:e>
            <m:r>
              <m:rPr>
                <m:nor/>
              </m:rPr>
              <w:rPr>
                <w:rFonts w:ascii="Cambria Math" w:hAnsi="Cambria Math"/>
                <w:i w:val="0"/>
              </w:rPr>
              <m:t xml:space="preserve"> − </m:t>
            </m:r>
            <m:r>
              <m:rPr>
                <m:nor/>
              </m:rPr>
              <w:rPr>
                <w:rFonts w:ascii="Cambria Math" w:hAnsi="Cambria Math"/>
                <w:i w:val="0"/>
              </w:rPr>
              <m:t xml:space="preserve">Π</m:t>
            </m:r>
            <m:r>
              <m:rPr>
                <m:sty m:val="i"/>
              </m:rPr>
              <w:rPr>
                <w:rFonts w:ascii="Cambria Math" w:hAnsi="Cambria Math"/>
                <w:i/>
              </w:rPr>
              <m:t xml:space="preserve">r</m:t>
            </m:r>
            <m:d>
              <m:dPr>
                <m:begChr m:val="("/>
                <m:endChr m:val=")"/>
                <m:ctrlPr>
                  <w:rPr>
                    <w:rFonts w:ascii="Cambria Math" w:hAnsi="Cambria Math"/>
                    <w:i/>
                  </w:rPr>
                </m:ctrlPr>
              </m:dPr>
              <m:e>
                <m:r>
                  <m:rPr>
                    <m:sty m:val="i"/>
                  </m:rPr>
                  <w:rPr>
                    <w:rFonts w:ascii="Cambria Math" w:hAnsi="Cambria Math"/>
                    <w:i/>
                  </w:rPr>
                  <m:t xml:space="preserve">α</m:t>
                </m:r>
              </m:e>
            </m:d>
          </m:e>
        </m:d>
        <m:r>
          <m:rPr>
            <m:nor/>
          </m:rPr>
          <w:rPr>
            <w:rFonts w:ascii="Cambria Math" w:hAnsi="Cambria Math"/>
            <w:i w:val="0"/>
          </w:rPr>
          <m:t xml:space="preserve">.</m:t>
        </m:r>
      </m:oMath>
      <w:r>
        <w:tab/>
        <w:t xml:space="preserve">(13)</w:t>
      </w:r>
    </w:p>
    <w:p>
      <w:pPr>
        <w:keepNext w:val="0"/>
        <w:jc w:val="both"/>
      </w:pPr>
      <w:r>
        <w:rPr>
          <w:b/>
        </w:rPr>
        <w:t>Proposition 4.</w:t>
      </w:r>
      <w:r>
        <w:t xml:space="preserve"> For the ungated exponential model in the quasi-steady limit with frozen conversion, the low-temperature algebraic branch of Eq. (13) ceases to exist when Πr(α) = 1/e. Maximizing r over α gives the limiting fold criterion. For r = (ε + α)(1 − α)</w:t>
      </w:r>
      <w:r>
        <w:rPr>
          <w:vertAlign w:val="superscript"/>
        </w:rPr>
        <w:t>n</w:t>
      </w:r>
      <w:r>
        <w:t xml:space="preserve"> the interior maximum is at α</w:t>
      </w:r>
      <w:r>
        <w:rPr>
          <w:vertAlign w:val="superscript"/>
        </w:rPr>
        <w:t>*</w:t>
      </w:r>
      <w:r>
        <w:t xml:space="preserve"> = (1 − nε)/(1 + n), provided nε &lt; 1, with r</w:t>
      </w:r>
      <w:r>
        <w:rPr>
          <w:vertAlign w:val="subscript"/>
        </w:rPr>
        <w:t>max</w:t>
      </w:r>
      <w:r>
        <w:t xml:space="preserve"> = n</w:t>
      </w:r>
      <w:r>
        <w:rPr>
          <w:vertAlign w:val="superscript"/>
        </w:rPr>
        <w:t>n</w:t>
      </w:r>
      <w:r>
        <w:t>(1 + ε)</w:t>
      </w:r>
      <w:r>
        <w:rPr>
          <w:vertAlign w:val="superscript"/>
        </w:rPr>
        <w:t>n+1</w:t>
      </w:r>
      <w:r>
        <w:t>/(1 + n)</w:t>
      </w:r>
      <w:r>
        <w:rPr>
          <w:vertAlign w:val="superscript"/>
        </w:rPr>
        <w:t>n+1</w:t>
      </w:r>
      <w:r>
        <w:t>, so</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Π</m:t>
            </m:r>
          </m:e>
          <m:sub>
            <m:r>
              <m:rPr>
                <m:nor/>
              </m:rPr>
              <w:rPr>
                <w:rFonts w:ascii="Cambria Math" w:hAnsi="Cambria Math"/>
                <w:i w:val="0"/>
              </w:rPr>
              <m:t xml:space="preserve">c</m:t>
            </m:r>
          </m:sub>
        </m:sSub>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nor/>
              </m:rPr>
              <w:rPr>
                <w:rFonts w:ascii="Cambria Math" w:hAnsi="Cambria Math"/>
                <w:i w:val="0"/>
              </w:rPr>
              <m:t xml:space="preserve">e</m:t>
            </m:r>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max</m:t>
                </m:r>
              </m:sub>
            </m:sSub>
          </m:den>
        </m:f>
        <m:r>
          <m:rPr>
            <m:nor/>
          </m:rPr>
          <w:rPr>
            <w:rFonts w:ascii="Cambria Math" w:hAnsi="Cambria Math"/>
            <w:i w:val="0"/>
          </w:rPr>
          <m:t xml:space="preserve"> = </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n</m:t>
                    </m:r>
                  </m:e>
                </m:d>
              </m:e>
              <m:sup>
                <m:r>
                  <m:rPr>
                    <m:nor/>
                  </m:rPr>
                  <w:rPr>
                    <w:rFonts w:ascii="Cambria Math" w:hAnsi="Cambria Math"/>
                    <w:i w:val="0"/>
                  </w:rPr>
                  <m:t xml:space="preserve">1+n</m:t>
                </m:r>
              </m:sup>
            </m:sSup>
          </m:num>
          <m:den>
            <m:r>
              <m:rPr>
                <m:nor/>
              </m:rPr>
              <w:rPr>
                <w:rFonts w:ascii="Cambria Math" w:hAnsi="Cambria Math"/>
                <w:i w:val="0"/>
              </w:rPr>
              <m:t xml:space="preserve">e</m:t>
            </m:r>
            <m:sSup>
              <m:sSupPr>
                <m:ctrlPr>
                  <w:rPr>
                    <w:rFonts w:ascii="Cambria Math" w:hAnsi="Cambria Math"/>
                    <w:i/>
                  </w:rPr>
                </m:ctrlPr>
              </m:sSupPr>
              <m:e>
                <m:r>
                  <m:rPr>
                    <m:sty m:val="i"/>
                  </m:rPr>
                  <w:rPr>
                    <w:rFonts w:ascii="Cambria Math" w:hAnsi="Cambria Math"/>
                    <w:i/>
                  </w:rPr>
                  <m:t xml:space="preserve">n</m:t>
                </m:r>
              </m:e>
              <m:sup>
                <m:r>
                  <m:rPr>
                    <m:sty m:val="i"/>
                  </m:rPr>
                  <w:rPr>
                    <w:rFonts w:ascii="Cambria Math" w:hAnsi="Cambria Math"/>
                    <w:i/>
                  </w:rPr>
                  <m:t xml:space="preserve">n</m:t>
                </m:r>
              </m:sup>
            </m:sSup>
            <m:sSup>
              <m:sSupPr>
                <m:ctrlPr>
                  <w:rPr>
                    <w:rFonts w:ascii="Cambria Math" w:hAnsi="Cambria Math"/>
                    <w:i/>
                  </w:rPr>
                </m:ctrlPr>
              </m:sSupPr>
              <m:e>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ε</m:t>
                    </m:r>
                  </m:e>
                </m:d>
              </m:e>
              <m:sup>
                <m:r>
                  <m:rPr>
                    <m:nor/>
                  </m:rPr>
                  <w:rPr>
                    <w:rFonts w:ascii="Cambria Math" w:hAnsi="Cambria Math"/>
                    <w:i w:val="0"/>
                  </w:rPr>
                  <m:t xml:space="preserve">1+n</m:t>
                </m:r>
              </m:sup>
            </m:sSup>
          </m:den>
        </m:f>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Π</m:t>
            </m:r>
          </m:e>
          <m:sub>
            <m:r>
              <m:rPr>
                <m:nor/>
              </m:rPr>
              <w:rPr>
                <w:rFonts w:ascii="Cambria Math" w:hAnsi="Cambria Math"/>
                <w:i w:val="0"/>
              </w:rPr>
              <m:t xml:space="preserve">c</m:t>
            </m:r>
          </m:sub>
        </m:sSub>
        <m:r>
          <m:rPr>
            <m:nor/>
          </m:rPr>
          <w:rPr>
            <w:rFonts w:ascii="Cambria Math" w:hAnsi="Cambria Math"/>
            <w:i w:val="0"/>
          </w:rPr>
          <m:t xml:space="preserve">→</m:t>
        </m:r>
        <m:sSup>
          <m:sSupPr>
            <m:ctrlPr>
              <w:rPr>
                <w:rFonts w:ascii="Cambria Math" w:hAnsi="Cambria Math"/>
                <w:i/>
              </w:rPr>
            </m:ctrlPr>
          </m:sSupPr>
          <m:e>
            <m:r>
              <m:rPr>
                <m:nor/>
              </m:rPr>
              <w:rPr>
                <w:rFonts w:ascii="Cambria Math" w:hAnsi="Cambria Math"/>
                <w:i w:val="0"/>
              </w:rPr>
              <m:t xml:space="preserve">e</m:t>
            </m:r>
          </m:e>
          <m:sup>
            <m:r>
              <m:rPr>
                <m:nor/>
              </m:rPr>
              <w:rPr>
                <w:rFonts w:ascii="Cambria Math" w:hAnsi="Cambria Math"/>
                <w:i w:val="0"/>
              </w:rPr>
              <m:t xml:space="preserve">−1</m:t>
            </m:r>
          </m:sup>
        </m:sSup>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n</m:t>
                    </m:r>
                  </m:e>
                </m:d>
              </m:e>
              <m:sup>
                <m:r>
                  <m:rPr>
                    <m:nor/>
                  </m:rPr>
                  <w:rPr>
                    <w:rFonts w:ascii="Cambria Math" w:hAnsi="Cambria Math"/>
                    <w:i w:val="0"/>
                  </w:rPr>
                  <m:t xml:space="preserve">1+n</m:t>
                </m:r>
              </m:sup>
            </m:sSup>
          </m:num>
          <m:den>
            <m:sSup>
              <m:sSupPr>
                <m:ctrlPr>
                  <w:rPr>
                    <w:rFonts w:ascii="Cambria Math" w:hAnsi="Cambria Math"/>
                    <w:i/>
                  </w:rPr>
                </m:ctrlPr>
              </m:sSupPr>
              <m:e>
                <m:r>
                  <m:rPr>
                    <m:sty m:val="i"/>
                  </m:rPr>
                  <w:rPr>
                    <w:rFonts w:ascii="Cambria Math" w:hAnsi="Cambria Math"/>
                    <w:i/>
                  </w:rPr>
                  <m:t xml:space="preserve">n</m:t>
                </m:r>
              </m:e>
              <m:sup>
                <m:r>
                  <m:rPr>
                    <m:sty m:val="i"/>
                  </m:rPr>
                  <w:rPr>
                    <w:rFonts w:ascii="Cambria Math" w:hAnsi="Cambria Math"/>
                    <w:i/>
                  </w:rPr>
                  <m:t xml:space="preserve">n</m:t>
                </m:r>
              </m:sup>
            </m:sSup>
          </m:den>
        </m:f>
        <m:r>
          <m:rPr>
            <m:nor/>
          </m:rPr>
          <w:rPr>
            <w:rFonts w:ascii="Cambria Math" w:hAnsi="Cambria Math"/>
            <w:i w:val="0"/>
          </w:rPr>
          <m:t xml:space="preserve">   (ε → 0).</m:t>
        </m:r>
      </m:oMath>
      <w:r>
        <w:tab/>
        <w:t xml:space="preserve">(14)</w:t>
      </w:r>
    </w:p>
    <w:p>
      <w:pPr>
        <w:keepNext w:val="0"/>
        <w:jc w:val="both"/>
      </w:pPr>
      <w:r>
        <w:t>The finite-ε value is 1.4627, 1.9641 and 2.4610 for n = 1, 3/2 and 2 at ε = 3 × 10</w:t>
      </w:r>
      <w:r>
        <w:rPr>
          <w:vertAlign w:val="superscript"/>
        </w:rPr>
        <w:t>−3</w:t>
      </w:r>
      <w:r>
        <w:t>, against the ε → 0 limits 1.4715, 1.9789 and 2.4832; the finite-ε formula explains why the integrated values of Table 4 at small Θ lie slightly below the limits. Below Π</w:t>
      </w:r>
      <w:r>
        <w:rPr>
          <w:vertAlign w:val="subscript"/>
        </w:rPr>
        <w:t>c</w:t>
      </w:r>
      <w:r>
        <w:t xml:space="preserve"> the quasi-steady peak is ψθ</w:t>
      </w:r>
      <w:r>
        <w:rPr>
          <w:vertAlign w:val="subscript"/>
        </w:rPr>
        <w:t>peak</w:t>
      </w:r>
      <w:r>
        <w:t xml:space="preserve"> = −W</w:t>
      </w:r>
      <w:r>
        <w:rPr>
          <w:vertAlign w:val="subscript"/>
        </w:rPr>
        <w:t>0</w:t>
      </w:r>
      <w:r>
        <w:t>(−Π/(eΠ</w:t>
      </w:r>
      <w:r>
        <w:rPr>
          <w:vertAlign w:val="subscript"/>
        </w:rPr>
        <w:t>c</w:t>
      </w:r>
      <w:r>
        <w:t>)), and close to the fold it follows ψθ</w:t>
      </w:r>
      <w:r>
        <w:rPr>
          <w:vertAlign w:val="subscript"/>
        </w:rPr>
        <w:t>peak</w:t>
      </w:r>
      <w:r>
        <w:t xml:space="preserve"> ≈ 1 − [2(1 − Π/Π</w:t>
      </w:r>
      <w:r>
        <w:rPr>
          <w:vertAlign w:val="subscript"/>
        </w:rPr>
        <w:t>c</w:t>
      </w:r>
      <w:r>
        <w:t>)]</w:t>
      </w:r>
      <w:r>
        <w:rPr>
          <w:vertAlign w:val="superscript"/>
        </w:rPr>
        <w:t>1/2</w:t>
      </w:r>
      <w:r>
        <w:t xml:space="preserve">, the normal form of a saddle-node bifurcation of the algebraic equation [19, 20]. This is a statement about the frozen-conversion algebraic manifold. For a finite batch the reactant is consumed and the temperature rise is bounded by the available reaction heat, so whether the fold marks ignition must be tested by integration. We therefore define an </w:t>
      </w:r>
      <w:r>
        <w:rPr>
          <w:i/>
        </w:rPr>
        <w:t>operational</w:t>
      </w:r>
      <w:r>
        <w:t xml:space="preserve"> threshold as the Π (or ΔT</w:t>
      </w:r>
      <w:r>
        <w:rPr>
          <w:vertAlign w:val="subscript"/>
        </w:rPr>
        <w:t>ad</w:t>
      </w:r>
      <w:r>
        <w:t>) at which the integrated peak rise exceeds 0.3ΔT</w:t>
      </w:r>
      <w:r>
        <w:rPr>
          <w:vertAlign w:val="subscript"/>
        </w:rPr>
        <w:t>ad</w:t>
      </w:r>
      <w:r>
        <w:t>, and the conclusions about overshoot below are numerical. For comparison, the classical Semenov criterion for a source without consumption, r = 1 in the same units, gives 1/e = 0.37; consumption and autocatalysis raise the frozen-conversion critical number by the factor 1/r</w:t>
      </w:r>
      <w:r>
        <w:rPr>
          <w:vertAlign w:val="subscript"/>
        </w:rPr>
        <w:t>max</w:t>
      </w:r>
      <w:r>
        <w:t xml:space="preserve"> ≈ 5.4 for n = 3/2 (reactant consumption in the Semenov problem was treated in Ref. [9]).</w:t>
      </w:r>
    </w:p>
    <w:p>
      <w:pPr>
        <w:keepNext w:val="0"/>
        <w:jc w:val="both"/>
      </w:pPr>
      <w:r>
        <w:rPr>
          <w:i/>
        </w:rPr>
        <w:t>Verification in the exponential model.</w:t>
      </w:r>
      <w:r>
        <w:t xml:space="preserve"> We integrated the exponential-form equations with isothermal start and bisected the operational threshold (ε = 3 × 10</w:t>
      </w:r>
      <w:r>
        <w:rPr>
          <w:vertAlign w:val="superscript"/>
        </w:rPr>
        <w:t>−3</w:t>
      </w:r>
      <w:r>
        <w:t>; Table 4). As Θ → 0 the operational Π</w:t>
      </w:r>
      <w:r>
        <w:rPr>
          <w:vertAlign w:val="subscript"/>
        </w:rPr>
        <w:t>c</w:t>
      </w:r>
      <w:r>
        <w:t xml:space="preserve"> converges to Eq. (14) with finite ε: at Θ = 0.003 the values are 1.471, 1.974 and 2.472 against 1.463, 1.964 and 2.461 (differences 0.4–0.6 %). The threshold definition matters little (Π</w:t>
      </w:r>
      <w:r>
        <w:rPr>
          <w:vertAlign w:val="subscript"/>
        </w:rPr>
        <w:t>c</w:t>
      </w:r>
      <w:r>
        <w:t xml:space="preserve"> = 1.974, 1.974, 1.992 for 0.15, 0.3 and 0.6 of ΔT</w:t>
      </w:r>
      <w:r>
        <w:rPr>
          <w:vertAlign w:val="subscript"/>
        </w:rPr>
        <w:t>ad</w:t>
      </w:r>
      <w:r>
        <w:t>). The finite-Θ shift is upward (Π</w:t>
      </w:r>
      <w:r>
        <w:rPr>
          <w:vertAlign w:val="subscript"/>
        </w:rPr>
        <w:t>c</w:t>
      </w:r>
      <w:r>
        <w:t xml:space="preserve"> = 2.33 at Θ = 0.1 for n = 3/2); it is computed, not given in closed form. At Θ = 0.002 the integrated peak at 0.5–0.98 Π</w:t>
      </w:r>
      <w:r>
        <w:rPr>
          <w:vertAlign w:val="subscript"/>
        </w:rPr>
        <w:t>c</w:t>
      </w:r>
      <w:r>
        <w:t xml:space="preserve"> follows the Lambert-W formula and approaches the square-root form (Fig. 3b).</w:t>
      </w:r>
    </w:p>
    <w:p>
      <w:pPr>
        <w:keepNext/>
        <w:spacing w:line="276" w:lineRule="auto" w:after="200"/>
      </w:pPr>
      <w:r>
        <w:rPr>
          <w:b/>
          <w:sz w:val="19"/>
        </w:rPr>
        <w:t>Table 4</w:t>
      </w:r>
      <w:r>
        <w:rPr>
          <w:sz w:val="19"/>
        </w:rPr>
        <w:t xml:space="preserve"> Critical thermal-feedback number in the exponential (Frank-Kamenetskii) model: operational thresholds from integrations (peak rise 0.3ΔT</w:t>
      </w:r>
      <w:r>
        <w:rPr>
          <w:sz w:val="19"/>
          <w:vertAlign w:val="subscript"/>
        </w:rPr>
        <w:t>ad</w:t>
      </w:r>
      <w:r>
        <w:rPr>
          <w:sz w:val="19"/>
        </w:rPr>
        <w:t>, ε = 3 × 10</w:t>
      </w:r>
      <w:r>
        <w:rPr>
          <w:sz w:val="19"/>
          <w:vertAlign w:val="superscript"/>
        </w:rPr>
        <w:t>−3</w:t>
      </w:r>
      <w:r>
        <w:rPr>
          <w:sz w:val="19"/>
        </w:rPr>
        <w:t>) against Eq. (14) with finite ε and its ε → 0 limit.</w:t>
      </w:r>
    </w:p>
    <w:tbl>
      <w:tblPr>
        <w:tblStyle w:val="TableGrid"/>
        <w:tblW w:type="auto" w:w="0"/>
        <w:jc w:val="center"/>
        <w:tblLayout w:type="fixed"/>
        <w:tblLook w:firstColumn="1" w:firstRow="1" w:lastColumn="0" w:lastRow="0" w:noHBand="0" w:noVBand="1" w:val="04A0"/>
      </w:tblPr>
      <w:tblGrid>
        <w:gridCol w:w="864"/>
        <w:gridCol w:w="1008"/>
        <w:gridCol w:w="2880"/>
        <w:gridCol w:w="2880"/>
        <w:gridCol w:w="1872"/>
      </w:tblGrid>
      <w:tr>
        <w:trPr>
          <w:tblHeader w:val="true"/>
        </w:trPr>
        <w:tc>
          <w:tcPr>
            <w:tcW w:type="dxa" w:w="864"/>
            <w:shd w:val="clear" w:color="auto" w:fill="E7ECF1"/>
          </w:tcPr>
          <w:p>
            <w:pPr>
              <w:spacing w:line="240" w:lineRule="auto" w:after="20"/>
            </w:pPr>
            <w:r/>
            <w:r>
              <w:rPr>
                <w:b/>
                <w:sz w:val="17"/>
              </w:rPr>
              <w:t>n</w:t>
            </w:r>
          </w:p>
        </w:tc>
        <w:tc>
          <w:tcPr>
            <w:tcW w:type="dxa" w:w="1008"/>
            <w:shd w:val="clear" w:color="auto" w:fill="E7ECF1"/>
          </w:tcPr>
          <w:p>
            <w:pPr>
              <w:spacing w:line="240" w:lineRule="auto" w:after="20"/>
            </w:pPr>
            <w:r/>
            <w:r>
              <w:rPr>
                <w:b/>
                <w:sz w:val="17"/>
              </w:rPr>
              <w:t>Θ</w:t>
            </w:r>
          </w:p>
        </w:tc>
        <w:tc>
          <w:tcPr>
            <w:tcW w:type="dxa" w:w="2880"/>
            <w:shd w:val="clear" w:color="auto" w:fill="E7ECF1"/>
          </w:tcPr>
          <w:p>
            <w:pPr>
              <w:spacing w:line="240" w:lineRule="auto" w:after="20"/>
            </w:pPr>
            <w:r/>
            <w:r>
              <w:rPr>
                <w:b/>
                <w:sz w:val="17"/>
              </w:rPr>
              <w:t>Π</w:t>
            </w:r>
            <w:r>
              <w:rPr>
                <w:b/>
                <w:sz w:val="17"/>
                <w:vertAlign w:val="subscript"/>
              </w:rPr>
              <w:t>c</w:t>
            </w:r>
            <w:r>
              <w:rPr>
                <w:b/>
                <w:sz w:val="17"/>
              </w:rPr>
              <w:t>, integrated (operational)</w:t>
            </w:r>
          </w:p>
        </w:tc>
        <w:tc>
          <w:tcPr>
            <w:tcW w:type="dxa" w:w="2880"/>
            <w:shd w:val="clear" w:color="auto" w:fill="E7ECF1"/>
          </w:tcPr>
          <w:p>
            <w:pPr>
              <w:spacing w:line="240" w:lineRule="auto" w:after="20"/>
            </w:pPr>
            <w:r/>
            <w:r>
              <w:rPr>
                <w:b/>
                <w:sz w:val="17"/>
              </w:rPr>
              <w:t>Π</w:t>
            </w:r>
            <w:r>
              <w:rPr>
                <w:b/>
                <w:sz w:val="17"/>
                <w:vertAlign w:val="subscript"/>
              </w:rPr>
              <w:t>c</w:t>
            </w:r>
            <w:r>
              <w:rPr>
                <w:b/>
                <w:sz w:val="17"/>
              </w:rPr>
              <w:t>, Eq. (14) finite ε</w:t>
            </w:r>
          </w:p>
        </w:tc>
        <w:tc>
          <w:tcPr>
            <w:tcW w:type="dxa" w:w="1872"/>
            <w:shd w:val="clear" w:color="auto" w:fill="E7ECF1"/>
          </w:tcPr>
          <w:p>
            <w:pPr>
              <w:spacing w:line="240" w:lineRule="auto" w:after="20"/>
            </w:pPr>
            <w:r/>
            <w:r>
              <w:rPr>
                <w:b/>
                <w:sz w:val="17"/>
              </w:rPr>
              <w:t>Π</w:t>
            </w:r>
            <w:r>
              <w:rPr>
                <w:b/>
                <w:sz w:val="17"/>
                <w:vertAlign w:val="subscript"/>
              </w:rPr>
              <w:t>c</w:t>
            </w:r>
            <w:r>
              <w:rPr>
                <w:b/>
                <w:sz w:val="17"/>
              </w:rPr>
              <w:t>, ε → 0</w:t>
            </w:r>
          </w:p>
        </w:tc>
      </w:tr>
      <w:tr>
        <w:tc>
          <w:tcPr>
            <w:tcW w:type="dxa" w:w="864"/>
          </w:tcPr>
          <w:p>
            <w:pPr>
              <w:spacing w:line="240" w:lineRule="auto" w:after="20"/>
            </w:pPr>
            <w:r/>
            <w:r>
              <w:rPr>
                <w:sz w:val="17"/>
              </w:rPr>
              <w:t>1.0</w:t>
            </w:r>
          </w:p>
        </w:tc>
        <w:tc>
          <w:tcPr>
            <w:tcW w:type="dxa" w:w="1008"/>
          </w:tcPr>
          <w:p>
            <w:pPr>
              <w:spacing w:line="240" w:lineRule="auto" w:after="20"/>
            </w:pPr>
            <w:r/>
            <w:r>
              <w:rPr>
                <w:sz w:val="17"/>
              </w:rPr>
              <w:t>0.1</w:t>
            </w:r>
          </w:p>
        </w:tc>
        <w:tc>
          <w:tcPr>
            <w:tcW w:type="dxa" w:w="2880"/>
          </w:tcPr>
          <w:p>
            <w:pPr>
              <w:spacing w:line="240" w:lineRule="auto" w:after="20"/>
            </w:pPr>
            <w:r/>
            <w:r>
              <w:rPr>
                <w:sz w:val="17"/>
              </w:rPr>
              <w:t>1.826</w:t>
            </w:r>
          </w:p>
        </w:tc>
        <w:tc>
          <w:tcPr>
            <w:tcW w:type="dxa" w:w="2880"/>
          </w:tcPr>
          <w:p>
            <w:pPr>
              <w:spacing w:line="240" w:lineRule="auto" w:after="20"/>
            </w:pPr>
            <w:r/>
            <w:r>
              <w:rPr>
                <w:sz w:val="17"/>
              </w:rPr>
              <w:t>1.463</w:t>
            </w:r>
          </w:p>
        </w:tc>
        <w:tc>
          <w:tcPr>
            <w:tcW w:type="dxa" w:w="1872"/>
          </w:tcPr>
          <w:p>
            <w:pPr>
              <w:spacing w:line="240" w:lineRule="auto" w:after="20"/>
            </w:pPr>
            <w:r/>
            <w:r>
              <w:rPr>
                <w:sz w:val="17"/>
              </w:rPr>
              <w:t>1.472</w:t>
            </w:r>
          </w:p>
        </w:tc>
      </w:tr>
      <w:tr>
        <w:tc>
          <w:tcPr>
            <w:tcW w:type="dxa" w:w="864"/>
          </w:tcPr>
          <w:p>
            <w:pPr>
              <w:spacing w:line="240" w:lineRule="auto" w:after="20"/>
            </w:pPr>
            <w:r/>
            <w:r>
              <w:rPr>
                <w:sz w:val="17"/>
              </w:rPr>
              <w:t>1.0</w:t>
            </w:r>
          </w:p>
        </w:tc>
        <w:tc>
          <w:tcPr>
            <w:tcW w:type="dxa" w:w="1008"/>
          </w:tcPr>
          <w:p>
            <w:pPr>
              <w:spacing w:line="240" w:lineRule="auto" w:after="20"/>
            </w:pPr>
            <w:r/>
            <w:r>
              <w:rPr>
                <w:sz w:val="17"/>
              </w:rPr>
              <w:t>0.03</w:t>
            </w:r>
          </w:p>
        </w:tc>
        <w:tc>
          <w:tcPr>
            <w:tcW w:type="dxa" w:w="2880"/>
          </w:tcPr>
          <w:p>
            <w:pPr>
              <w:spacing w:line="240" w:lineRule="auto" w:after="20"/>
            </w:pPr>
            <w:r/>
            <w:r>
              <w:rPr>
                <w:sz w:val="17"/>
              </w:rPr>
              <w:t>1.555</w:t>
            </w:r>
          </w:p>
        </w:tc>
        <w:tc>
          <w:tcPr>
            <w:tcW w:type="dxa" w:w="2880"/>
          </w:tcPr>
          <w:p>
            <w:pPr>
              <w:spacing w:line="240" w:lineRule="auto" w:after="20"/>
            </w:pPr>
            <w:r/>
            <w:r>
              <w:rPr>
                <w:sz w:val="17"/>
              </w:rPr>
              <w:t>1.463</w:t>
            </w:r>
          </w:p>
        </w:tc>
        <w:tc>
          <w:tcPr>
            <w:tcW w:type="dxa" w:w="1872"/>
          </w:tcPr>
          <w:p>
            <w:pPr>
              <w:spacing w:line="240" w:lineRule="auto" w:after="20"/>
            </w:pPr>
            <w:r/>
            <w:r>
              <w:rPr>
                <w:sz w:val="17"/>
              </w:rPr>
              <w:t>1.472</w:t>
            </w:r>
          </w:p>
        </w:tc>
      </w:tr>
      <w:tr>
        <w:tc>
          <w:tcPr>
            <w:tcW w:type="dxa" w:w="864"/>
          </w:tcPr>
          <w:p>
            <w:pPr>
              <w:spacing w:line="240" w:lineRule="auto" w:after="20"/>
            </w:pPr>
            <w:r/>
            <w:r>
              <w:rPr>
                <w:sz w:val="17"/>
              </w:rPr>
              <w:t>1.0</w:t>
            </w:r>
          </w:p>
        </w:tc>
        <w:tc>
          <w:tcPr>
            <w:tcW w:type="dxa" w:w="1008"/>
          </w:tcPr>
          <w:p>
            <w:pPr>
              <w:spacing w:line="240" w:lineRule="auto" w:after="20"/>
            </w:pPr>
            <w:r/>
            <w:r>
              <w:rPr>
                <w:sz w:val="17"/>
              </w:rPr>
              <w:t>0.01</w:t>
            </w:r>
          </w:p>
        </w:tc>
        <w:tc>
          <w:tcPr>
            <w:tcW w:type="dxa" w:w="2880"/>
          </w:tcPr>
          <w:p>
            <w:pPr>
              <w:spacing w:line="240" w:lineRule="auto" w:after="20"/>
            </w:pPr>
            <w:r/>
            <w:r>
              <w:rPr>
                <w:sz w:val="17"/>
              </w:rPr>
              <w:t>1.491</w:t>
            </w:r>
          </w:p>
        </w:tc>
        <w:tc>
          <w:tcPr>
            <w:tcW w:type="dxa" w:w="2880"/>
          </w:tcPr>
          <w:p>
            <w:pPr>
              <w:spacing w:line="240" w:lineRule="auto" w:after="20"/>
            </w:pPr>
            <w:r/>
            <w:r>
              <w:rPr>
                <w:sz w:val="17"/>
              </w:rPr>
              <w:t>1.463</w:t>
            </w:r>
          </w:p>
        </w:tc>
        <w:tc>
          <w:tcPr>
            <w:tcW w:type="dxa" w:w="1872"/>
          </w:tcPr>
          <w:p>
            <w:pPr>
              <w:spacing w:line="240" w:lineRule="auto" w:after="20"/>
            </w:pPr>
            <w:r/>
            <w:r>
              <w:rPr>
                <w:sz w:val="17"/>
              </w:rPr>
              <w:t>1.472</w:t>
            </w:r>
          </w:p>
        </w:tc>
      </w:tr>
      <w:tr>
        <w:tc>
          <w:tcPr>
            <w:tcW w:type="dxa" w:w="864"/>
          </w:tcPr>
          <w:p>
            <w:pPr>
              <w:spacing w:line="240" w:lineRule="auto" w:after="20"/>
            </w:pPr>
            <w:r/>
            <w:r>
              <w:rPr>
                <w:sz w:val="17"/>
              </w:rPr>
              <w:t>1.0</w:t>
            </w:r>
          </w:p>
        </w:tc>
        <w:tc>
          <w:tcPr>
            <w:tcW w:type="dxa" w:w="1008"/>
          </w:tcPr>
          <w:p>
            <w:pPr>
              <w:spacing w:line="240" w:lineRule="auto" w:after="20"/>
            </w:pPr>
            <w:r/>
            <w:r>
              <w:rPr>
                <w:sz w:val="17"/>
              </w:rPr>
              <w:t>0.003</w:t>
            </w:r>
          </w:p>
        </w:tc>
        <w:tc>
          <w:tcPr>
            <w:tcW w:type="dxa" w:w="2880"/>
          </w:tcPr>
          <w:p>
            <w:pPr>
              <w:spacing w:line="240" w:lineRule="auto" w:after="20"/>
            </w:pPr>
            <w:r/>
            <w:r>
              <w:rPr>
                <w:sz w:val="17"/>
              </w:rPr>
              <w:t>1.471</w:t>
            </w:r>
          </w:p>
        </w:tc>
        <w:tc>
          <w:tcPr>
            <w:tcW w:type="dxa" w:w="2880"/>
          </w:tcPr>
          <w:p>
            <w:pPr>
              <w:spacing w:line="240" w:lineRule="auto" w:after="20"/>
            </w:pPr>
            <w:r/>
            <w:r>
              <w:rPr>
                <w:sz w:val="17"/>
              </w:rPr>
              <w:t>1.463</w:t>
            </w:r>
          </w:p>
        </w:tc>
        <w:tc>
          <w:tcPr>
            <w:tcW w:type="dxa" w:w="1872"/>
          </w:tcPr>
          <w:p>
            <w:pPr>
              <w:spacing w:line="240" w:lineRule="auto" w:after="20"/>
            </w:pPr>
            <w:r/>
            <w:r>
              <w:rPr>
                <w:sz w:val="17"/>
              </w:rPr>
              <w:t>1.472</w:t>
            </w:r>
          </w:p>
        </w:tc>
      </w:tr>
      <w:tr>
        <w:tc>
          <w:tcPr>
            <w:tcW w:type="dxa" w:w="864"/>
          </w:tcPr>
          <w:p>
            <w:pPr>
              <w:spacing w:line="240" w:lineRule="auto" w:after="20"/>
            </w:pPr>
            <w:r/>
            <w:r>
              <w:rPr>
                <w:sz w:val="17"/>
              </w:rPr>
              <w:t>1.5</w:t>
            </w:r>
          </w:p>
        </w:tc>
        <w:tc>
          <w:tcPr>
            <w:tcW w:type="dxa" w:w="1008"/>
          </w:tcPr>
          <w:p>
            <w:pPr>
              <w:spacing w:line="240" w:lineRule="auto" w:after="20"/>
            </w:pPr>
            <w:r/>
            <w:r>
              <w:rPr>
                <w:sz w:val="17"/>
              </w:rPr>
              <w:t>0.1</w:t>
            </w:r>
          </w:p>
        </w:tc>
        <w:tc>
          <w:tcPr>
            <w:tcW w:type="dxa" w:w="2880"/>
          </w:tcPr>
          <w:p>
            <w:pPr>
              <w:spacing w:line="240" w:lineRule="auto" w:after="20"/>
            </w:pPr>
            <w:r/>
            <w:r>
              <w:rPr>
                <w:sz w:val="17"/>
              </w:rPr>
              <w:t>2.333</w:t>
            </w:r>
          </w:p>
        </w:tc>
        <w:tc>
          <w:tcPr>
            <w:tcW w:type="dxa" w:w="2880"/>
          </w:tcPr>
          <w:p>
            <w:pPr>
              <w:spacing w:line="240" w:lineRule="auto" w:after="20"/>
            </w:pPr>
            <w:r/>
            <w:r>
              <w:rPr>
                <w:sz w:val="17"/>
              </w:rPr>
              <w:t>1.964</w:t>
            </w:r>
          </w:p>
        </w:tc>
        <w:tc>
          <w:tcPr>
            <w:tcW w:type="dxa" w:w="1872"/>
          </w:tcPr>
          <w:p>
            <w:pPr>
              <w:spacing w:line="240" w:lineRule="auto" w:after="20"/>
            </w:pPr>
            <w:r/>
            <w:r>
              <w:rPr>
                <w:sz w:val="17"/>
              </w:rPr>
              <w:t>1.979</w:t>
            </w:r>
          </w:p>
        </w:tc>
      </w:tr>
      <w:tr>
        <w:tc>
          <w:tcPr>
            <w:tcW w:type="dxa" w:w="864"/>
          </w:tcPr>
          <w:p>
            <w:pPr>
              <w:spacing w:line="240" w:lineRule="auto" w:after="20"/>
            </w:pPr>
            <w:r/>
            <w:r>
              <w:rPr>
                <w:sz w:val="17"/>
              </w:rPr>
              <w:t>1.5</w:t>
            </w:r>
          </w:p>
        </w:tc>
        <w:tc>
          <w:tcPr>
            <w:tcW w:type="dxa" w:w="1008"/>
          </w:tcPr>
          <w:p>
            <w:pPr>
              <w:spacing w:line="240" w:lineRule="auto" w:after="20"/>
            </w:pPr>
            <w:r/>
            <w:r>
              <w:rPr>
                <w:sz w:val="17"/>
              </w:rPr>
              <w:t>0.03</w:t>
            </w:r>
          </w:p>
        </w:tc>
        <w:tc>
          <w:tcPr>
            <w:tcW w:type="dxa" w:w="2880"/>
          </w:tcPr>
          <w:p>
            <w:pPr>
              <w:spacing w:line="240" w:lineRule="auto" w:after="20"/>
            </w:pPr>
            <w:r/>
            <w:r>
              <w:rPr>
                <w:sz w:val="17"/>
              </w:rPr>
              <w:t>2.063</w:t>
            </w:r>
          </w:p>
        </w:tc>
        <w:tc>
          <w:tcPr>
            <w:tcW w:type="dxa" w:w="2880"/>
          </w:tcPr>
          <w:p>
            <w:pPr>
              <w:spacing w:line="240" w:lineRule="auto" w:after="20"/>
            </w:pPr>
            <w:r/>
            <w:r>
              <w:rPr>
                <w:sz w:val="17"/>
              </w:rPr>
              <w:t>1.964</w:t>
            </w:r>
          </w:p>
        </w:tc>
        <w:tc>
          <w:tcPr>
            <w:tcW w:type="dxa" w:w="1872"/>
          </w:tcPr>
          <w:p>
            <w:pPr>
              <w:spacing w:line="240" w:lineRule="auto" w:after="20"/>
            </w:pPr>
            <w:r/>
            <w:r>
              <w:rPr>
                <w:sz w:val="17"/>
              </w:rPr>
              <w:t>1.979</w:t>
            </w:r>
          </w:p>
        </w:tc>
      </w:tr>
      <w:tr>
        <w:tc>
          <w:tcPr>
            <w:tcW w:type="dxa" w:w="864"/>
          </w:tcPr>
          <w:p>
            <w:pPr>
              <w:spacing w:line="240" w:lineRule="auto" w:after="20"/>
            </w:pPr>
            <w:r/>
            <w:r>
              <w:rPr>
                <w:sz w:val="17"/>
              </w:rPr>
              <w:t>1.5</w:t>
            </w:r>
          </w:p>
        </w:tc>
        <w:tc>
          <w:tcPr>
            <w:tcW w:type="dxa" w:w="1008"/>
          </w:tcPr>
          <w:p>
            <w:pPr>
              <w:spacing w:line="240" w:lineRule="auto" w:after="20"/>
            </w:pPr>
            <w:r/>
            <w:r>
              <w:rPr>
                <w:sz w:val="17"/>
              </w:rPr>
              <w:t>0.01</w:t>
            </w:r>
          </w:p>
        </w:tc>
        <w:tc>
          <w:tcPr>
            <w:tcW w:type="dxa" w:w="2880"/>
          </w:tcPr>
          <w:p>
            <w:pPr>
              <w:spacing w:line="240" w:lineRule="auto" w:after="20"/>
            </w:pPr>
            <w:r/>
            <w:r>
              <w:rPr>
                <w:sz w:val="17"/>
              </w:rPr>
              <w:t>1.997</w:t>
            </w:r>
          </w:p>
        </w:tc>
        <w:tc>
          <w:tcPr>
            <w:tcW w:type="dxa" w:w="2880"/>
          </w:tcPr>
          <w:p>
            <w:pPr>
              <w:spacing w:line="240" w:lineRule="auto" w:after="20"/>
            </w:pPr>
            <w:r/>
            <w:r>
              <w:rPr>
                <w:sz w:val="17"/>
              </w:rPr>
              <w:t>1.964</w:t>
            </w:r>
          </w:p>
        </w:tc>
        <w:tc>
          <w:tcPr>
            <w:tcW w:type="dxa" w:w="1872"/>
          </w:tcPr>
          <w:p>
            <w:pPr>
              <w:spacing w:line="240" w:lineRule="auto" w:after="20"/>
            </w:pPr>
            <w:r/>
            <w:r>
              <w:rPr>
                <w:sz w:val="17"/>
              </w:rPr>
              <w:t>1.979</w:t>
            </w:r>
          </w:p>
        </w:tc>
      </w:tr>
      <w:tr>
        <w:tc>
          <w:tcPr>
            <w:tcW w:type="dxa" w:w="864"/>
          </w:tcPr>
          <w:p>
            <w:pPr>
              <w:spacing w:line="240" w:lineRule="auto" w:after="20"/>
            </w:pPr>
            <w:r/>
            <w:r>
              <w:rPr>
                <w:sz w:val="17"/>
              </w:rPr>
              <w:t>1.5</w:t>
            </w:r>
          </w:p>
        </w:tc>
        <w:tc>
          <w:tcPr>
            <w:tcW w:type="dxa" w:w="1008"/>
          </w:tcPr>
          <w:p>
            <w:pPr>
              <w:spacing w:line="240" w:lineRule="auto" w:after="20"/>
            </w:pPr>
            <w:r/>
            <w:r>
              <w:rPr>
                <w:sz w:val="17"/>
              </w:rPr>
              <w:t>0.003</w:t>
            </w:r>
          </w:p>
        </w:tc>
        <w:tc>
          <w:tcPr>
            <w:tcW w:type="dxa" w:w="2880"/>
          </w:tcPr>
          <w:p>
            <w:pPr>
              <w:spacing w:line="240" w:lineRule="auto" w:after="20"/>
            </w:pPr>
            <w:r/>
            <w:r>
              <w:rPr>
                <w:sz w:val="17"/>
              </w:rPr>
              <w:t>1.974</w:t>
            </w:r>
          </w:p>
        </w:tc>
        <w:tc>
          <w:tcPr>
            <w:tcW w:type="dxa" w:w="2880"/>
          </w:tcPr>
          <w:p>
            <w:pPr>
              <w:spacing w:line="240" w:lineRule="auto" w:after="20"/>
            </w:pPr>
            <w:r/>
            <w:r>
              <w:rPr>
                <w:sz w:val="17"/>
              </w:rPr>
              <w:t>1.964</w:t>
            </w:r>
          </w:p>
        </w:tc>
        <w:tc>
          <w:tcPr>
            <w:tcW w:type="dxa" w:w="1872"/>
          </w:tcPr>
          <w:p>
            <w:pPr>
              <w:spacing w:line="240" w:lineRule="auto" w:after="20"/>
            </w:pPr>
            <w:r/>
            <w:r>
              <w:rPr>
                <w:sz w:val="17"/>
              </w:rPr>
              <w:t>1.979</w:t>
            </w:r>
          </w:p>
        </w:tc>
      </w:tr>
      <w:tr>
        <w:tc>
          <w:tcPr>
            <w:tcW w:type="dxa" w:w="864"/>
          </w:tcPr>
          <w:p>
            <w:pPr>
              <w:spacing w:line="240" w:lineRule="auto" w:after="20"/>
            </w:pPr>
            <w:r/>
            <w:r>
              <w:rPr>
                <w:sz w:val="17"/>
              </w:rPr>
              <w:t>2.0</w:t>
            </w:r>
          </w:p>
        </w:tc>
        <w:tc>
          <w:tcPr>
            <w:tcW w:type="dxa" w:w="1008"/>
          </w:tcPr>
          <w:p>
            <w:pPr>
              <w:spacing w:line="240" w:lineRule="auto" w:after="20"/>
            </w:pPr>
            <w:r/>
            <w:r>
              <w:rPr>
                <w:sz w:val="17"/>
              </w:rPr>
              <w:t>0.1</w:t>
            </w:r>
          </w:p>
        </w:tc>
        <w:tc>
          <w:tcPr>
            <w:tcW w:type="dxa" w:w="2880"/>
          </w:tcPr>
          <w:p>
            <w:pPr>
              <w:spacing w:line="240" w:lineRule="auto" w:after="20"/>
            </w:pPr>
            <w:r/>
            <w:r>
              <w:rPr>
                <w:sz w:val="17"/>
              </w:rPr>
              <w:t>2.857</w:t>
            </w:r>
          </w:p>
        </w:tc>
        <w:tc>
          <w:tcPr>
            <w:tcW w:type="dxa" w:w="2880"/>
          </w:tcPr>
          <w:p>
            <w:pPr>
              <w:spacing w:line="240" w:lineRule="auto" w:after="20"/>
            </w:pPr>
            <w:r/>
            <w:r>
              <w:rPr>
                <w:sz w:val="17"/>
              </w:rPr>
              <w:t>2.461</w:t>
            </w:r>
          </w:p>
        </w:tc>
        <w:tc>
          <w:tcPr>
            <w:tcW w:type="dxa" w:w="1872"/>
          </w:tcPr>
          <w:p>
            <w:pPr>
              <w:spacing w:line="240" w:lineRule="auto" w:after="20"/>
            </w:pPr>
            <w:r/>
            <w:r>
              <w:rPr>
                <w:sz w:val="17"/>
              </w:rPr>
              <w:t>2.483</w:t>
            </w:r>
          </w:p>
        </w:tc>
      </w:tr>
      <w:tr>
        <w:tc>
          <w:tcPr>
            <w:tcW w:type="dxa" w:w="864"/>
          </w:tcPr>
          <w:p>
            <w:pPr>
              <w:spacing w:line="240" w:lineRule="auto" w:after="20"/>
            </w:pPr>
            <w:r/>
            <w:r>
              <w:rPr>
                <w:sz w:val="17"/>
              </w:rPr>
              <w:t>2.0</w:t>
            </w:r>
          </w:p>
        </w:tc>
        <w:tc>
          <w:tcPr>
            <w:tcW w:type="dxa" w:w="1008"/>
          </w:tcPr>
          <w:p>
            <w:pPr>
              <w:spacing w:line="240" w:lineRule="auto" w:after="20"/>
            </w:pPr>
            <w:r/>
            <w:r>
              <w:rPr>
                <w:sz w:val="17"/>
              </w:rPr>
              <w:t>0.03</w:t>
            </w:r>
          </w:p>
        </w:tc>
        <w:tc>
          <w:tcPr>
            <w:tcW w:type="dxa" w:w="2880"/>
          </w:tcPr>
          <w:p>
            <w:pPr>
              <w:spacing w:line="240" w:lineRule="auto" w:after="20"/>
            </w:pPr>
            <w:r/>
            <w:r>
              <w:rPr>
                <w:sz w:val="17"/>
              </w:rPr>
              <w:t>2.573</w:t>
            </w:r>
          </w:p>
        </w:tc>
        <w:tc>
          <w:tcPr>
            <w:tcW w:type="dxa" w:w="2880"/>
          </w:tcPr>
          <w:p>
            <w:pPr>
              <w:spacing w:line="240" w:lineRule="auto" w:after="20"/>
            </w:pPr>
            <w:r/>
            <w:r>
              <w:rPr>
                <w:sz w:val="17"/>
              </w:rPr>
              <w:t>2.461</w:t>
            </w:r>
          </w:p>
        </w:tc>
        <w:tc>
          <w:tcPr>
            <w:tcW w:type="dxa" w:w="1872"/>
          </w:tcPr>
          <w:p>
            <w:pPr>
              <w:spacing w:line="240" w:lineRule="auto" w:after="20"/>
            </w:pPr>
            <w:r/>
            <w:r>
              <w:rPr>
                <w:sz w:val="17"/>
              </w:rPr>
              <w:t>2.483</w:t>
            </w:r>
          </w:p>
        </w:tc>
      </w:tr>
      <w:tr>
        <w:tc>
          <w:tcPr>
            <w:tcW w:type="dxa" w:w="864"/>
          </w:tcPr>
          <w:p>
            <w:pPr>
              <w:spacing w:line="240" w:lineRule="auto" w:after="20"/>
            </w:pPr>
            <w:r/>
            <w:r>
              <w:rPr>
                <w:sz w:val="17"/>
              </w:rPr>
              <w:t>2.0</w:t>
            </w:r>
          </w:p>
        </w:tc>
        <w:tc>
          <w:tcPr>
            <w:tcW w:type="dxa" w:w="1008"/>
          </w:tcPr>
          <w:p>
            <w:pPr>
              <w:spacing w:line="240" w:lineRule="auto" w:after="20"/>
            </w:pPr>
            <w:r/>
            <w:r>
              <w:rPr>
                <w:sz w:val="17"/>
              </w:rPr>
              <w:t>0.01</w:t>
            </w:r>
          </w:p>
        </w:tc>
        <w:tc>
          <w:tcPr>
            <w:tcW w:type="dxa" w:w="2880"/>
          </w:tcPr>
          <w:p>
            <w:pPr>
              <w:spacing w:line="240" w:lineRule="auto" w:after="20"/>
            </w:pPr>
            <w:r/>
            <w:r>
              <w:rPr>
                <w:sz w:val="17"/>
              </w:rPr>
              <w:t>2.498</w:t>
            </w:r>
          </w:p>
        </w:tc>
        <w:tc>
          <w:tcPr>
            <w:tcW w:type="dxa" w:w="2880"/>
          </w:tcPr>
          <w:p>
            <w:pPr>
              <w:spacing w:line="240" w:lineRule="auto" w:after="20"/>
            </w:pPr>
            <w:r/>
            <w:r>
              <w:rPr>
                <w:sz w:val="17"/>
              </w:rPr>
              <w:t>2.461</w:t>
            </w:r>
          </w:p>
        </w:tc>
        <w:tc>
          <w:tcPr>
            <w:tcW w:type="dxa" w:w="1872"/>
          </w:tcPr>
          <w:p>
            <w:pPr>
              <w:spacing w:line="240" w:lineRule="auto" w:after="20"/>
            </w:pPr>
            <w:r/>
            <w:r>
              <w:rPr>
                <w:sz w:val="17"/>
              </w:rPr>
              <w:t>2.483</w:t>
            </w:r>
          </w:p>
        </w:tc>
      </w:tr>
      <w:tr>
        <w:tc>
          <w:tcPr>
            <w:tcW w:type="dxa" w:w="864"/>
          </w:tcPr>
          <w:p>
            <w:pPr>
              <w:spacing w:line="240" w:lineRule="auto" w:after="20"/>
            </w:pPr>
            <w:r/>
            <w:r>
              <w:rPr>
                <w:sz w:val="17"/>
              </w:rPr>
              <w:t>2.0</w:t>
            </w:r>
          </w:p>
        </w:tc>
        <w:tc>
          <w:tcPr>
            <w:tcW w:type="dxa" w:w="1008"/>
          </w:tcPr>
          <w:p>
            <w:pPr>
              <w:spacing w:line="240" w:lineRule="auto" w:after="20"/>
            </w:pPr>
            <w:r/>
            <w:r>
              <w:rPr>
                <w:sz w:val="17"/>
              </w:rPr>
              <w:t>0.003</w:t>
            </w:r>
          </w:p>
        </w:tc>
        <w:tc>
          <w:tcPr>
            <w:tcW w:type="dxa" w:w="2880"/>
          </w:tcPr>
          <w:p>
            <w:pPr>
              <w:spacing w:line="240" w:lineRule="auto" w:after="20"/>
            </w:pPr>
            <w:r/>
            <w:r>
              <w:rPr>
                <w:sz w:val="17"/>
              </w:rPr>
              <w:t>2.472</w:t>
            </w:r>
          </w:p>
        </w:tc>
        <w:tc>
          <w:tcPr>
            <w:tcW w:type="dxa" w:w="2880"/>
          </w:tcPr>
          <w:p>
            <w:pPr>
              <w:spacing w:line="240" w:lineRule="auto" w:after="20"/>
            </w:pPr>
            <w:r/>
            <w:r>
              <w:rPr>
                <w:sz w:val="17"/>
              </w:rPr>
              <w:t>2.461</w:t>
            </w:r>
          </w:p>
        </w:tc>
        <w:tc>
          <w:tcPr>
            <w:tcW w:type="dxa" w:w="1872"/>
          </w:tcPr>
          <w:p>
            <w:pPr>
              <w:spacing w:line="240" w:lineRule="auto" w:after="20"/>
            </w:pPr>
            <w:r/>
            <w:r>
              <w:rPr>
                <w:sz w:val="17"/>
              </w:rPr>
              <w:t>2.483</w:t>
            </w:r>
          </w:p>
        </w:tc>
      </w:tr>
    </w:tbl>
    <w:p>
      <w:pPr>
        <w:spacing w:after="40"/>
      </w:pPr>
    </w:p>
    <w:p>
      <w:pPr>
        <w:keepNext w:val="0"/>
        <w:jc w:val="both"/>
      </w:pPr>
      <w:r>
        <w:rPr>
          <w:i/>
        </w:rPr>
        <w:t>Arrhenius kinetics.</w:t>
      </w:r>
      <w:r>
        <w:t xml:space="preserve"> For a single Arrhenius source at a temperature rise x = ΔT/T</w:t>
      </w:r>
      <w:r>
        <w:rPr>
          <w:vertAlign w:val="subscript"/>
        </w:rPr>
        <w:t>∞</w:t>
      </w:r>
      <w:r>
        <w:t xml:space="preserve"> the exponent is Ar·x/(1 + x), against Ar·x in the exponential model. With y = ψθ the frozen-conversion balance is y exp[−y/(1 + y/Ar)] = Πr, and its fold is at y</w:t>
      </w:r>
      <w:r>
        <w:rPr>
          <w:vertAlign w:val="subscript"/>
        </w:rPr>
        <w:t>f</w:t>
      </w:r>
      <w:r>
        <w:t xml:space="preserve"> satisfying y = (1 + y/Ar)</w:t>
      </w:r>
      <w:r>
        <w:rPr>
          <w:vertAlign w:val="superscript"/>
        </w:rPr>
        <w:t>2</w:t>
      </w:r>
      <w:r>
        <w:t>; the critical number is then</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Π</m:t>
            </m:r>
          </m:e>
          <m:sub>
            <m:r>
              <m:rPr>
                <m:nor/>
              </m:rPr>
              <w:rPr>
                <w:rFonts w:ascii="Cambria Math" w:hAnsi="Cambria Math"/>
                <w:i w:val="0"/>
              </w:rPr>
              <m:t xml:space="preserve">c</m:t>
            </m:r>
          </m:sub>
        </m:sSub>
        <m:sSup>
          <m:sSupPr>
            <m:ctrlPr>
              <w:rPr>
                <w:rFonts w:ascii="Cambria Math" w:hAnsi="Cambria Math"/>
                <w:i/>
              </w:rPr>
            </m:ctrlPr>
          </m:sSupPr>
          <m:e>
            <m:r>
              <m:rPr>
                <m:nor/>
              </m:rPr>
              <w:rPr>
                <w:rFonts w:ascii="Cambria Math" w:hAnsi="Cambria Math"/>
                <w:i w:val="0"/>
              </w:rPr>
              <m:t xml:space="preserve"/>
            </m:r>
          </m:e>
          <m:sup>
            <m:r>
              <m:rPr>
                <m:nor/>
              </m:rPr>
              <w:rPr>
                <w:rFonts w:ascii="Cambria Math" w:hAnsi="Cambria Math"/>
                <w:i w:val="0"/>
              </w:rPr>
              <m:t xml:space="preserve">Arr</m:t>
            </m:r>
          </m:sup>
        </m:sSup>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Π</m:t>
            </m:r>
          </m:e>
          <m:sub>
            <m:r>
              <m:rPr>
                <m:nor/>
              </m:rPr>
              <w:rPr>
                <w:rFonts w:ascii="Cambria Math" w:hAnsi="Cambria Math"/>
                <w:i w:val="0"/>
              </w:rPr>
              <m:t xml:space="preserve">c</m:t>
            </m:r>
          </m:sub>
        </m:sSub>
        <m:sSup>
          <m:sSupPr>
            <m:ctrlPr>
              <w:rPr>
                <w:rFonts w:ascii="Cambria Math" w:hAnsi="Cambria Math"/>
                <w:i/>
              </w:rPr>
            </m:ctrlPr>
          </m:sSupPr>
          <m:e>
            <m:r>
              <m:rPr>
                <m:nor/>
              </m:rPr>
              <w:rPr>
                <w:rFonts w:ascii="Cambria Math" w:hAnsi="Cambria Math"/>
                <w:i w:val="0"/>
              </w:rPr>
              <m:t xml:space="preserve"/>
            </m:r>
          </m:e>
          <m:sup>
            <m:r>
              <m:rPr>
                <m:nor/>
              </m:rPr>
              <w:rPr>
                <w:rFonts w:ascii="Cambria Math" w:hAnsi="Cambria Math"/>
                <w:i w:val="0"/>
              </w:rPr>
              <m:t xml:space="preserve">FK</m:t>
            </m:r>
          </m:sup>
        </m:sSup>
        <m:r>
          <m:rPr>
            <m:nor/>
          </m:rPr>
          <w:rPr>
            <w:rFonts w:ascii="Cambria Math" w:hAnsi="Cambria Math"/>
            <w:i w:val="0"/>
          </w:rPr>
          <m:t xml:space="preserve"> · e </m:t>
        </m:r>
        <m:sSub>
          <m:sSubPr>
            <m:ctrlPr>
              <w:rPr>
                <w:rFonts w:ascii="Cambria Math" w:hAnsi="Cambria Math"/>
                <w:i/>
              </w:rPr>
            </m:ctrlPr>
          </m:sSubPr>
          <m:e>
            <m:r>
              <m:rPr>
                <m:sty m:val="i"/>
              </m:rPr>
              <w:rPr>
                <w:rFonts w:ascii="Cambria Math" w:hAnsi="Cambria Math"/>
                <w:i/>
              </w:rPr>
              <m:t xml:space="preserve">y</m:t>
            </m:r>
          </m:e>
          <m:sub>
            <m:r>
              <m:rPr>
                <m:sty m:val="i"/>
              </m:rPr>
              <w:rPr>
                <w:rFonts w:ascii="Cambria Math" w:hAnsi="Cambria Math"/>
                <w:i/>
              </w:rPr>
              <m:t xml:space="preserve">f</m:t>
            </m:r>
          </m:sub>
        </m:sSub>
        <m:r>
          <m:rPr>
            <m:nor/>
          </m:rPr>
          <w:rPr>
            <w:rFonts w:ascii="Cambria Math" w:hAnsi="Cambria Math"/>
            <w:i w:val="0"/>
          </w:rPr>
          <m:t xml:space="preserve">exp</m:t>
        </m:r>
        <m:d>
          <m:dPr>
            <m:begChr m:val="("/>
            <m:endChr m:val=")"/>
            <m:ctrlPr>
              <w:rPr>
                <w:rFonts w:ascii="Cambria Math" w:hAnsi="Cambria Math"/>
                <w:i/>
              </w:rPr>
            </m:ctrlPr>
          </m:dPr>
          <m:e>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y</m:t>
                    </m:r>
                  </m:e>
                  <m:sub>
                    <m:r>
                      <m:rPr>
                        <m:sty m:val="i"/>
                      </m:rPr>
                      <w:rPr>
                        <w:rFonts w:ascii="Cambria Math" w:hAnsi="Cambria Math"/>
                        <w:i/>
                      </w:rPr>
                      <m:t xml:space="preserve">f</m:t>
                    </m:r>
                  </m:sub>
                </m:sSub>
              </m:num>
              <m:den>
                <m:r>
                  <m:rPr>
                    <m:nor/>
                  </m:rPr>
                  <w:rPr>
                    <w:rFonts w:ascii="Cambria Math" w:hAnsi="Cambria Math"/>
                    <w:i w:val="0"/>
                  </w:rPr>
                  <m:t xml:space="preserve">1</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y</m:t>
                    </m:r>
                  </m:e>
                  <m:sub>
                    <m:r>
                      <m:rPr>
                        <m:sty m:val="i"/>
                      </m:rPr>
                      <w:rPr>
                        <w:rFonts w:ascii="Cambria Math" w:hAnsi="Cambria Math"/>
                        <w:i/>
                      </w:rPr>
                      <m:t xml:space="preserve">f</m:t>
                    </m:r>
                  </m:sub>
                </m:sSub>
                <m:r>
                  <m:rPr>
                    <m:nor/>
                  </m:rPr>
                  <w:rPr>
                    <w:rFonts w:ascii="Cambria Math" w:hAnsi="Cambria Math"/>
                    <w:i w:val="0"/>
                  </w:rPr>
                  <m:t xml:space="preserve">/Ar</m:t>
                </m:r>
              </m:den>
            </m:f>
          </m:e>
        </m:d>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Π</m:t>
            </m:r>
          </m:e>
          <m:sub>
            <m:r>
              <m:rPr>
                <m:nor/>
              </m:rPr>
              <w:rPr>
                <w:rFonts w:ascii="Cambria Math" w:hAnsi="Cambria Math"/>
                <w:i w:val="0"/>
              </w:rPr>
              <m:t xml:space="preserve">c</m:t>
            </m:r>
          </m:sub>
        </m:sSub>
        <m:sSup>
          <m:sSupPr>
            <m:ctrlPr>
              <w:rPr>
                <w:rFonts w:ascii="Cambria Math" w:hAnsi="Cambria Math"/>
                <w:i/>
              </w:rPr>
            </m:ctrlPr>
          </m:sSupPr>
          <m:e>
            <m:r>
              <m:rPr>
                <m:nor/>
              </m:rPr>
              <w:rPr>
                <w:rFonts w:ascii="Cambria Math" w:hAnsi="Cambria Math"/>
                <w:i w:val="0"/>
              </w:rPr>
              <m:t xml:space="preserve"/>
            </m:r>
          </m:e>
          <m:sup>
            <m:r>
              <m:rPr>
                <m:nor/>
              </m:rPr>
              <w:rPr>
                <w:rFonts w:ascii="Cambria Math" w:hAnsi="Cambria Math"/>
                <w:i w:val="0"/>
              </w:rPr>
              <m:t xml:space="preserve">FK</m:t>
            </m:r>
          </m:sup>
        </m:sSup>
        <m:r>
          <m:rPr>
            <m:nor/>
          </m:rPr>
          <w:rPr>
            <w:rFonts w:ascii="Cambria Math" w:hAnsi="Cambria Math"/>
            <w:i w:val="0"/>
          </w:rPr>
          <m:t xml:space="preserve">exp</m:t>
        </m:r>
        <m:d>
          <m:dPr>
            <m:begChr m:val="("/>
            <m:endChr m:val=")"/>
            <m:ctrlPr>
              <w:rPr>
                <w:rFonts w:ascii="Cambria Math" w:hAnsi="Cambria Math"/>
                <w:i/>
              </w:rPr>
            </m:ctrlPr>
          </m:dPr>
          <m:e>
            <m:f>
              <m:fPr>
                <m:ctrlPr>
                  <w:rPr>
                    <w:rFonts w:ascii="Cambria Math" w:hAnsi="Cambria Math"/>
                    <w:i/>
                  </w:rPr>
                </m:ctrlPr>
              </m:fPr>
              <m:num>
                <m:r>
                  <m:rPr>
                    <m:nor/>
                  </m:rPr>
                  <w:rPr>
                    <w:rFonts w:ascii="Cambria Math" w:hAnsi="Cambria Math"/>
                    <w:i w:val="0"/>
                  </w:rPr>
                  <m:t xml:space="preserve">1</m:t>
                </m:r>
              </m:num>
              <m:den>
                <m:r>
                  <m:rPr>
                    <m:nor/>
                  </m:rPr>
                  <w:rPr>
                    <w:rFonts w:ascii="Cambria Math" w:hAnsi="Cambria Math"/>
                    <w:i w:val="0"/>
                  </w:rPr>
                  <m:t xml:space="preserve">Ar</m:t>
                </m:r>
              </m:den>
            </m:f>
          </m:e>
        </m:d>
      </m:oMath>
      <w:r>
        <w:tab/>
        <w:t xml:space="preserve">(15)</w:t>
      </w:r>
    </w:p>
    <w:p>
      <w:pPr>
        <w:keepNext w:val="0"/>
        <w:jc w:val="both"/>
      </w:pPr>
      <w:r>
        <w:t>The factor exp(1/Ar) is only the first-order (large-Ar) estimate of the first factor; for Ar = 18.0–19.9 the two differ by about 0.3 %. With distinct activation energies of the competing rate terms the fold condition must be solved for the actual sum of rates. We tested the correction with the true Arrhenius model (ungated, isothermal start, both k</w:t>
      </w:r>
      <w:r>
        <w:rPr>
          <w:vertAlign w:val="subscript"/>
        </w:rPr>
        <w:t>1</w:t>
      </w:r>
      <w:r>
        <w:t xml:space="preserve"> and k</w:t>
      </w:r>
      <w:r>
        <w:rPr>
          <w:vertAlign w:val="subscript"/>
        </w:rPr>
        <w:t>2</w:t>
      </w:r>
      <w:r>
        <w:t xml:space="preserve"> Arrhenius) at 120, 140 and 160 °C (Ar = 18.0–19.9) and Θ = 0.01, 0.03, 0.1, bisecting the adiabatic rise to the same operational threshold (Table 5). The prediction Π</w:t>
      </w:r>
      <w:r>
        <w:rPr>
          <w:vertAlign w:val="subscript"/>
        </w:rPr>
        <w:t>c</w:t>
      </w:r>
      <w:r>
        <w:rPr>
          <w:vertAlign w:val="superscript"/>
        </w:rPr>
        <w:t>FK</w:t>
      </w:r>
      <w:r>
        <w:t>(Θ) times the fold factor is within 5.0 % of the Arrhenius threshold in every one of the nine cases (times exp(1/Ar): within 5.4 %; the uncorrected exponential value is off by 6–11 %). This is empirical agreement over the tested grid; the correction has not been tested at small Ar or for other Θ. Release lag raised the operational threshold in the cases tested: at Θ = 0.03 it increased Π</w:t>
      </w:r>
      <w:r>
        <w:rPr>
          <w:vertAlign w:val="subscript"/>
        </w:rPr>
        <w:t>c</w:t>
      </w:r>
      <w:r>
        <w:t xml:space="preserve"> from 2.174, 2.188 and 2.200 to 2.184, 2.199 and 2.212 at 120, 140 and 160 °C. No general inequality is claimed, because a smaller availability at the same conversion does not by itself show that the temperature histories compare.</w:t>
      </w:r>
    </w:p>
    <w:p>
      <w:pPr>
        <w:keepNext/>
        <w:spacing w:line="276" w:lineRule="auto" w:after="200"/>
      </w:pPr>
      <w:r>
        <w:rPr>
          <w:b/>
          <w:sz w:val="19"/>
        </w:rPr>
        <w:t>Table 5</w:t>
      </w:r>
      <w:r>
        <w:rPr>
          <w:sz w:val="19"/>
        </w:rPr>
        <w:t xml:space="preserve"> Operational critical number of the Arrhenius model (ungated, isothermal start; peak rise 0.3ΔT</w:t>
      </w:r>
      <w:r>
        <w:rPr>
          <w:sz w:val="19"/>
          <w:vertAlign w:val="subscript"/>
        </w:rPr>
        <w:t>ad</w:t>
      </w:r>
      <w:r>
        <w:rPr>
          <w:sz w:val="19"/>
        </w:rPr>
        <w:t>) against the exponential-model value FK(Θ) multiplied by the frozen-fold factor of Eq. (15) and by exp(1/Ar) (difference = prediction/Arrhenius − 1), and the effect of a release lag.</w:t>
      </w:r>
    </w:p>
    <w:tbl>
      <w:tblPr>
        <w:tblStyle w:val="TableGrid"/>
        <w:tblW w:type="auto" w:w="0"/>
        <w:jc w:val="center"/>
        <w:tblLayout w:type="fixed"/>
        <w:tblLook w:firstColumn="1" w:firstRow="1" w:lastColumn="0" w:lastRow="0" w:noHBand="0" w:noVBand="1" w:val="04A0"/>
      </w:tblPr>
      <w:tblGrid>
        <w:gridCol w:w="720"/>
        <w:gridCol w:w="648"/>
        <w:gridCol w:w="648"/>
        <w:gridCol w:w="1152"/>
        <w:gridCol w:w="1080"/>
        <w:gridCol w:w="1008"/>
        <w:gridCol w:w="1008"/>
        <w:gridCol w:w="1080"/>
        <w:gridCol w:w="1008"/>
        <w:gridCol w:w="1152"/>
      </w:tblGrid>
      <w:tr>
        <w:trPr>
          <w:tblHeader w:val="true"/>
        </w:trPr>
        <w:tc>
          <w:tcPr>
            <w:tcW w:type="dxa" w:w="720"/>
            <w:shd w:val="clear" w:color="auto" w:fill="E7ECF1"/>
          </w:tcPr>
          <w:p>
            <w:pPr>
              <w:spacing w:line="240" w:lineRule="auto" w:after="20"/>
            </w:pPr>
            <w:r/>
            <w:r>
              <w:rPr>
                <w:b/>
                <w:sz w:val="15"/>
              </w:rPr>
              <w:t>T (°C)</w:t>
            </w:r>
          </w:p>
        </w:tc>
        <w:tc>
          <w:tcPr>
            <w:tcW w:type="dxa" w:w="648"/>
            <w:shd w:val="clear" w:color="auto" w:fill="E7ECF1"/>
          </w:tcPr>
          <w:p>
            <w:pPr>
              <w:spacing w:line="240" w:lineRule="auto" w:after="20"/>
            </w:pPr>
            <w:r/>
            <w:r>
              <w:rPr>
                <w:b/>
                <w:sz w:val="15"/>
              </w:rPr>
              <w:t>Θ</w:t>
            </w:r>
          </w:p>
        </w:tc>
        <w:tc>
          <w:tcPr>
            <w:tcW w:type="dxa" w:w="648"/>
            <w:shd w:val="clear" w:color="auto" w:fill="E7ECF1"/>
          </w:tcPr>
          <w:p>
            <w:pPr>
              <w:spacing w:line="240" w:lineRule="auto" w:after="20"/>
            </w:pPr>
            <w:r/>
            <w:r>
              <w:rPr>
                <w:b/>
                <w:sz w:val="15"/>
              </w:rPr>
              <w:t>Ar</w:t>
            </w:r>
          </w:p>
        </w:tc>
        <w:tc>
          <w:tcPr>
            <w:tcW w:type="dxa" w:w="1152"/>
            <w:shd w:val="clear" w:color="auto" w:fill="E7ECF1"/>
          </w:tcPr>
          <w:p>
            <w:pPr>
              <w:spacing w:line="240" w:lineRule="auto" w:after="20"/>
            </w:pPr>
            <w:r/>
            <w:r>
              <w:rPr>
                <w:b/>
                <w:sz w:val="15"/>
              </w:rPr>
              <w:t>Π</w:t>
            </w:r>
            <w:r>
              <w:rPr>
                <w:b/>
                <w:sz w:val="15"/>
                <w:vertAlign w:val="subscript"/>
              </w:rPr>
              <w:t>c</w:t>
            </w:r>
            <w:r>
              <w:rPr>
                <w:b/>
                <w:sz w:val="15"/>
              </w:rPr>
              <w:t xml:space="preserve"> Arrhenius</w:t>
            </w:r>
          </w:p>
        </w:tc>
        <w:tc>
          <w:tcPr>
            <w:tcW w:type="dxa" w:w="1080"/>
            <w:shd w:val="clear" w:color="auto" w:fill="E7ECF1"/>
          </w:tcPr>
          <w:p>
            <w:pPr>
              <w:spacing w:line="240" w:lineRule="auto" w:after="20"/>
            </w:pPr>
            <w:r/>
            <w:r>
              <w:rPr>
                <w:b/>
                <w:sz w:val="15"/>
              </w:rPr>
              <w:t>Π</w:t>
            </w:r>
            <w:r>
              <w:rPr>
                <w:b/>
                <w:sz w:val="15"/>
                <w:vertAlign w:val="subscript"/>
              </w:rPr>
              <w:t>c</w:t>
            </w:r>
            <w:r>
              <w:rPr>
                <w:b/>
                <w:sz w:val="15"/>
              </w:rPr>
              <w:t xml:space="preserve"> FK(Θ)</w:t>
            </w:r>
          </w:p>
        </w:tc>
        <w:tc>
          <w:tcPr>
            <w:tcW w:type="dxa" w:w="1008"/>
            <w:shd w:val="clear" w:color="auto" w:fill="E7ECF1"/>
          </w:tcPr>
          <w:p>
            <w:pPr>
              <w:spacing w:line="240" w:lineRule="auto" w:after="20"/>
            </w:pPr>
            <w:r/>
            <w:r>
              <w:rPr>
                <w:b/>
                <w:sz w:val="15"/>
              </w:rPr>
              <w:t>× fold factor</w:t>
            </w:r>
          </w:p>
        </w:tc>
        <w:tc>
          <w:tcPr>
            <w:tcW w:type="dxa" w:w="1008"/>
            <w:shd w:val="clear" w:color="auto" w:fill="E7ECF1"/>
          </w:tcPr>
          <w:p>
            <w:pPr>
              <w:spacing w:line="240" w:lineRule="auto" w:after="20"/>
            </w:pPr>
            <w:r/>
            <w:r>
              <w:rPr>
                <w:b/>
                <w:sz w:val="15"/>
              </w:rPr>
              <w:t>Difference</w:t>
            </w:r>
          </w:p>
        </w:tc>
        <w:tc>
          <w:tcPr>
            <w:tcW w:type="dxa" w:w="1080"/>
            <w:shd w:val="clear" w:color="auto" w:fill="E7ECF1"/>
          </w:tcPr>
          <w:p>
            <w:pPr>
              <w:spacing w:line="240" w:lineRule="auto" w:after="20"/>
            </w:pPr>
            <w:r/>
            <w:r>
              <w:rPr>
                <w:b/>
                <w:sz w:val="15"/>
              </w:rPr>
              <w:t>× exp(1/Ar)</w:t>
            </w:r>
          </w:p>
        </w:tc>
        <w:tc>
          <w:tcPr>
            <w:tcW w:type="dxa" w:w="1008"/>
            <w:shd w:val="clear" w:color="auto" w:fill="E7ECF1"/>
          </w:tcPr>
          <w:p>
            <w:pPr>
              <w:spacing w:line="240" w:lineRule="auto" w:after="20"/>
            </w:pPr>
            <w:r/>
            <w:r>
              <w:rPr>
                <w:b/>
                <w:sz w:val="15"/>
              </w:rPr>
              <w:t>Difference</w:t>
            </w:r>
          </w:p>
        </w:tc>
        <w:tc>
          <w:tcPr>
            <w:tcW w:type="dxa" w:w="1152"/>
            <w:shd w:val="clear" w:color="auto" w:fill="E7ECF1"/>
          </w:tcPr>
          <w:p>
            <w:pPr>
              <w:spacing w:line="240" w:lineRule="auto" w:after="20"/>
            </w:pPr>
            <w:r/>
            <w:r>
              <w:rPr>
                <w:b/>
                <w:sz w:val="15"/>
              </w:rPr>
              <w:t>Π</w:t>
            </w:r>
            <w:r>
              <w:rPr>
                <w:b/>
                <w:sz w:val="15"/>
                <w:vertAlign w:val="subscript"/>
              </w:rPr>
              <w:t>c</w:t>
            </w:r>
            <w:r>
              <w:rPr>
                <w:b/>
                <w:sz w:val="15"/>
              </w:rPr>
              <w:t>, release lag</w:t>
            </w:r>
          </w:p>
        </w:tc>
      </w:tr>
      <w:tr>
        <w:tc>
          <w:tcPr>
            <w:tcW w:type="dxa" w:w="720"/>
          </w:tcPr>
          <w:p>
            <w:pPr>
              <w:spacing w:line="240" w:lineRule="auto" w:after="20"/>
            </w:pPr>
            <w:r/>
            <w:r>
              <w:rPr>
                <w:sz w:val="15"/>
              </w:rPr>
              <w:t>120</w:t>
            </w:r>
          </w:p>
        </w:tc>
        <w:tc>
          <w:tcPr>
            <w:tcW w:type="dxa" w:w="648"/>
          </w:tcPr>
          <w:p>
            <w:pPr>
              <w:spacing w:line="240" w:lineRule="auto" w:after="20"/>
            </w:pPr>
            <w:r/>
            <w:r>
              <w:rPr>
                <w:sz w:val="15"/>
              </w:rPr>
              <w:t>0.01</w:t>
            </w:r>
          </w:p>
        </w:tc>
        <w:tc>
          <w:tcPr>
            <w:tcW w:type="dxa" w:w="648"/>
          </w:tcPr>
          <w:p>
            <w:pPr>
              <w:spacing w:line="240" w:lineRule="auto" w:after="20"/>
            </w:pPr>
            <w:r/>
            <w:r>
              <w:rPr>
                <w:sz w:val="15"/>
              </w:rPr>
              <w:t>19.9</w:t>
            </w:r>
          </w:p>
        </w:tc>
        <w:tc>
          <w:tcPr>
            <w:tcW w:type="dxa" w:w="1152"/>
          </w:tcPr>
          <w:p>
            <w:pPr>
              <w:spacing w:line="240" w:lineRule="auto" w:after="20"/>
            </w:pPr>
            <w:r/>
            <w:r>
              <w:rPr>
                <w:sz w:val="15"/>
              </w:rPr>
              <w:t>2.093</w:t>
            </w:r>
          </w:p>
        </w:tc>
        <w:tc>
          <w:tcPr>
            <w:tcW w:type="dxa" w:w="1080"/>
          </w:tcPr>
          <w:p>
            <w:pPr>
              <w:spacing w:line="240" w:lineRule="auto" w:after="20"/>
            </w:pPr>
            <w:r/>
            <w:r>
              <w:rPr>
                <w:sz w:val="15"/>
              </w:rPr>
              <w:t>1.973</w:t>
            </w:r>
          </w:p>
        </w:tc>
        <w:tc>
          <w:tcPr>
            <w:tcW w:type="dxa" w:w="1008"/>
          </w:tcPr>
          <w:p>
            <w:pPr>
              <w:spacing w:line="240" w:lineRule="auto" w:after="20"/>
            </w:pPr>
            <w:r/>
            <w:r>
              <w:rPr>
                <w:sz w:val="15"/>
              </w:rPr>
              <w:t>2.080</w:t>
            </w:r>
          </w:p>
        </w:tc>
        <w:tc>
          <w:tcPr>
            <w:tcW w:type="dxa" w:w="1008"/>
          </w:tcPr>
          <w:p>
            <w:pPr>
              <w:spacing w:line="240" w:lineRule="auto" w:after="20"/>
            </w:pPr>
            <w:r/>
            <w:r>
              <w:rPr>
                <w:sz w:val="15"/>
              </w:rPr>
              <w:t>-0.6 %</w:t>
            </w:r>
          </w:p>
        </w:tc>
        <w:tc>
          <w:tcPr>
            <w:tcW w:type="dxa" w:w="1080"/>
          </w:tcPr>
          <w:p>
            <w:pPr>
              <w:spacing w:line="240" w:lineRule="auto" w:after="20"/>
            </w:pPr>
            <w:r/>
            <w:r>
              <w:rPr>
                <w:sz w:val="15"/>
              </w:rPr>
              <w:t>2.074</w:t>
            </w:r>
          </w:p>
        </w:tc>
        <w:tc>
          <w:tcPr>
            <w:tcW w:type="dxa" w:w="1008"/>
          </w:tcPr>
          <w:p>
            <w:pPr>
              <w:spacing w:line="240" w:lineRule="auto" w:after="20"/>
            </w:pPr>
            <w:r/>
            <w:r>
              <w:rPr>
                <w:sz w:val="15"/>
              </w:rPr>
              <w:t>-0.9 %</w:t>
            </w:r>
          </w:p>
        </w:tc>
        <w:tc>
          <w:tcPr>
            <w:tcW w:type="dxa" w:w="1152"/>
          </w:tcPr>
          <w:p>
            <w:pPr>
              <w:spacing w:line="240" w:lineRule="auto" w:after="20"/>
            </w:pPr>
            <w:r/>
            <w:r>
              <w:rPr>
                <w:sz w:val="15"/>
              </w:rPr>
              <w:t>–</w:t>
            </w:r>
          </w:p>
        </w:tc>
      </w:tr>
      <w:tr>
        <w:tc>
          <w:tcPr>
            <w:tcW w:type="dxa" w:w="720"/>
          </w:tcPr>
          <w:p>
            <w:pPr>
              <w:spacing w:line="240" w:lineRule="auto" w:after="20"/>
            </w:pPr>
            <w:r/>
            <w:r>
              <w:rPr>
                <w:sz w:val="15"/>
              </w:rPr>
              <w:t>120</w:t>
            </w:r>
          </w:p>
        </w:tc>
        <w:tc>
          <w:tcPr>
            <w:tcW w:type="dxa" w:w="648"/>
          </w:tcPr>
          <w:p>
            <w:pPr>
              <w:spacing w:line="240" w:lineRule="auto" w:after="20"/>
            </w:pPr>
            <w:r/>
            <w:r>
              <w:rPr>
                <w:sz w:val="15"/>
              </w:rPr>
              <w:t>0.03</w:t>
            </w:r>
          </w:p>
        </w:tc>
        <w:tc>
          <w:tcPr>
            <w:tcW w:type="dxa" w:w="648"/>
          </w:tcPr>
          <w:p>
            <w:pPr>
              <w:spacing w:line="240" w:lineRule="auto" w:after="20"/>
            </w:pPr>
            <w:r/>
            <w:r>
              <w:rPr>
                <w:sz w:val="15"/>
              </w:rPr>
              <w:t>19.9</w:t>
            </w:r>
          </w:p>
        </w:tc>
        <w:tc>
          <w:tcPr>
            <w:tcW w:type="dxa" w:w="1152"/>
          </w:tcPr>
          <w:p>
            <w:pPr>
              <w:spacing w:line="240" w:lineRule="auto" w:after="20"/>
            </w:pPr>
            <w:r/>
            <w:r>
              <w:rPr>
                <w:sz w:val="15"/>
              </w:rPr>
              <w:t>2.174</w:t>
            </w:r>
          </w:p>
        </w:tc>
        <w:tc>
          <w:tcPr>
            <w:tcW w:type="dxa" w:w="1080"/>
          </w:tcPr>
          <w:p>
            <w:pPr>
              <w:spacing w:line="240" w:lineRule="auto" w:after="20"/>
            </w:pPr>
            <w:r/>
            <w:r>
              <w:rPr>
                <w:sz w:val="15"/>
              </w:rPr>
              <w:t>2.039</w:t>
            </w:r>
          </w:p>
        </w:tc>
        <w:tc>
          <w:tcPr>
            <w:tcW w:type="dxa" w:w="1008"/>
          </w:tcPr>
          <w:p>
            <w:pPr>
              <w:spacing w:line="240" w:lineRule="auto" w:after="20"/>
            </w:pPr>
            <w:r/>
            <w:r>
              <w:rPr>
                <w:sz w:val="15"/>
              </w:rPr>
              <w:t>2.150</w:t>
            </w:r>
          </w:p>
        </w:tc>
        <w:tc>
          <w:tcPr>
            <w:tcW w:type="dxa" w:w="1008"/>
          </w:tcPr>
          <w:p>
            <w:pPr>
              <w:spacing w:line="240" w:lineRule="auto" w:after="20"/>
            </w:pPr>
            <w:r/>
            <w:r>
              <w:rPr>
                <w:sz w:val="15"/>
              </w:rPr>
              <w:t>-1.1 %</w:t>
            </w:r>
          </w:p>
        </w:tc>
        <w:tc>
          <w:tcPr>
            <w:tcW w:type="dxa" w:w="1080"/>
          </w:tcPr>
          <w:p>
            <w:pPr>
              <w:spacing w:line="240" w:lineRule="auto" w:after="20"/>
            </w:pPr>
            <w:r/>
            <w:r>
              <w:rPr>
                <w:sz w:val="15"/>
              </w:rPr>
              <w:t>2.144</w:t>
            </w:r>
          </w:p>
        </w:tc>
        <w:tc>
          <w:tcPr>
            <w:tcW w:type="dxa" w:w="1008"/>
          </w:tcPr>
          <w:p>
            <w:pPr>
              <w:spacing w:line="240" w:lineRule="auto" w:after="20"/>
            </w:pPr>
            <w:r/>
            <w:r>
              <w:rPr>
                <w:sz w:val="15"/>
              </w:rPr>
              <w:t>-1.4 %</w:t>
            </w:r>
          </w:p>
        </w:tc>
        <w:tc>
          <w:tcPr>
            <w:tcW w:type="dxa" w:w="1152"/>
          </w:tcPr>
          <w:p>
            <w:pPr>
              <w:spacing w:line="240" w:lineRule="auto" w:after="20"/>
            </w:pPr>
            <w:r/>
            <w:r>
              <w:rPr>
                <w:sz w:val="15"/>
              </w:rPr>
              <w:t>2.184</w:t>
            </w:r>
          </w:p>
        </w:tc>
      </w:tr>
      <w:tr>
        <w:tc>
          <w:tcPr>
            <w:tcW w:type="dxa" w:w="720"/>
          </w:tcPr>
          <w:p>
            <w:pPr>
              <w:spacing w:line="240" w:lineRule="auto" w:after="20"/>
            </w:pPr>
            <w:r/>
            <w:r>
              <w:rPr>
                <w:sz w:val="15"/>
              </w:rPr>
              <w:t>120</w:t>
            </w:r>
          </w:p>
        </w:tc>
        <w:tc>
          <w:tcPr>
            <w:tcW w:type="dxa" w:w="648"/>
          </w:tcPr>
          <w:p>
            <w:pPr>
              <w:spacing w:line="240" w:lineRule="auto" w:after="20"/>
            </w:pPr>
            <w:r/>
            <w:r>
              <w:rPr>
                <w:sz w:val="15"/>
              </w:rPr>
              <w:t>0.1</w:t>
            </w:r>
          </w:p>
        </w:tc>
        <w:tc>
          <w:tcPr>
            <w:tcW w:type="dxa" w:w="648"/>
          </w:tcPr>
          <w:p>
            <w:pPr>
              <w:spacing w:line="240" w:lineRule="auto" w:after="20"/>
            </w:pPr>
            <w:r/>
            <w:r>
              <w:rPr>
                <w:sz w:val="15"/>
              </w:rPr>
              <w:t>19.9</w:t>
            </w:r>
          </w:p>
        </w:tc>
        <w:tc>
          <w:tcPr>
            <w:tcW w:type="dxa" w:w="1152"/>
          </w:tcPr>
          <w:p>
            <w:pPr>
              <w:spacing w:line="240" w:lineRule="auto" w:after="20"/>
            </w:pPr>
            <w:r/>
            <w:r>
              <w:rPr>
                <w:sz w:val="15"/>
              </w:rPr>
              <w:t>2.545</w:t>
            </w:r>
          </w:p>
        </w:tc>
        <w:tc>
          <w:tcPr>
            <w:tcW w:type="dxa" w:w="1080"/>
          </w:tcPr>
          <w:p>
            <w:pPr>
              <w:spacing w:line="240" w:lineRule="auto" w:after="20"/>
            </w:pPr>
            <w:r/>
            <w:r>
              <w:rPr>
                <w:sz w:val="15"/>
              </w:rPr>
              <w:t>2.308</w:t>
            </w:r>
          </w:p>
        </w:tc>
        <w:tc>
          <w:tcPr>
            <w:tcW w:type="dxa" w:w="1008"/>
          </w:tcPr>
          <w:p>
            <w:pPr>
              <w:spacing w:line="240" w:lineRule="auto" w:after="20"/>
            </w:pPr>
            <w:r/>
            <w:r>
              <w:rPr>
                <w:sz w:val="15"/>
              </w:rPr>
              <w:t>2.433</w:t>
            </w:r>
          </w:p>
        </w:tc>
        <w:tc>
          <w:tcPr>
            <w:tcW w:type="dxa" w:w="1008"/>
          </w:tcPr>
          <w:p>
            <w:pPr>
              <w:spacing w:line="240" w:lineRule="auto" w:after="20"/>
            </w:pPr>
            <w:r/>
            <w:r>
              <w:rPr>
                <w:sz w:val="15"/>
              </w:rPr>
              <w:t>-4.4 %</w:t>
            </w:r>
          </w:p>
        </w:tc>
        <w:tc>
          <w:tcPr>
            <w:tcW w:type="dxa" w:w="1080"/>
          </w:tcPr>
          <w:p>
            <w:pPr>
              <w:spacing w:line="240" w:lineRule="auto" w:after="20"/>
            </w:pPr>
            <w:r/>
            <w:r>
              <w:rPr>
                <w:sz w:val="15"/>
              </w:rPr>
              <w:t>2.427</w:t>
            </w:r>
          </w:p>
        </w:tc>
        <w:tc>
          <w:tcPr>
            <w:tcW w:type="dxa" w:w="1008"/>
          </w:tcPr>
          <w:p>
            <w:pPr>
              <w:spacing w:line="240" w:lineRule="auto" w:after="20"/>
            </w:pPr>
            <w:r/>
            <w:r>
              <w:rPr>
                <w:sz w:val="15"/>
              </w:rPr>
              <w:t>-4.6 %</w:t>
            </w:r>
          </w:p>
        </w:tc>
        <w:tc>
          <w:tcPr>
            <w:tcW w:type="dxa" w:w="1152"/>
          </w:tcPr>
          <w:p>
            <w:pPr>
              <w:spacing w:line="240" w:lineRule="auto" w:after="20"/>
            </w:pPr>
            <w:r/>
            <w:r>
              <w:rPr>
                <w:sz w:val="15"/>
              </w:rPr>
              <w:t>–</w:t>
            </w:r>
          </w:p>
        </w:tc>
      </w:tr>
      <w:tr>
        <w:tc>
          <w:tcPr>
            <w:tcW w:type="dxa" w:w="720"/>
          </w:tcPr>
          <w:p>
            <w:pPr>
              <w:spacing w:line="240" w:lineRule="auto" w:after="20"/>
            </w:pPr>
            <w:r/>
            <w:r>
              <w:rPr>
                <w:sz w:val="15"/>
              </w:rPr>
              <w:t>140</w:t>
            </w:r>
          </w:p>
        </w:tc>
        <w:tc>
          <w:tcPr>
            <w:tcW w:type="dxa" w:w="648"/>
          </w:tcPr>
          <w:p>
            <w:pPr>
              <w:spacing w:line="240" w:lineRule="auto" w:after="20"/>
            </w:pPr>
            <w:r/>
            <w:r>
              <w:rPr>
                <w:sz w:val="15"/>
              </w:rPr>
              <w:t>0.01</w:t>
            </w:r>
          </w:p>
        </w:tc>
        <w:tc>
          <w:tcPr>
            <w:tcW w:type="dxa" w:w="648"/>
          </w:tcPr>
          <w:p>
            <w:pPr>
              <w:spacing w:line="240" w:lineRule="auto" w:after="20"/>
            </w:pPr>
            <w:r/>
            <w:r>
              <w:rPr>
                <w:sz w:val="15"/>
              </w:rPr>
              <w:t>18.9</w:t>
            </w:r>
          </w:p>
        </w:tc>
        <w:tc>
          <w:tcPr>
            <w:tcW w:type="dxa" w:w="1152"/>
          </w:tcPr>
          <w:p>
            <w:pPr>
              <w:spacing w:line="240" w:lineRule="auto" w:after="20"/>
            </w:pPr>
            <w:r/>
            <w:r>
              <w:rPr>
                <w:sz w:val="15"/>
              </w:rPr>
              <w:t>2.106</w:t>
            </w:r>
          </w:p>
        </w:tc>
        <w:tc>
          <w:tcPr>
            <w:tcW w:type="dxa" w:w="1080"/>
          </w:tcPr>
          <w:p>
            <w:pPr>
              <w:spacing w:line="240" w:lineRule="auto" w:after="20"/>
            </w:pPr>
            <w:r/>
            <w:r>
              <w:rPr>
                <w:sz w:val="15"/>
              </w:rPr>
              <w:t>1.980</w:t>
            </w:r>
          </w:p>
        </w:tc>
        <w:tc>
          <w:tcPr>
            <w:tcW w:type="dxa" w:w="1008"/>
          </w:tcPr>
          <w:p>
            <w:pPr>
              <w:spacing w:line="240" w:lineRule="auto" w:after="20"/>
            </w:pPr>
            <w:r/>
            <w:r>
              <w:rPr>
                <w:sz w:val="15"/>
              </w:rPr>
              <w:t>2.094</w:t>
            </w:r>
          </w:p>
        </w:tc>
        <w:tc>
          <w:tcPr>
            <w:tcW w:type="dxa" w:w="1008"/>
          </w:tcPr>
          <w:p>
            <w:pPr>
              <w:spacing w:line="240" w:lineRule="auto" w:after="20"/>
            </w:pPr>
            <w:r/>
            <w:r>
              <w:rPr>
                <w:sz w:val="15"/>
              </w:rPr>
              <w:t>-0.6 %</w:t>
            </w:r>
          </w:p>
        </w:tc>
        <w:tc>
          <w:tcPr>
            <w:tcW w:type="dxa" w:w="1080"/>
          </w:tcPr>
          <w:p>
            <w:pPr>
              <w:spacing w:line="240" w:lineRule="auto" w:after="20"/>
            </w:pPr>
            <w:r/>
            <w:r>
              <w:rPr>
                <w:sz w:val="15"/>
              </w:rPr>
              <w:t>2.088</w:t>
            </w:r>
          </w:p>
        </w:tc>
        <w:tc>
          <w:tcPr>
            <w:tcW w:type="dxa" w:w="1008"/>
          </w:tcPr>
          <w:p>
            <w:pPr>
              <w:spacing w:line="240" w:lineRule="auto" w:after="20"/>
            </w:pPr>
            <w:r/>
            <w:r>
              <w:rPr>
                <w:sz w:val="15"/>
              </w:rPr>
              <w:t>-0.9 %</w:t>
            </w:r>
          </w:p>
        </w:tc>
        <w:tc>
          <w:tcPr>
            <w:tcW w:type="dxa" w:w="1152"/>
          </w:tcPr>
          <w:p>
            <w:pPr>
              <w:spacing w:line="240" w:lineRule="auto" w:after="20"/>
            </w:pPr>
            <w:r/>
            <w:r>
              <w:rPr>
                <w:sz w:val="15"/>
              </w:rPr>
              <w:t>–</w:t>
            </w:r>
          </w:p>
        </w:tc>
      </w:tr>
      <w:tr>
        <w:tc>
          <w:tcPr>
            <w:tcW w:type="dxa" w:w="720"/>
          </w:tcPr>
          <w:p>
            <w:pPr>
              <w:spacing w:line="240" w:lineRule="auto" w:after="20"/>
            </w:pPr>
            <w:r/>
            <w:r>
              <w:rPr>
                <w:sz w:val="15"/>
              </w:rPr>
              <w:t>140</w:t>
            </w:r>
          </w:p>
        </w:tc>
        <w:tc>
          <w:tcPr>
            <w:tcW w:type="dxa" w:w="648"/>
          </w:tcPr>
          <w:p>
            <w:pPr>
              <w:spacing w:line="240" w:lineRule="auto" w:after="20"/>
            </w:pPr>
            <w:r/>
            <w:r>
              <w:rPr>
                <w:sz w:val="15"/>
              </w:rPr>
              <w:t>0.03</w:t>
            </w:r>
          </w:p>
        </w:tc>
        <w:tc>
          <w:tcPr>
            <w:tcW w:type="dxa" w:w="648"/>
          </w:tcPr>
          <w:p>
            <w:pPr>
              <w:spacing w:line="240" w:lineRule="auto" w:after="20"/>
            </w:pPr>
            <w:r/>
            <w:r>
              <w:rPr>
                <w:sz w:val="15"/>
              </w:rPr>
              <w:t>18.9</w:t>
            </w:r>
          </w:p>
        </w:tc>
        <w:tc>
          <w:tcPr>
            <w:tcW w:type="dxa" w:w="1152"/>
          </w:tcPr>
          <w:p>
            <w:pPr>
              <w:spacing w:line="240" w:lineRule="auto" w:after="20"/>
            </w:pPr>
            <w:r/>
            <w:r>
              <w:rPr>
                <w:sz w:val="15"/>
              </w:rPr>
              <w:t>2.188</w:t>
            </w:r>
          </w:p>
        </w:tc>
        <w:tc>
          <w:tcPr>
            <w:tcW w:type="dxa" w:w="1080"/>
          </w:tcPr>
          <w:p>
            <w:pPr>
              <w:spacing w:line="240" w:lineRule="auto" w:after="20"/>
            </w:pPr>
            <w:r/>
            <w:r>
              <w:rPr>
                <w:sz w:val="15"/>
              </w:rPr>
              <w:t>2.047</w:t>
            </w:r>
          </w:p>
        </w:tc>
        <w:tc>
          <w:tcPr>
            <w:tcW w:type="dxa" w:w="1008"/>
          </w:tcPr>
          <w:p>
            <w:pPr>
              <w:spacing w:line="240" w:lineRule="auto" w:after="20"/>
            </w:pPr>
            <w:r/>
            <w:r>
              <w:rPr>
                <w:sz w:val="15"/>
              </w:rPr>
              <w:t>2.165</w:t>
            </w:r>
          </w:p>
        </w:tc>
        <w:tc>
          <w:tcPr>
            <w:tcW w:type="dxa" w:w="1008"/>
          </w:tcPr>
          <w:p>
            <w:pPr>
              <w:spacing w:line="240" w:lineRule="auto" w:after="20"/>
            </w:pPr>
            <w:r/>
            <w:r>
              <w:rPr>
                <w:sz w:val="15"/>
              </w:rPr>
              <w:t>-1.1 %</w:t>
            </w:r>
          </w:p>
        </w:tc>
        <w:tc>
          <w:tcPr>
            <w:tcW w:type="dxa" w:w="1080"/>
          </w:tcPr>
          <w:p>
            <w:pPr>
              <w:spacing w:line="240" w:lineRule="auto" w:after="20"/>
            </w:pPr>
            <w:r/>
            <w:r>
              <w:rPr>
                <w:sz w:val="15"/>
              </w:rPr>
              <w:t>2.158</w:t>
            </w:r>
          </w:p>
        </w:tc>
        <w:tc>
          <w:tcPr>
            <w:tcW w:type="dxa" w:w="1008"/>
          </w:tcPr>
          <w:p>
            <w:pPr>
              <w:spacing w:line="240" w:lineRule="auto" w:after="20"/>
            </w:pPr>
            <w:r/>
            <w:r>
              <w:rPr>
                <w:sz w:val="15"/>
              </w:rPr>
              <w:t>-1.4 %</w:t>
            </w:r>
          </w:p>
        </w:tc>
        <w:tc>
          <w:tcPr>
            <w:tcW w:type="dxa" w:w="1152"/>
          </w:tcPr>
          <w:p>
            <w:pPr>
              <w:spacing w:line="240" w:lineRule="auto" w:after="20"/>
            </w:pPr>
            <w:r/>
            <w:r>
              <w:rPr>
                <w:sz w:val="15"/>
              </w:rPr>
              <w:t>2.199</w:t>
            </w:r>
          </w:p>
        </w:tc>
      </w:tr>
      <w:tr>
        <w:tc>
          <w:tcPr>
            <w:tcW w:type="dxa" w:w="720"/>
          </w:tcPr>
          <w:p>
            <w:pPr>
              <w:spacing w:line="240" w:lineRule="auto" w:after="20"/>
            </w:pPr>
            <w:r/>
            <w:r>
              <w:rPr>
                <w:sz w:val="15"/>
              </w:rPr>
              <w:t>140</w:t>
            </w:r>
          </w:p>
        </w:tc>
        <w:tc>
          <w:tcPr>
            <w:tcW w:type="dxa" w:w="648"/>
          </w:tcPr>
          <w:p>
            <w:pPr>
              <w:spacing w:line="240" w:lineRule="auto" w:after="20"/>
            </w:pPr>
            <w:r/>
            <w:r>
              <w:rPr>
                <w:sz w:val="15"/>
              </w:rPr>
              <w:t>0.1</w:t>
            </w:r>
          </w:p>
        </w:tc>
        <w:tc>
          <w:tcPr>
            <w:tcW w:type="dxa" w:w="648"/>
          </w:tcPr>
          <w:p>
            <w:pPr>
              <w:spacing w:line="240" w:lineRule="auto" w:after="20"/>
            </w:pPr>
            <w:r/>
            <w:r>
              <w:rPr>
                <w:sz w:val="15"/>
              </w:rPr>
              <w:t>18.9</w:t>
            </w:r>
          </w:p>
        </w:tc>
        <w:tc>
          <w:tcPr>
            <w:tcW w:type="dxa" w:w="1152"/>
          </w:tcPr>
          <w:p>
            <w:pPr>
              <w:spacing w:line="240" w:lineRule="auto" w:after="20"/>
            </w:pPr>
            <w:r/>
            <w:r>
              <w:rPr>
                <w:sz w:val="15"/>
              </w:rPr>
              <w:t>2.566</w:t>
            </w:r>
          </w:p>
        </w:tc>
        <w:tc>
          <w:tcPr>
            <w:tcW w:type="dxa" w:w="1080"/>
          </w:tcPr>
          <w:p>
            <w:pPr>
              <w:spacing w:line="240" w:lineRule="auto" w:after="20"/>
            </w:pPr>
            <w:r/>
            <w:r>
              <w:rPr>
                <w:sz w:val="15"/>
              </w:rPr>
              <w:t>2.316</w:t>
            </w:r>
          </w:p>
        </w:tc>
        <w:tc>
          <w:tcPr>
            <w:tcW w:type="dxa" w:w="1008"/>
          </w:tcPr>
          <w:p>
            <w:pPr>
              <w:spacing w:line="240" w:lineRule="auto" w:after="20"/>
            </w:pPr>
            <w:r/>
            <w:r>
              <w:rPr>
                <w:sz w:val="15"/>
              </w:rPr>
              <w:t>2.449</w:t>
            </w:r>
          </w:p>
        </w:tc>
        <w:tc>
          <w:tcPr>
            <w:tcW w:type="dxa" w:w="1008"/>
          </w:tcPr>
          <w:p>
            <w:pPr>
              <w:spacing w:line="240" w:lineRule="auto" w:after="20"/>
            </w:pPr>
            <w:r/>
            <w:r>
              <w:rPr>
                <w:sz w:val="15"/>
              </w:rPr>
              <w:t>-4.6 %</w:t>
            </w:r>
          </w:p>
        </w:tc>
        <w:tc>
          <w:tcPr>
            <w:tcW w:type="dxa" w:w="1080"/>
          </w:tcPr>
          <w:p>
            <w:pPr>
              <w:spacing w:line="240" w:lineRule="auto" w:after="20"/>
            </w:pPr>
            <w:r/>
            <w:r>
              <w:rPr>
                <w:sz w:val="15"/>
              </w:rPr>
              <w:t>2.441</w:t>
            </w:r>
          </w:p>
        </w:tc>
        <w:tc>
          <w:tcPr>
            <w:tcW w:type="dxa" w:w="1008"/>
          </w:tcPr>
          <w:p>
            <w:pPr>
              <w:spacing w:line="240" w:lineRule="auto" w:after="20"/>
            </w:pPr>
            <w:r/>
            <w:r>
              <w:rPr>
                <w:sz w:val="15"/>
              </w:rPr>
              <w:t>-4.9 %</w:t>
            </w:r>
          </w:p>
        </w:tc>
        <w:tc>
          <w:tcPr>
            <w:tcW w:type="dxa" w:w="1152"/>
          </w:tcPr>
          <w:p>
            <w:pPr>
              <w:spacing w:line="240" w:lineRule="auto" w:after="20"/>
            </w:pPr>
            <w:r/>
            <w:r>
              <w:rPr>
                <w:sz w:val="15"/>
              </w:rPr>
              <w:t>–</w:t>
            </w:r>
          </w:p>
        </w:tc>
      </w:tr>
      <w:tr>
        <w:tc>
          <w:tcPr>
            <w:tcW w:type="dxa" w:w="720"/>
          </w:tcPr>
          <w:p>
            <w:pPr>
              <w:spacing w:line="240" w:lineRule="auto" w:after="20"/>
            </w:pPr>
            <w:r/>
            <w:r>
              <w:rPr>
                <w:sz w:val="15"/>
              </w:rPr>
              <w:t>160</w:t>
            </w:r>
          </w:p>
        </w:tc>
        <w:tc>
          <w:tcPr>
            <w:tcW w:type="dxa" w:w="648"/>
          </w:tcPr>
          <w:p>
            <w:pPr>
              <w:spacing w:line="240" w:lineRule="auto" w:after="20"/>
            </w:pPr>
            <w:r/>
            <w:r>
              <w:rPr>
                <w:sz w:val="15"/>
              </w:rPr>
              <w:t>0.01</w:t>
            </w:r>
          </w:p>
        </w:tc>
        <w:tc>
          <w:tcPr>
            <w:tcW w:type="dxa" w:w="648"/>
          </w:tcPr>
          <w:p>
            <w:pPr>
              <w:spacing w:line="240" w:lineRule="auto" w:after="20"/>
            </w:pPr>
            <w:r/>
            <w:r>
              <w:rPr>
                <w:sz w:val="15"/>
              </w:rPr>
              <w:t>18.0</w:t>
            </w:r>
          </w:p>
        </w:tc>
        <w:tc>
          <w:tcPr>
            <w:tcW w:type="dxa" w:w="1152"/>
          </w:tcPr>
          <w:p>
            <w:pPr>
              <w:spacing w:line="240" w:lineRule="auto" w:after="20"/>
            </w:pPr>
            <w:r/>
            <w:r>
              <w:rPr>
                <w:sz w:val="15"/>
              </w:rPr>
              <w:t>2.117</w:t>
            </w:r>
          </w:p>
        </w:tc>
        <w:tc>
          <w:tcPr>
            <w:tcW w:type="dxa" w:w="1080"/>
          </w:tcPr>
          <w:p>
            <w:pPr>
              <w:spacing w:line="240" w:lineRule="auto" w:after="20"/>
            </w:pPr>
            <w:r/>
            <w:r>
              <w:rPr>
                <w:sz w:val="15"/>
              </w:rPr>
              <w:t>1.986</w:t>
            </w:r>
          </w:p>
        </w:tc>
        <w:tc>
          <w:tcPr>
            <w:tcW w:type="dxa" w:w="1008"/>
          </w:tcPr>
          <w:p>
            <w:pPr>
              <w:spacing w:line="240" w:lineRule="auto" w:after="20"/>
            </w:pPr>
            <w:r/>
            <w:r>
              <w:rPr>
                <w:sz w:val="15"/>
              </w:rPr>
              <w:t>2.106</w:t>
            </w:r>
          </w:p>
        </w:tc>
        <w:tc>
          <w:tcPr>
            <w:tcW w:type="dxa" w:w="1008"/>
          </w:tcPr>
          <w:p>
            <w:pPr>
              <w:spacing w:line="240" w:lineRule="auto" w:after="20"/>
            </w:pPr>
            <w:r/>
            <w:r>
              <w:rPr>
                <w:sz w:val="15"/>
              </w:rPr>
              <w:t>-0.5 %</w:t>
            </w:r>
          </w:p>
        </w:tc>
        <w:tc>
          <w:tcPr>
            <w:tcW w:type="dxa" w:w="1080"/>
          </w:tcPr>
          <w:p>
            <w:pPr>
              <w:spacing w:line="240" w:lineRule="auto" w:after="20"/>
            </w:pPr>
            <w:r/>
            <w:r>
              <w:rPr>
                <w:sz w:val="15"/>
              </w:rPr>
              <w:t>2.099</w:t>
            </w:r>
          </w:p>
        </w:tc>
        <w:tc>
          <w:tcPr>
            <w:tcW w:type="dxa" w:w="1008"/>
          </w:tcPr>
          <w:p>
            <w:pPr>
              <w:spacing w:line="240" w:lineRule="auto" w:after="20"/>
            </w:pPr>
            <w:r/>
            <w:r>
              <w:rPr>
                <w:sz w:val="15"/>
              </w:rPr>
              <w:t>-0.8 %</w:t>
            </w:r>
          </w:p>
        </w:tc>
        <w:tc>
          <w:tcPr>
            <w:tcW w:type="dxa" w:w="1152"/>
          </w:tcPr>
          <w:p>
            <w:pPr>
              <w:spacing w:line="240" w:lineRule="auto" w:after="20"/>
            </w:pPr>
            <w:r/>
            <w:r>
              <w:rPr>
                <w:sz w:val="15"/>
              </w:rPr>
              <w:t>–</w:t>
            </w:r>
          </w:p>
        </w:tc>
      </w:tr>
      <w:tr>
        <w:tc>
          <w:tcPr>
            <w:tcW w:type="dxa" w:w="720"/>
          </w:tcPr>
          <w:p>
            <w:pPr>
              <w:spacing w:line="240" w:lineRule="auto" w:after="20"/>
            </w:pPr>
            <w:r/>
            <w:r>
              <w:rPr>
                <w:sz w:val="15"/>
              </w:rPr>
              <w:t>160</w:t>
            </w:r>
          </w:p>
        </w:tc>
        <w:tc>
          <w:tcPr>
            <w:tcW w:type="dxa" w:w="648"/>
          </w:tcPr>
          <w:p>
            <w:pPr>
              <w:spacing w:line="240" w:lineRule="auto" w:after="20"/>
            </w:pPr>
            <w:r/>
            <w:r>
              <w:rPr>
                <w:sz w:val="15"/>
              </w:rPr>
              <w:t>0.03</w:t>
            </w:r>
          </w:p>
        </w:tc>
        <w:tc>
          <w:tcPr>
            <w:tcW w:type="dxa" w:w="648"/>
          </w:tcPr>
          <w:p>
            <w:pPr>
              <w:spacing w:line="240" w:lineRule="auto" w:after="20"/>
            </w:pPr>
            <w:r/>
            <w:r>
              <w:rPr>
                <w:sz w:val="15"/>
              </w:rPr>
              <w:t>18.0</w:t>
            </w:r>
          </w:p>
        </w:tc>
        <w:tc>
          <w:tcPr>
            <w:tcW w:type="dxa" w:w="1152"/>
          </w:tcPr>
          <w:p>
            <w:pPr>
              <w:spacing w:line="240" w:lineRule="auto" w:after="20"/>
            </w:pPr>
            <w:r/>
            <w:r>
              <w:rPr>
                <w:sz w:val="15"/>
              </w:rPr>
              <w:t>2.200</w:t>
            </w:r>
          </w:p>
        </w:tc>
        <w:tc>
          <w:tcPr>
            <w:tcW w:type="dxa" w:w="1080"/>
          </w:tcPr>
          <w:p>
            <w:pPr>
              <w:spacing w:line="240" w:lineRule="auto" w:after="20"/>
            </w:pPr>
            <w:r/>
            <w:r>
              <w:rPr>
                <w:sz w:val="15"/>
              </w:rPr>
              <w:t>2.053</w:t>
            </w:r>
          </w:p>
        </w:tc>
        <w:tc>
          <w:tcPr>
            <w:tcW w:type="dxa" w:w="1008"/>
          </w:tcPr>
          <w:p>
            <w:pPr>
              <w:spacing w:line="240" w:lineRule="auto" w:after="20"/>
            </w:pPr>
            <w:r/>
            <w:r>
              <w:rPr>
                <w:sz w:val="15"/>
              </w:rPr>
              <w:t>2.177</w:t>
            </w:r>
          </w:p>
        </w:tc>
        <w:tc>
          <w:tcPr>
            <w:tcW w:type="dxa" w:w="1008"/>
          </w:tcPr>
          <w:p>
            <w:pPr>
              <w:spacing w:line="240" w:lineRule="auto" w:after="20"/>
            </w:pPr>
            <w:r/>
            <w:r>
              <w:rPr>
                <w:sz w:val="15"/>
              </w:rPr>
              <w:t>-1.0 %</w:t>
            </w:r>
          </w:p>
        </w:tc>
        <w:tc>
          <w:tcPr>
            <w:tcW w:type="dxa" w:w="1080"/>
          </w:tcPr>
          <w:p>
            <w:pPr>
              <w:spacing w:line="240" w:lineRule="auto" w:after="20"/>
            </w:pPr>
            <w:r/>
            <w:r>
              <w:rPr>
                <w:sz w:val="15"/>
              </w:rPr>
              <w:t>2.169</w:t>
            </w:r>
          </w:p>
        </w:tc>
        <w:tc>
          <w:tcPr>
            <w:tcW w:type="dxa" w:w="1008"/>
          </w:tcPr>
          <w:p>
            <w:pPr>
              <w:spacing w:line="240" w:lineRule="auto" w:after="20"/>
            </w:pPr>
            <w:r/>
            <w:r>
              <w:rPr>
                <w:sz w:val="15"/>
              </w:rPr>
              <w:t>-1.4 %</w:t>
            </w:r>
          </w:p>
        </w:tc>
        <w:tc>
          <w:tcPr>
            <w:tcW w:type="dxa" w:w="1152"/>
          </w:tcPr>
          <w:p>
            <w:pPr>
              <w:spacing w:line="240" w:lineRule="auto" w:after="20"/>
            </w:pPr>
            <w:r/>
            <w:r>
              <w:rPr>
                <w:sz w:val="15"/>
              </w:rPr>
              <w:t>2.212</w:t>
            </w:r>
          </w:p>
        </w:tc>
      </w:tr>
      <w:tr>
        <w:tc>
          <w:tcPr>
            <w:tcW w:type="dxa" w:w="720"/>
          </w:tcPr>
          <w:p>
            <w:pPr>
              <w:spacing w:line="240" w:lineRule="auto" w:after="20"/>
            </w:pPr>
            <w:r/>
            <w:r>
              <w:rPr>
                <w:sz w:val="15"/>
              </w:rPr>
              <w:t>160</w:t>
            </w:r>
          </w:p>
        </w:tc>
        <w:tc>
          <w:tcPr>
            <w:tcW w:type="dxa" w:w="648"/>
          </w:tcPr>
          <w:p>
            <w:pPr>
              <w:spacing w:line="240" w:lineRule="auto" w:after="20"/>
            </w:pPr>
            <w:r/>
            <w:r>
              <w:rPr>
                <w:sz w:val="15"/>
              </w:rPr>
              <w:t>0.1</w:t>
            </w:r>
          </w:p>
        </w:tc>
        <w:tc>
          <w:tcPr>
            <w:tcW w:type="dxa" w:w="648"/>
          </w:tcPr>
          <w:p>
            <w:pPr>
              <w:spacing w:line="240" w:lineRule="auto" w:after="20"/>
            </w:pPr>
            <w:r/>
            <w:r>
              <w:rPr>
                <w:sz w:val="15"/>
              </w:rPr>
              <w:t>18.0</w:t>
            </w:r>
          </w:p>
        </w:tc>
        <w:tc>
          <w:tcPr>
            <w:tcW w:type="dxa" w:w="1152"/>
          </w:tcPr>
          <w:p>
            <w:pPr>
              <w:spacing w:line="240" w:lineRule="auto" w:after="20"/>
            </w:pPr>
            <w:r/>
            <w:r>
              <w:rPr>
                <w:sz w:val="15"/>
              </w:rPr>
              <w:t>2.586</w:t>
            </w:r>
          </w:p>
        </w:tc>
        <w:tc>
          <w:tcPr>
            <w:tcW w:type="dxa" w:w="1080"/>
          </w:tcPr>
          <w:p>
            <w:pPr>
              <w:spacing w:line="240" w:lineRule="auto" w:after="20"/>
            </w:pPr>
            <w:r/>
            <w:r>
              <w:rPr>
                <w:sz w:val="15"/>
              </w:rPr>
              <w:t>2.322</w:t>
            </w:r>
          </w:p>
        </w:tc>
        <w:tc>
          <w:tcPr>
            <w:tcW w:type="dxa" w:w="1008"/>
          </w:tcPr>
          <w:p>
            <w:pPr>
              <w:spacing w:line="240" w:lineRule="auto" w:after="20"/>
            </w:pPr>
            <w:r/>
            <w:r>
              <w:rPr>
                <w:sz w:val="15"/>
              </w:rPr>
              <w:t>2.462</w:t>
            </w:r>
          </w:p>
        </w:tc>
        <w:tc>
          <w:tcPr>
            <w:tcW w:type="dxa" w:w="1008"/>
          </w:tcPr>
          <w:p>
            <w:pPr>
              <w:spacing w:line="240" w:lineRule="auto" w:after="20"/>
            </w:pPr>
            <w:r/>
            <w:r>
              <w:rPr>
                <w:sz w:val="15"/>
              </w:rPr>
              <w:t>-4.8 %</w:t>
            </w:r>
          </w:p>
        </w:tc>
        <w:tc>
          <w:tcPr>
            <w:tcW w:type="dxa" w:w="1080"/>
          </w:tcPr>
          <w:p>
            <w:pPr>
              <w:spacing w:line="240" w:lineRule="auto" w:after="20"/>
            </w:pPr>
            <w:r/>
            <w:r>
              <w:rPr>
                <w:sz w:val="15"/>
              </w:rPr>
              <w:t>2.454</w:t>
            </w:r>
          </w:p>
        </w:tc>
        <w:tc>
          <w:tcPr>
            <w:tcW w:type="dxa" w:w="1008"/>
          </w:tcPr>
          <w:p>
            <w:pPr>
              <w:spacing w:line="240" w:lineRule="auto" w:after="20"/>
            </w:pPr>
            <w:r/>
            <w:r>
              <w:rPr>
                <w:sz w:val="15"/>
              </w:rPr>
              <w:t>-5.1 %</w:t>
            </w:r>
          </w:p>
        </w:tc>
        <w:tc>
          <w:tcPr>
            <w:tcW w:type="dxa" w:w="1152"/>
          </w:tcPr>
          <w:p>
            <w:pPr>
              <w:spacing w:line="240" w:lineRule="auto" w:after="20"/>
            </w:pPr>
            <w:r/>
            <w:r>
              <w:rPr>
                <w:sz w:val="15"/>
              </w:rPr>
              <w:t>–</w:t>
            </w:r>
          </w:p>
        </w:tc>
      </w:tr>
    </w:tbl>
    <w:p>
      <w:pPr>
        <w:spacing w:after="40"/>
      </w:pPr>
    </w:p>
    <w:p>
      <w:pPr>
        <w:keepNext/>
        <w:spacing w:before="160" w:after="40"/>
        <w:jc w:val="center"/>
      </w:pPr>
      <w:r>
        <w:drawing>
          <wp:inline xmlns:a="http://schemas.openxmlformats.org/drawingml/2006/main" xmlns:pic="http://schemas.openxmlformats.org/drawingml/2006/picture">
            <wp:extent cx="6126480" cy="1861969"/>
            <wp:docPr id="3" name="Picture 3" descr="Three panels. (a) Critical number against Theta for three reaction orders with asymptotes. (b) Peak overshoot against Pi over Pi critical with Lambert-W curve and integrated points. (c) Scatter of Arrhenius critical number against prediction near the identity line."/>
            <wp:cNvGraphicFramePr>
              <a:graphicFrameLocks noChangeAspect="1"/>
            </wp:cNvGraphicFramePr>
            <a:graphic>
              <a:graphicData uri="http://schemas.openxmlformats.org/drawingml/2006/picture">
                <pic:pic>
                  <pic:nvPicPr>
                    <pic:cNvPr id="0" name="fig3_criticality.png"/>
                    <pic:cNvPicPr/>
                  </pic:nvPicPr>
                  <pic:blipFill>
                    <a:blip r:embed="rId12"/>
                    <a:stretch>
                      <a:fillRect/>
                    </a:stretch>
                  </pic:blipFill>
                  <pic:spPr>
                    <a:xfrm>
                      <a:off x="0" y="0"/>
                      <a:ext cx="6126480" cy="1861969"/>
                    </a:xfrm>
                    <a:prstGeom prst="rect"/>
                  </pic:spPr>
                </pic:pic>
              </a:graphicData>
            </a:graphic>
          </wp:inline>
        </w:drawing>
      </w:r>
    </w:p>
    <w:p>
      <w:pPr>
        <w:keepNext w:val="0"/>
        <w:spacing w:line="276" w:lineRule="auto" w:after="200"/>
      </w:pPr>
      <w:r>
        <w:rPr>
          <w:b/>
          <w:sz w:val="19"/>
        </w:rPr>
        <w:t>Fig. 3</w:t>
      </w:r>
      <w:r>
        <w:rPr>
          <w:sz w:val="19"/>
        </w:rPr>
        <w:t xml:space="preserve"> (a) Operational critical number against Θ for n = 1, 3/2 and 2 (points: integrations; dashed: finite-ε Eq. (14)). (b) Quasi-steady overshoot below Π</w:t>
      </w:r>
      <w:r>
        <w:rPr>
          <w:sz w:val="19"/>
          <w:vertAlign w:val="subscript"/>
        </w:rPr>
        <w:t>c</w:t>
      </w:r>
      <w:r>
        <w:rPr>
          <w:sz w:val="19"/>
        </w:rPr>
        <w:t>: Lambert-W formula, fold normal form, and integrations. (c) Arrhenius operational critical number against FK(Θ) times the frozen-fold factor.</w:t>
      </w:r>
    </w:p>
    <w:p>
      <w:pPr>
        <w:pStyle w:val="Heading2"/>
      </w:pPr>
      <w:r>
        <w:rPr>
          <w:rFonts w:ascii="Times New Roman" w:hAnsi="Times New Roman"/>
        </w:rPr>
        <w:t>E. Proposition 5: continuous-flow reactor, steady states, stability, and hysteresis</w:t>
      </w:r>
    </w:p>
    <w:p>
      <w:pPr>
        <w:keepNext w:val="0"/>
        <w:jc w:val="both"/>
      </w:pPr>
      <w:r>
        <w:t>Let fresh resin of conversion 0 enter at the wall temperature with residence time τ</w:t>
      </w:r>
      <w:r>
        <w:rPr>
          <w:vertAlign w:val="subscript"/>
        </w:rPr>
        <w:t>res</w:t>
      </w:r>
      <w:r>
        <w:t>, and let ϑ = τ</w:t>
      </w:r>
      <w:r>
        <w:rPr>
          <w:vertAlign w:val="subscript"/>
        </w:rPr>
        <w:t>th</w:t>
      </w:r>
      <w:r>
        <w:t>/τ</w:t>
      </w:r>
      <w:r>
        <w:rPr>
          <w:vertAlign w:val="subscript"/>
        </w:rPr>
        <w:t>res</w:t>
      </w:r>
      <w:r>
        <w:t xml:space="preserve"> and D = k</w:t>
      </w:r>
      <w:r>
        <w:rPr>
          <w:vertAlign w:val="subscript"/>
        </w:rPr>
        <w:t>2</w:t>
      </w:r>
      <w:r>
        <w:t>τ</w:t>
      </w:r>
      <w:r>
        <w:rPr>
          <w:vertAlign w:val="subscript"/>
        </w:rPr>
        <w:t>res</w:t>
      </w:r>
      <w:r>
        <w:t>. In units of τ</w:t>
      </w:r>
      <w:r>
        <w:rPr>
          <w:vertAlign w:val="subscript"/>
        </w:rPr>
        <w:t>res</w:t>
      </w:r>
      <w:r>
        <w:t xml:space="preserve"> and in the exponential model,</w:t>
      </w:r>
    </w:p>
    <w:p>
      <w:pPr>
        <w:keepLines/>
        <w:tabs>
          <w:tab w:pos="4680" w:val="center"/>
          <w:tab w:pos="9360" w:val="right"/>
        </w:tabs>
        <w:spacing w:before="120" w:after="120"/>
      </w:pPr>
      <w:r>
        <w:tab/>
      </w:r>
      <m:oMath>
        <m:f>
          <m:fPr>
            <m:ctrlPr>
              <w:rPr>
                <w:rFonts w:ascii="Cambria Math" w:hAnsi="Cambria Math"/>
                <w:i/>
              </w:rPr>
            </m:ctrlPr>
          </m:fPr>
          <m:num>
            <m:r>
              <m:rPr>
                <m:sty m:val="i"/>
              </m:rPr>
              <w:rPr>
                <w:rFonts w:ascii="Cambria Math" w:hAnsi="Cambria Math"/>
                <w:i/>
              </w:rPr>
              <m:t xml:space="preserve">dα</m:t>
            </m:r>
          </m:num>
          <m:den>
            <m:r>
              <m:rPr>
                <m:nor/>
              </m:rPr>
              <w:rPr>
                <w:rFonts w:ascii="Cambria Math" w:hAnsi="Cambria Math"/>
                <w:i w:val="0"/>
              </w:rPr>
              <m:t xml:space="preserve">dt′</m:t>
            </m:r>
          </m:den>
        </m:f>
        <m:r>
          <m:rPr>
            <m:nor/>
          </m:rPr>
          <w:rPr>
            <w:rFonts w:ascii="Cambria Math" w:hAnsi="Cambria Math"/>
            <w:i w:val="0"/>
          </w:rPr>
          <m:t xml:space="preserve"> = </m:t>
        </m:r>
        <m:r>
          <m:rPr>
            <m:sty m:val="i"/>
          </m:rPr>
          <w:rPr>
            <w:rFonts w:ascii="Cambria Math" w:hAnsi="Cambria Math"/>
            <w:i/>
          </w:rPr>
          <m:t xml:space="preserve">D</m:t>
        </m:r>
        <m:r>
          <m:rPr>
            <m:sty m:val="i"/>
          </m:rPr>
          <w:rPr>
            <w:rFonts w:ascii="Cambria Math" w:hAnsi="Cambria Math"/>
            <w:i/>
          </w:rPr>
          <m:t xml:space="preserve">r</m:t>
        </m:r>
        <m:r>
          <m:rPr>
            <m:nor/>
          </m:rPr>
          <w:rPr>
            <w:rFonts w:ascii="Cambria Math" w:hAnsi="Cambria Math"/>
            <w:i w:val="0"/>
          </w:rPr>
          <m:t xml:space="preserve"> − </m:t>
        </m:r>
        <m:r>
          <m:rPr>
            <m:sty m:val="i"/>
          </m:rPr>
          <w:rPr>
            <w:rFonts w:ascii="Cambria Math" w:hAnsi="Cambria Math"/>
            <w:i/>
          </w:rPr>
          <m:t xml:space="preserve">α</m:t>
        </m:r>
        <m:r>
          <m:rPr>
            <m:nor/>
          </m:rPr>
          <w:rPr>
            <w:rFonts w:ascii="Cambria Math" w:hAnsi="Cambria Math"/>
            <w:i w:val="0"/>
          </w:rPr>
          <m:t xml:space="preserve">,   </m:t>
        </m:r>
        <m:f>
          <m:fPr>
            <m:ctrlPr>
              <w:rPr>
                <w:rFonts w:ascii="Cambria Math" w:hAnsi="Cambria Math"/>
                <w:i/>
              </w:rPr>
            </m:ctrlPr>
          </m:fPr>
          <m:num>
            <m:r>
              <m:rPr>
                <m:sty m:val="i"/>
              </m:rPr>
              <w:rPr>
                <w:rFonts w:ascii="Cambria Math" w:hAnsi="Cambria Math"/>
                <w:i/>
              </w:rPr>
              <m:t xml:space="preserve">dθ</m:t>
            </m:r>
          </m:num>
          <m:den>
            <m:r>
              <m:rPr>
                <m:nor/>
              </m:rPr>
              <w:rPr>
                <w:rFonts w:ascii="Cambria Math" w:hAnsi="Cambria Math"/>
                <w:i w:val="0"/>
              </w:rPr>
              <m:t xml:space="preserve">dt′</m:t>
            </m:r>
          </m:den>
        </m:f>
        <m:r>
          <m:rPr>
            <m:nor/>
          </m:rPr>
          <w:rPr>
            <w:rFonts w:ascii="Cambria Math" w:hAnsi="Cambria Math"/>
            <w:i w:val="0"/>
          </w:rPr>
          <m:t xml:space="preserve"> = </m:t>
        </m:r>
        <m:r>
          <m:rPr>
            <m:sty m:val="i"/>
          </m:rPr>
          <w:rPr>
            <w:rFonts w:ascii="Cambria Math" w:hAnsi="Cambria Math"/>
            <w:i/>
          </w:rPr>
          <m:t xml:space="preserve">D</m:t>
        </m:r>
        <m:r>
          <m:rPr>
            <m:sty m:val="i"/>
          </m:rPr>
          <w:rPr>
            <w:rFonts w:ascii="Cambria Math" w:hAnsi="Cambria Math"/>
            <w:i/>
          </w:rPr>
          <m:t xml:space="preserve">r</m:t>
        </m:r>
        <m:r>
          <m:rPr>
            <m:nor/>
          </m:rPr>
          <w:rPr>
            <w:rFonts w:ascii="Cambria Math" w:hAnsi="Cambria Math"/>
            <w:i w:val="0"/>
          </w:rPr>
          <m:t xml:space="preserve"> − </m:t>
        </m:r>
        <m:r>
          <m:rPr>
            <m:sty m:val="i"/>
          </m:rPr>
          <w:rPr>
            <w:rFonts w:ascii="Cambria Math" w:hAnsi="Cambria Math"/>
            <w:i/>
          </w:rPr>
          <m:t xml:space="preserve">θ</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nor/>
                  </m:rPr>
                  <w:rPr>
                    <w:rFonts w:ascii="Cambria Math" w:hAnsi="Cambria Math"/>
                    <w:i w:val="0"/>
                  </w:rPr>
                  <m:t xml:space="preserve">ϑ</m:t>
                </m:r>
              </m:den>
            </m:f>
          </m:e>
        </m:d>
        <m:r>
          <m:rPr>
            <m:nor/>
          </m:rPr>
          <w:rPr>
            <w:rFonts w:ascii="Cambria Math" w:hAnsi="Cambria Math"/>
            <w:i w:val="0"/>
          </w:rPr>
          <m:t xml:space="preserve">,   </m:t>
        </m:r>
        <m:r>
          <m:rPr>
            <m:sty m:val="i"/>
          </m:rPr>
          <w:rPr>
            <w:rFonts w:ascii="Cambria Math" w:hAnsi="Cambria Math"/>
            <w:i/>
          </w:rPr>
          <m:t xml:space="preserve">r</m:t>
        </m:r>
        <m:r>
          <m:rPr>
            <m:nor/>
          </m:rPr>
          <w:rPr>
            <w:rFonts w:ascii="Cambria Math" w:hAnsi="Cambria Math"/>
            <w:i w:val="0"/>
          </w:rPr>
          <m:t xml:space="preserve"> = </m:t>
        </m:r>
        <m:d>
          <m:dPr>
            <m:begChr m:val="("/>
            <m:endChr m:val=")"/>
            <m:ctrlPr>
              <w:rPr>
                <w:rFonts w:ascii="Cambria Math" w:hAnsi="Cambria Math"/>
                <w:i/>
              </w:rPr>
            </m:ctrlPr>
          </m:dPr>
          <m:e>
            <m:r>
              <m:rPr>
                <m:sty m:val="i"/>
              </m:rPr>
              <w:rPr>
                <w:rFonts w:ascii="Cambria Math" w:hAnsi="Cambria Math"/>
                <w:i/>
              </w:rPr>
              <m:t xml:space="preserve">ε</m:t>
            </m:r>
            <m:r>
              <m:rPr>
                <m:nor/>
              </m:rPr>
              <w:rPr>
                <w:rFonts w:ascii="Cambria Math" w:hAnsi="Cambria Math"/>
                <w:i w:val="0"/>
              </w:rPr>
              <m:t xml:space="preserve"> + </m:t>
            </m:r>
            <m:r>
              <m:rPr>
                <m:sty m:val="i"/>
              </m:rPr>
              <w:rPr>
                <w:rFonts w:ascii="Cambria Math" w:hAnsi="Cambria Math"/>
                <w:i/>
              </w:rPr>
              <m:t xml:space="preserve">α</m:t>
            </m:r>
          </m:e>
        </m:d>
        <m:sSup>
          <m:sSupPr>
            <m:ctrlPr>
              <w:rPr>
                <w:rFonts w:ascii="Cambria Math" w:hAnsi="Cambria Math"/>
                <w:i/>
              </w:rPr>
            </m:ctrlPr>
          </m:sSupPr>
          <m:e>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α</m:t>
                </m:r>
              </m:e>
            </m:d>
          </m:e>
          <m:sup>
            <m:r>
              <m:rPr>
                <m:sty m:val="i"/>
              </m:rPr>
              <w:rPr>
                <w:rFonts w:ascii="Cambria Math" w:hAnsi="Cambria Math"/>
                <w:i/>
              </w:rPr>
              <m:t xml:space="preserve">n</m:t>
            </m:r>
          </m:sup>
        </m:sSup>
        <m:sSup>
          <m:sSupPr>
            <m:ctrlPr>
              <w:rPr>
                <w:rFonts w:ascii="Cambria Math" w:hAnsi="Cambria Math"/>
                <w:i/>
              </w:rPr>
            </m:ctrlPr>
          </m:sSupPr>
          <m:e>
            <m:r>
              <m:rPr>
                <m:nor/>
              </m:rPr>
              <w:rPr>
                <w:rFonts w:ascii="Cambria Math" w:hAnsi="Cambria Math"/>
                <w:i w:val="0"/>
              </w:rPr>
              <m:t xml:space="preserve">e</m:t>
            </m:r>
          </m:e>
          <m:sup>
            <m:r>
              <m:rPr>
                <m:nor/>
              </m:rPr>
              <w:rPr>
                <w:rFonts w:ascii="Cambria Math" w:hAnsi="Cambria Math"/>
                <w:i w:val="0"/>
              </w:rPr>
              <m:t xml:space="preserve">ψθ</m:t>
            </m:r>
          </m:sup>
        </m:sSup>
        <m:r>
          <m:rPr>
            <m:nor/>
          </m:rPr>
          <w:rPr>
            <w:rFonts w:ascii="Cambria Math" w:hAnsi="Cambria Math"/>
            <w:i w:val="0"/>
          </w:rPr>
          <m:t xml:space="preserve">.</m:t>
        </m:r>
      </m:oMath>
      <w:r>
        <w:tab/>
        <w:t xml:space="preserve">(16)</w:t>
      </w:r>
    </w:p>
    <w:p>
      <w:pPr>
        <w:keepNext w:val="0"/>
        <w:jc w:val="both"/>
      </w:pPr>
      <w:r>
        <w:rPr>
          <w:i/>
        </w:rPr>
        <w:t>Control parameter.</w:t>
      </w:r>
      <w:r>
        <w:t xml:space="preserve"> D is swept with ϑ and ψ held fixed. Physically this is a sweep of the specimen temperature T</w:t>
      </w:r>
      <w:r>
        <w:rPr>
          <w:vertAlign w:val="subscript"/>
        </w:rPr>
        <w:t>∞</w:t>
      </w:r>
      <w:r>
        <w:t xml:space="preserve"> at fixed τ</w:t>
      </w:r>
      <w:r>
        <w:rPr>
          <w:vertAlign w:val="subscript"/>
        </w:rPr>
        <w:t>th</w:t>
      </w:r>
      <w:r>
        <w:t xml:space="preserve"> and τ</w:t>
      </w:r>
      <w:r>
        <w:rPr>
          <w:vertAlign w:val="subscript"/>
        </w:rPr>
        <w:t>res</w:t>
      </w:r>
      <w:r>
        <w:t>: D and Θ are both proportional to k</w:t>
      </w:r>
      <w:r>
        <w:rPr>
          <w:vertAlign w:val="subscript"/>
        </w:rPr>
        <w:t>2</w:t>
      </w:r>
      <w:r>
        <w:t>(T</w:t>
      </w:r>
      <w:r>
        <w:rPr>
          <w:vertAlign w:val="subscript"/>
        </w:rPr>
        <w:t>∞</w:t>
      </w:r>
      <w:r>
        <w:t>), so ϑ is constant, and in the exponential model a change of ln D by one unit corresponds to a temperature change of RT²/E</w:t>
      </w:r>
      <w:r>
        <w:rPr>
          <w:vertAlign w:val="subscript"/>
        </w:rPr>
        <w:t>2</w:t>
      </w:r>
      <w:r>
        <w:t xml:space="preserve"> = 21.8 K at 140 °C. A sweep of the flow rate at fixed temperature changes τ</w:t>
      </w:r>
      <w:r>
        <w:rPr>
          <w:vertAlign w:val="subscript"/>
        </w:rPr>
        <w:t>res</w:t>
      </w:r>
      <w:r>
        <w:t xml:space="preserve"> and therefore ϑ; it is a different parameter path and is not analyzed here.</w:t>
      </w:r>
    </w:p>
    <w:p>
      <w:pPr>
        <w:keepNext w:val="0"/>
        <w:jc w:val="both"/>
      </w:pPr>
      <w:r>
        <w:rPr>
          <w:b/>
        </w:rPr>
        <w:t>Proposition 5 (steady states).</w:t>
      </w:r>
      <w:r>
        <w:t xml:space="preserve"> The steady states satisfy θ = ϑα/(1 + ϑ) = κα/ψ and are given parametrically by</w:t>
      </w:r>
    </w:p>
    <w:p>
      <w:pPr>
        <w:keepLines/>
        <w:tabs>
          <w:tab w:pos="4680" w:val="center"/>
          <w:tab w:pos="9360" w:val="right"/>
        </w:tabs>
        <w:spacing w:before="120" w:after="120"/>
      </w:pPr>
      <w:r>
        <w:tab/>
      </w:r>
      <m:oMath>
        <m:r>
          <m:rPr>
            <m:sty m:val="i"/>
          </m:rPr>
          <w:rPr>
            <w:rFonts w:ascii="Cambria Math" w:hAnsi="Cambria Math"/>
            <w:i/>
          </w:rPr>
          <m:t xml:space="preserve">D</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α</m:t>
            </m:r>
          </m:num>
          <m:den>
            <m:d>
              <m:dPr>
                <m:begChr m:val="("/>
                <m:endChr m:val=")"/>
                <m:ctrlPr>
                  <w:rPr>
                    <w:rFonts w:ascii="Cambria Math" w:hAnsi="Cambria Math"/>
                    <w:i/>
                  </w:rPr>
                </m:ctrlPr>
              </m:dPr>
              <m:e>
                <m:r>
                  <m:rPr>
                    <m:sty m:val="i"/>
                  </m:rPr>
                  <w:rPr>
                    <w:rFonts w:ascii="Cambria Math" w:hAnsi="Cambria Math"/>
                    <w:i/>
                  </w:rPr>
                  <m:t xml:space="preserve">ε</m:t>
                </m:r>
                <m:r>
                  <m:rPr>
                    <m:nor/>
                  </m:rPr>
                  <w:rPr>
                    <w:rFonts w:ascii="Cambria Math" w:hAnsi="Cambria Math"/>
                    <w:i w:val="0"/>
                  </w:rPr>
                  <m:t xml:space="preserve"> + </m:t>
                </m:r>
                <m:r>
                  <m:rPr>
                    <m:sty m:val="i"/>
                  </m:rPr>
                  <w:rPr>
                    <w:rFonts w:ascii="Cambria Math" w:hAnsi="Cambria Math"/>
                    <w:i/>
                  </w:rPr>
                  <m:t xml:space="preserve">α</m:t>
                </m:r>
              </m:e>
            </m:d>
            <m:sSup>
              <m:sSupPr>
                <m:ctrlPr>
                  <w:rPr>
                    <w:rFonts w:ascii="Cambria Math" w:hAnsi="Cambria Math"/>
                    <w:i/>
                  </w:rPr>
                </m:ctrlPr>
              </m:sSupPr>
              <m:e>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α</m:t>
                    </m:r>
                  </m:e>
                </m:d>
              </m:e>
              <m:sup>
                <m:r>
                  <m:rPr>
                    <m:sty m:val="i"/>
                  </m:rPr>
                  <w:rPr>
                    <w:rFonts w:ascii="Cambria Math" w:hAnsi="Cambria Math"/>
                    <w:i/>
                  </w:rPr>
                  <m:t xml:space="preserve">n</m:t>
                </m:r>
              </m:sup>
            </m:sSup>
            <m:r>
              <m:rPr>
                <m:nor/>
              </m:rPr>
              <w:rPr>
                <w:rFonts w:ascii="Cambria Math" w:hAnsi="Cambria Math"/>
                <w:i w:val="0"/>
              </w:rPr>
              <m:t xml:space="preserve">exp</m:t>
            </m:r>
            <m:d>
              <m:dPr>
                <m:begChr m:val="("/>
                <m:endChr m:val=")"/>
                <m:ctrlPr>
                  <w:rPr>
                    <w:rFonts w:ascii="Cambria Math" w:hAnsi="Cambria Math"/>
                    <w:i/>
                  </w:rPr>
                </m:ctrlPr>
              </m:dPr>
              <m:e>
                <m:r>
                  <m:rPr>
                    <m:sty m:val="i"/>
                  </m:rPr>
                  <w:rPr>
                    <w:rFonts w:ascii="Cambria Math" w:hAnsi="Cambria Math"/>
                    <w:i/>
                  </w:rPr>
                  <m:t xml:space="preserve">κα</m:t>
                </m:r>
              </m:e>
            </m:d>
          </m:den>
        </m:f>
        <m:r>
          <m:rPr>
            <m:nor/>
          </m:rPr>
          <w:rPr>
            <w:rFonts w:ascii="Cambria Math" w:hAnsi="Cambria Math"/>
            <w:i w:val="0"/>
          </w:rPr>
          <m:t xml:space="preserve">,   </m:t>
        </m:r>
        <m:r>
          <m:rPr>
            <m:sty m:val="i"/>
          </m:rPr>
          <w:rPr>
            <w:rFonts w:ascii="Cambria Math" w:hAnsi="Cambria Math"/>
            <w:i/>
          </w:rPr>
          <m:t xml:space="preserve">κ</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ψϑ</m:t>
            </m:r>
          </m:num>
          <m:den>
            <m:r>
              <m:rPr>
                <m:nor/>
              </m:rPr>
              <w:rPr>
                <w:rFonts w:ascii="Cambria Math" w:hAnsi="Cambria Math"/>
                <w:i w:val="0"/>
              </w:rPr>
              <m:t xml:space="preserve">1</m:t>
            </m:r>
            <m:r>
              <m:rPr>
                <m:nor/>
              </m:rPr>
              <w:rPr>
                <w:rFonts w:ascii="Cambria Math" w:hAnsi="Cambria Math"/>
                <w:i w:val="0"/>
              </w:rPr>
              <m:t xml:space="preserve"> + </m:t>
            </m:r>
            <m:r>
              <m:rPr>
                <m:nor/>
              </m:rPr>
              <w:rPr>
                <w:rFonts w:ascii="Cambria Math" w:hAnsi="Cambria Math"/>
                <w:i w:val="0"/>
              </w:rPr>
              <m:t xml:space="preserve">ϑ</m:t>
            </m:r>
          </m:den>
        </m:f>
        <m:r>
          <m:rPr>
            <m:nor/>
          </m:rPr>
          <w:rPr>
            <w:rFonts w:ascii="Cambria Math" w:hAnsi="Cambria Math"/>
            <w:i w:val="0"/>
          </w:rPr>
          <m:t xml:space="preserve">.</m:t>
        </m:r>
      </m:oMath>
      <w:r>
        <w:tab/>
        <w:t xml:space="preserve">(17)</w:t>
      </w:r>
    </w:p>
    <w:p>
      <w:pPr>
        <w:keepNext w:val="0"/>
        <w:jc w:val="both"/>
      </w:pPr>
      <w:r>
        <w:rPr>
          <w:i/>
        </w:rPr>
        <w:t>Proof.</w:t>
      </w:r>
      <w:r>
        <w:t xml:space="preserve"> At steady state the conversion balance gives rD = α, and the heat balance gives θ(1 + 1/ϑ) = rD = α, so θ = ϑα/(1 + ϑ) = κα/ψ; substituting ψθ = κα into rD = α gives the expression. ∎ D(α) is non-monotonic, so three steady states coexist in a window of D, if and only if d ln D/dα = 0 has two roots, n/(1 − α) + ε/[α(ε + α)] = κ. The left side has a single minimum, so three equilibria exist if and only if κ &gt; κ</w:t>
      </w:r>
      <w:r>
        <w:rPr>
          <w:vertAlign w:val="subscript"/>
        </w:rPr>
        <w:t>c</w:t>
      </w:r>
      <w:r>
        <w:t xml:space="preserve"> = min</w:t>
      </w:r>
      <w:r>
        <w:rPr>
          <w:vertAlign w:val="subscript"/>
        </w:rPr>
        <w:t>α</w:t>
      </w:r>
      <w:r>
        <w:t>[n/(1 − α) + ε/(α(ε + α))] (κ</w:t>
      </w:r>
      <w:r>
        <w:rPr>
          <w:vertAlign w:val="subscript"/>
        </w:rPr>
        <w:t>c</w:t>
      </w:r>
      <w:r>
        <w:t xml:space="preserve"> = 1.894 for n = 3/2 and ε = 3 × 10</w:t>
      </w:r>
      <w:r>
        <w:rPr>
          <w:vertAlign w:val="superscript"/>
        </w:rPr>
        <w:t>−3</w:t>
      </w:r>
      <w:r>
        <w:t>; κ</w:t>
      </w:r>
      <w:r>
        <w:rPr>
          <w:vertAlign w:val="subscript"/>
        </w:rPr>
        <w:t>c</w:t>
      </w:r>
      <w:r>
        <w:t xml:space="preserve"> → n as ε → 0). Equilibrium multiplicity does not by itself establish two stable states or switching at both folds.</w:t>
      </w:r>
    </w:p>
    <w:p>
      <w:pPr>
        <w:keepNext w:val="0"/>
        <w:jc w:val="both"/>
      </w:pPr>
      <w:r>
        <w:rPr>
          <w:b/>
        </w:rPr>
        <w:t>Stability.</w:t>
      </w:r>
      <w:r>
        <w:t xml:space="preserve"> Let q = α/(ε + α) − nα/(1 − α). Differentiating Eq. (16) at a steady state, with D and ϑ fixed, gives the Jacobian in the variables (α, θ)</w:t>
      </w:r>
    </w:p>
    <w:p>
      <w:pPr>
        <w:keepLines/>
        <w:tabs>
          <w:tab w:pos="4680" w:val="center"/>
          <w:tab w:pos="9360" w:val="right"/>
        </w:tabs>
        <w:spacing w:before="120" w:after="120"/>
      </w:pPr>
      <w:r>
        <w:tab/>
      </w:r>
      <m:oMath>
        <m:r>
          <m:rPr>
            <m:sty m:val="i"/>
          </m:rPr>
          <w:rPr>
            <w:rFonts w:ascii="Cambria Math" w:hAnsi="Cambria Math"/>
            <w:i/>
          </w:rPr>
          <m:t xml:space="preserve">J</m:t>
        </m:r>
        <m:r>
          <m:rPr>
            <m:nor/>
          </m:rPr>
          <w:rPr>
            <w:rFonts w:ascii="Cambria Math" w:hAnsi="Cambria Math"/>
            <w:i w:val="0"/>
          </w:rPr>
          <m:t xml:space="preserve"> = </m:t>
        </m:r>
        <m:r>
          <m:rPr>
            <m:nor/>
          </m:rPr>
          <w:rPr>
            <w:rFonts w:ascii="Cambria Math" w:hAnsi="Cambria Math"/>
            <w:i w:val="0"/>
          </w:rPr>
          <m:t xml:space="preserve">[[ q − 1 ,  ψα ] , [ q ,  ψα − 1 − 1/ϑ ]]</m:t>
        </m:r>
      </m:oMath>
      <w:r>
        <w:tab/>
        <w:t xml:space="preserve">(18)</w:t>
      </w:r>
    </w:p>
    <w:p>
      <w:pPr>
        <w:keepNext w:val="0"/>
        <w:jc w:val="both"/>
      </w:pPr>
      <w:r>
        <w:t>with trace q + ψα − 2 − 1/ϑ and determinant (1 + 1/ϑ)(1 − q) − ψα. At a fold the determinant vanishes and the other eigenvalue equals the trace. The lower fold has a negative trace for all cases below, so it is a saddle-node at which the lower (unreacted) state disappears. The upper fold has a negative trace, and is a saddle-node at which a stable upper state disappears, only for ψ below about 7.01 (ϑ = 1); above it the trace at the upper fold is positive (+6.50 for ψ = 20: α = 0.8499, ln D = -5.658), so the upper branch near its fold is unstable and becomes stable only above a larger conversion α</w:t>
      </w:r>
      <w:r>
        <w:rPr>
          <w:vertAlign w:val="subscript"/>
        </w:rPr>
        <w:t>H</w:t>
      </w:r>
      <w:r>
        <w:t xml:space="preserve"> at which the trace vanishes (α</w:t>
      </w:r>
      <w:r>
        <w:rPr>
          <w:vertAlign w:val="subscript"/>
        </w:rPr>
        <w:t>H</w:t>
      </w:r>
      <w:r>
        <w:t xml:space="preserve"> = 0.9158, ln D</w:t>
      </w:r>
      <w:r>
        <w:rPr>
          <w:vertAlign w:val="subscript"/>
        </w:rPr>
        <w:t>H</w:t>
      </w:r>
      <w:r>
        <w:t xml:space="preserve"> = -5.450 for ψ = 20, with determinant 14.3 &gt; 0, a Hopf-type point). The window of two stable states is therefore (ln D</w:t>
      </w:r>
      <w:r>
        <w:rPr>
          <w:vertAlign w:val="subscript"/>
        </w:rPr>
        <w:t>ext</w:t>
      </w:r>
      <w:r>
        <w:t>, ln D</w:t>
      </w:r>
      <w:r>
        <w:rPr>
          <w:vertAlign w:val="subscript"/>
        </w:rPr>
        <w:t>ign</w:t>
      </w:r>
      <w:r>
        <w:t>), where ln D</w:t>
      </w:r>
      <w:r>
        <w:rPr>
          <w:vertAlign w:val="subscript"/>
        </w:rPr>
        <w:t>ign</w:t>
      </w:r>
      <w:r>
        <w:t xml:space="preserve"> is the lower (ignition) fold and ln D</w:t>
      </w:r>
      <w:r>
        <w:rPr>
          <w:vertAlign w:val="subscript"/>
        </w:rPr>
        <w:t>ext</w:t>
      </w:r>
      <w:r>
        <w:t xml:space="preserve"> is the upper fold when its trace is negative and ln D</w:t>
      </w:r>
      <w:r>
        <w:rPr>
          <w:vertAlign w:val="subscript"/>
        </w:rPr>
        <w:t>H</w:t>
      </w:r>
      <w:r>
        <w:t xml:space="preserve"> otherwise (Table 6).</w:t>
      </w:r>
    </w:p>
    <w:p>
      <w:pPr>
        <w:keepNext/>
        <w:spacing w:line="276" w:lineRule="auto" w:after="200"/>
      </w:pPr>
      <w:r>
        <w:rPr>
          <w:b/>
          <w:sz w:val="19"/>
        </w:rPr>
        <w:t>Table 6</w:t>
      </w:r>
      <w:r>
        <w:rPr>
          <w:sz w:val="19"/>
        </w:rPr>
        <w:t xml:space="preserve"> Steady states and stability of the continuous-flow reactor (ϑ = 1, n = 3/2, ε = 3 × 10</w:t>
      </w:r>
      <w:r>
        <w:rPr>
          <w:sz w:val="19"/>
          <w:vertAlign w:val="superscript"/>
        </w:rPr>
        <w:t>−3</w:t>
      </w:r>
      <w:r>
        <w:rPr>
          <w:sz w:val="19"/>
        </w:rPr>
        <w:t>, κ</w:t>
      </w:r>
      <w:r>
        <w:rPr>
          <w:sz w:val="19"/>
          <w:vertAlign w:val="subscript"/>
        </w:rPr>
        <w:t>c</w:t>
      </w:r>
      <w:r>
        <w:rPr>
          <w:sz w:val="19"/>
        </w:rPr>
        <w:t xml:space="preserve"> = 1.894). The upper branch is stable from the upper fold ('fold') or from the Hopf-type point ('hopf'); the window width is the temperature interval RT²/E</w:t>
      </w:r>
      <w:r>
        <w:rPr>
          <w:sz w:val="19"/>
          <w:vertAlign w:val="subscript"/>
        </w:rPr>
        <w:t>2</w:t>
      </w:r>
      <w:r>
        <w:rPr>
          <w:sz w:val="19"/>
        </w:rPr>
        <w:t>(ln D</w:t>
      </w:r>
      <w:r>
        <w:rPr>
          <w:sz w:val="19"/>
          <w:vertAlign w:val="subscript"/>
        </w:rPr>
        <w:t>ign</w:t>
      </w:r>
      <w:r>
        <w:rPr>
          <w:sz w:val="19"/>
        </w:rPr>
        <w:t xml:space="preserve"> − ln D</w:t>
      </w:r>
      <w:r>
        <w:rPr>
          <w:sz w:val="19"/>
          <w:vertAlign w:val="subscript"/>
        </w:rPr>
        <w:t>ext</w:t>
      </w:r>
      <w:r>
        <w:rPr>
          <w:sz w:val="19"/>
        </w:rPr>
        <w:t>) at 140 °C; the attractor loop area is ∫(α</w:t>
      </w:r>
      <w:r>
        <w:rPr>
          <w:sz w:val="19"/>
          <w:vertAlign w:val="subscript"/>
        </w:rPr>
        <w:t>upper</w:t>
      </w:r>
      <w:r>
        <w:rPr>
          <w:sz w:val="19"/>
        </w:rPr>
        <w:t xml:space="preserve"> − α</w:t>
      </w:r>
      <w:r>
        <w:rPr>
          <w:sz w:val="19"/>
          <w:vertAlign w:val="subscript"/>
        </w:rPr>
        <w:t>lower</w:t>
      </w:r>
      <w:r>
        <w:rPr>
          <w:sz w:val="19"/>
        </w:rPr>
        <w:t>) d ln D over the window of two stable states, and the fold-to-fold area uses the full multiplicity interval.</w:t>
      </w:r>
    </w:p>
    <w:tbl>
      <w:tblPr>
        <w:tblStyle w:val="TableGrid"/>
        <w:tblW w:type="auto" w:w="0"/>
        <w:jc w:val="center"/>
        <w:tblLayout w:type="fixed"/>
        <w:tblLook w:firstColumn="1" w:firstRow="1" w:lastColumn="0" w:lastRow="0" w:noHBand="0" w:noVBand="1" w:val="04A0"/>
      </w:tblPr>
      <w:tblGrid>
        <w:gridCol w:w="576"/>
        <w:gridCol w:w="720"/>
        <w:gridCol w:w="1296"/>
        <w:gridCol w:w="1152"/>
        <w:gridCol w:w="1440"/>
        <w:gridCol w:w="1728"/>
        <w:gridCol w:w="1008"/>
        <w:gridCol w:w="1152"/>
        <w:gridCol w:w="1152"/>
      </w:tblGrid>
      <w:tr>
        <w:trPr>
          <w:tblHeader w:val="true"/>
        </w:trPr>
        <w:tc>
          <w:tcPr>
            <w:tcW w:type="dxa" w:w="576"/>
            <w:shd w:val="clear" w:color="auto" w:fill="E7ECF1"/>
          </w:tcPr>
          <w:p>
            <w:pPr>
              <w:spacing w:line="240" w:lineRule="auto" w:after="20"/>
            </w:pPr>
            <w:r/>
            <w:r>
              <w:rPr>
                <w:b/>
                <w:sz w:val="15"/>
              </w:rPr>
              <w:t>ψ</w:t>
            </w:r>
          </w:p>
        </w:tc>
        <w:tc>
          <w:tcPr>
            <w:tcW w:type="dxa" w:w="720"/>
            <w:shd w:val="clear" w:color="auto" w:fill="E7ECF1"/>
          </w:tcPr>
          <w:p>
            <w:pPr>
              <w:spacing w:line="240" w:lineRule="auto" w:after="20"/>
            </w:pPr>
            <w:r/>
            <w:r>
              <w:rPr>
                <w:b/>
                <w:sz w:val="15"/>
              </w:rPr>
              <w:t>κ</w:t>
            </w:r>
          </w:p>
        </w:tc>
        <w:tc>
          <w:tcPr>
            <w:tcW w:type="dxa" w:w="1296"/>
            <w:shd w:val="clear" w:color="auto" w:fill="E7ECF1"/>
          </w:tcPr>
          <w:p>
            <w:pPr>
              <w:spacing w:line="240" w:lineRule="auto" w:after="20"/>
            </w:pPr>
            <w:r/>
            <w:r>
              <w:rPr>
                <w:b/>
                <w:sz w:val="15"/>
              </w:rPr>
              <w:t>Equilibria</w:t>
            </w:r>
          </w:p>
        </w:tc>
        <w:tc>
          <w:tcPr>
            <w:tcW w:type="dxa" w:w="1152"/>
            <w:shd w:val="clear" w:color="auto" w:fill="E7ECF1"/>
          </w:tcPr>
          <w:p>
            <w:pPr>
              <w:spacing w:line="240" w:lineRule="auto" w:after="20"/>
            </w:pPr>
            <w:r/>
            <w:r>
              <w:rPr>
                <w:b/>
                <w:sz w:val="15"/>
              </w:rPr>
              <w:t>Trace at upper fold</w:t>
            </w:r>
          </w:p>
        </w:tc>
        <w:tc>
          <w:tcPr>
            <w:tcW w:type="dxa" w:w="1440"/>
            <w:shd w:val="clear" w:color="auto" w:fill="E7ECF1"/>
          </w:tcPr>
          <w:p>
            <w:pPr>
              <w:spacing w:line="240" w:lineRule="auto" w:after="20"/>
            </w:pPr>
            <w:r/>
            <w:r>
              <w:rPr>
                <w:b/>
                <w:sz w:val="15"/>
              </w:rPr>
              <w:t>Upper stable from</w:t>
            </w:r>
          </w:p>
        </w:tc>
        <w:tc>
          <w:tcPr>
            <w:tcW w:type="dxa" w:w="1728"/>
            <w:shd w:val="clear" w:color="auto" w:fill="E7ECF1"/>
          </w:tcPr>
          <w:p>
            <w:pPr>
              <w:spacing w:line="240" w:lineRule="auto" w:after="20"/>
            </w:pPr>
            <w:r/>
            <w:r>
              <w:rPr>
                <w:b/>
                <w:sz w:val="15"/>
              </w:rPr>
              <w:t>ln D window of two stable states</w:t>
            </w:r>
          </w:p>
        </w:tc>
        <w:tc>
          <w:tcPr>
            <w:tcW w:type="dxa" w:w="1008"/>
            <w:shd w:val="clear" w:color="auto" w:fill="E7ECF1"/>
          </w:tcPr>
          <w:p>
            <w:pPr>
              <w:spacing w:line="240" w:lineRule="auto" w:after="20"/>
            </w:pPr>
            <w:r/>
            <w:r>
              <w:rPr>
                <w:b/>
                <w:sz w:val="15"/>
              </w:rPr>
              <w:t>Window width (K)</w:t>
            </w:r>
          </w:p>
        </w:tc>
        <w:tc>
          <w:tcPr>
            <w:tcW w:type="dxa" w:w="1152"/>
            <w:shd w:val="clear" w:color="auto" w:fill="E7ECF1"/>
          </w:tcPr>
          <w:p>
            <w:pPr>
              <w:spacing w:line="240" w:lineRule="auto" w:after="20"/>
            </w:pPr>
            <w:r/>
            <w:r>
              <w:rPr>
                <w:b/>
                <w:sz w:val="15"/>
              </w:rPr>
              <w:t>Attractor loop area</w:t>
            </w:r>
          </w:p>
        </w:tc>
        <w:tc>
          <w:tcPr>
            <w:tcW w:type="dxa" w:w="1152"/>
            <w:shd w:val="clear" w:color="auto" w:fill="E7ECF1"/>
          </w:tcPr>
          <w:p>
            <w:pPr>
              <w:spacing w:line="240" w:lineRule="auto" w:after="20"/>
            </w:pPr>
            <w:r/>
            <w:r>
              <w:rPr>
                <w:b/>
                <w:sz w:val="15"/>
              </w:rPr>
              <w:t>Fold-to-fold area</w:t>
            </w:r>
          </w:p>
        </w:tc>
      </w:tr>
      <w:tr>
        <w:tc>
          <w:tcPr>
            <w:tcW w:type="dxa" w:w="576"/>
          </w:tcPr>
          <w:p>
            <w:pPr>
              <w:spacing w:line="240" w:lineRule="auto" w:after="20"/>
            </w:pPr>
            <w:r/>
            <w:r>
              <w:rPr>
                <w:sz w:val="15"/>
              </w:rPr>
              <w:t>3.0</w:t>
            </w:r>
          </w:p>
        </w:tc>
        <w:tc>
          <w:tcPr>
            <w:tcW w:type="dxa" w:w="720"/>
          </w:tcPr>
          <w:p>
            <w:pPr>
              <w:spacing w:line="240" w:lineRule="auto" w:after="20"/>
            </w:pPr>
            <w:r/>
            <w:r>
              <w:rPr>
                <w:sz w:val="15"/>
              </w:rPr>
              <w:t>1.50</w:t>
            </w:r>
          </w:p>
        </w:tc>
        <w:tc>
          <w:tcPr>
            <w:tcW w:type="dxa" w:w="1296"/>
          </w:tcPr>
          <w:p>
            <w:pPr>
              <w:spacing w:line="240" w:lineRule="auto" w:after="20"/>
            </w:pPr>
            <w:r/>
            <w:r>
              <w:rPr>
                <w:sz w:val="15"/>
              </w:rPr>
              <w:t>1 (κ &lt; κ</w:t>
            </w:r>
            <w:r>
              <w:rPr>
                <w:sz w:val="15"/>
                <w:vertAlign w:val="subscript"/>
              </w:rPr>
              <w:t>c</w:t>
            </w:r>
            <w:r>
              <w:rPr>
                <w:sz w:val="15"/>
              </w:rPr>
              <w:t>)</w:t>
            </w:r>
          </w:p>
        </w:tc>
        <w:tc>
          <w:tcPr>
            <w:tcW w:type="dxa" w:w="1152"/>
          </w:tcPr>
          <w:p>
            <w:pPr>
              <w:spacing w:line="240" w:lineRule="auto" w:after="20"/>
            </w:pPr>
            <w:r/>
            <w:r>
              <w:rPr>
                <w:sz w:val="15"/>
              </w:rPr>
              <w:t>–</w:t>
            </w:r>
          </w:p>
        </w:tc>
        <w:tc>
          <w:tcPr>
            <w:tcW w:type="dxa" w:w="1440"/>
          </w:tcPr>
          <w:p>
            <w:pPr>
              <w:spacing w:line="240" w:lineRule="auto" w:after="20"/>
            </w:pPr>
            <w:r/>
            <w:r>
              <w:rPr>
                <w:sz w:val="15"/>
              </w:rPr>
              <w:t>–</w:t>
            </w:r>
          </w:p>
        </w:tc>
        <w:tc>
          <w:tcPr>
            <w:tcW w:type="dxa" w:w="1728"/>
          </w:tcPr>
          <w:p>
            <w:pPr>
              <w:spacing w:line="240" w:lineRule="auto" w:after="20"/>
            </w:pPr>
            <w:r/>
            <w:r>
              <w:rPr>
                <w:sz w:val="15"/>
              </w:rPr>
              <w:t>–</w:t>
            </w:r>
          </w:p>
        </w:tc>
        <w:tc>
          <w:tcPr>
            <w:tcW w:type="dxa" w:w="1008"/>
          </w:tcPr>
          <w:p>
            <w:pPr>
              <w:spacing w:line="240" w:lineRule="auto" w:after="20"/>
            </w:pPr>
            <w:r/>
            <w:r>
              <w:rPr>
                <w:sz w:val="15"/>
              </w:rPr>
              <w:t>–</w:t>
            </w:r>
          </w:p>
        </w:tc>
        <w:tc>
          <w:tcPr>
            <w:tcW w:type="dxa" w:w="1152"/>
          </w:tcPr>
          <w:p>
            <w:pPr>
              <w:spacing w:line="240" w:lineRule="auto" w:after="20"/>
            </w:pPr>
            <w:r/>
            <w:r>
              <w:rPr>
                <w:sz w:val="15"/>
              </w:rPr>
              <w:t>0</w:t>
            </w:r>
          </w:p>
        </w:tc>
        <w:tc>
          <w:tcPr>
            <w:tcW w:type="dxa" w:w="1152"/>
          </w:tcPr>
          <w:p>
            <w:pPr>
              <w:spacing w:line="240" w:lineRule="auto" w:after="20"/>
            </w:pPr>
            <w:r/>
            <w:r>
              <w:rPr>
                <w:sz w:val="15"/>
              </w:rPr>
              <w:t>0</w:t>
            </w:r>
          </w:p>
        </w:tc>
      </w:tr>
      <w:tr>
        <w:tc>
          <w:tcPr>
            <w:tcW w:type="dxa" w:w="576"/>
          </w:tcPr>
          <w:p>
            <w:pPr>
              <w:spacing w:line="240" w:lineRule="auto" w:after="20"/>
            </w:pPr>
            <w:r/>
            <w:r>
              <w:rPr>
                <w:sz w:val="15"/>
              </w:rPr>
              <w:t>4.5</w:t>
            </w:r>
          </w:p>
        </w:tc>
        <w:tc>
          <w:tcPr>
            <w:tcW w:type="dxa" w:w="720"/>
          </w:tcPr>
          <w:p>
            <w:pPr>
              <w:spacing w:line="240" w:lineRule="auto" w:after="20"/>
            </w:pPr>
            <w:r/>
            <w:r>
              <w:rPr>
                <w:sz w:val="15"/>
              </w:rPr>
              <w:t>2.25</w:t>
            </w:r>
          </w:p>
        </w:tc>
        <w:tc>
          <w:tcPr>
            <w:tcW w:type="dxa" w:w="1296"/>
          </w:tcPr>
          <w:p>
            <w:pPr>
              <w:spacing w:line="240" w:lineRule="auto" w:after="20"/>
            </w:pPr>
            <w:r/>
            <w:r>
              <w:rPr>
                <w:sz w:val="15"/>
              </w:rPr>
              <w:t>3</w:t>
            </w:r>
          </w:p>
        </w:tc>
        <w:tc>
          <w:tcPr>
            <w:tcW w:type="dxa" w:w="1152"/>
          </w:tcPr>
          <w:p>
            <w:pPr>
              <w:spacing w:line="240" w:lineRule="auto" w:after="20"/>
            </w:pPr>
            <w:r/>
            <w:r>
              <w:rPr>
                <w:sz w:val="15"/>
              </w:rPr>
              <w:t>-1.27</w:t>
            </w:r>
          </w:p>
        </w:tc>
        <w:tc>
          <w:tcPr>
            <w:tcW w:type="dxa" w:w="1440"/>
          </w:tcPr>
          <w:p>
            <w:pPr>
              <w:spacing w:line="240" w:lineRule="auto" w:after="20"/>
            </w:pPr>
            <w:r/>
            <w:r>
              <w:rPr>
                <w:sz w:val="15"/>
              </w:rPr>
              <w:t>fold, α = 0.325</w:t>
            </w:r>
          </w:p>
        </w:tc>
        <w:tc>
          <w:tcPr>
            <w:tcW w:type="dxa" w:w="1728"/>
          </w:tcPr>
          <w:p>
            <w:pPr>
              <w:spacing w:line="240" w:lineRule="auto" w:after="20"/>
            </w:pPr>
            <w:r/>
            <w:r>
              <w:rPr>
                <w:sz w:val="15"/>
              </w:rPr>
              <w:t>-0.151 to -0.091</w:t>
            </w:r>
          </w:p>
        </w:tc>
        <w:tc>
          <w:tcPr>
            <w:tcW w:type="dxa" w:w="1008"/>
          </w:tcPr>
          <w:p>
            <w:pPr>
              <w:spacing w:line="240" w:lineRule="auto" w:after="20"/>
            </w:pPr>
            <w:r/>
            <w:r>
              <w:rPr>
                <w:sz w:val="15"/>
              </w:rPr>
              <w:t>1.3</w:t>
            </w:r>
          </w:p>
        </w:tc>
        <w:tc>
          <w:tcPr>
            <w:tcW w:type="dxa" w:w="1152"/>
          </w:tcPr>
          <w:p>
            <w:pPr>
              <w:spacing w:line="240" w:lineRule="auto" w:after="20"/>
            </w:pPr>
            <w:r/>
            <w:r>
              <w:rPr>
                <w:sz w:val="15"/>
              </w:rPr>
              <w:t>0.025</w:t>
            </w:r>
          </w:p>
        </w:tc>
        <w:tc>
          <w:tcPr>
            <w:tcW w:type="dxa" w:w="1152"/>
          </w:tcPr>
          <w:p>
            <w:pPr>
              <w:spacing w:line="240" w:lineRule="auto" w:after="20"/>
            </w:pPr>
            <w:r/>
            <w:r>
              <w:rPr>
                <w:sz w:val="15"/>
              </w:rPr>
              <w:t>0.025</w:t>
            </w:r>
          </w:p>
        </w:tc>
      </w:tr>
      <w:tr>
        <w:tc>
          <w:tcPr>
            <w:tcW w:type="dxa" w:w="576"/>
          </w:tcPr>
          <w:p>
            <w:pPr>
              <w:spacing w:line="240" w:lineRule="auto" w:after="20"/>
            </w:pPr>
            <w:r/>
            <w:r>
              <w:rPr>
                <w:sz w:val="15"/>
              </w:rPr>
              <w:t>6.0</w:t>
            </w:r>
          </w:p>
        </w:tc>
        <w:tc>
          <w:tcPr>
            <w:tcW w:type="dxa" w:w="720"/>
          </w:tcPr>
          <w:p>
            <w:pPr>
              <w:spacing w:line="240" w:lineRule="auto" w:after="20"/>
            </w:pPr>
            <w:r/>
            <w:r>
              <w:rPr>
                <w:sz w:val="15"/>
              </w:rPr>
              <w:t>3.00</w:t>
            </w:r>
          </w:p>
        </w:tc>
        <w:tc>
          <w:tcPr>
            <w:tcW w:type="dxa" w:w="1296"/>
          </w:tcPr>
          <w:p>
            <w:pPr>
              <w:spacing w:line="240" w:lineRule="auto" w:after="20"/>
            </w:pPr>
            <w:r/>
            <w:r>
              <w:rPr>
                <w:sz w:val="15"/>
              </w:rPr>
              <w:t>3</w:t>
            </w:r>
          </w:p>
        </w:tc>
        <w:tc>
          <w:tcPr>
            <w:tcW w:type="dxa" w:w="1152"/>
          </w:tcPr>
          <w:p>
            <w:pPr>
              <w:spacing w:line="240" w:lineRule="auto" w:after="20"/>
            </w:pPr>
            <w:r/>
            <w:r>
              <w:rPr>
                <w:sz w:val="15"/>
              </w:rPr>
              <w:t>-0.51</w:t>
            </w:r>
          </w:p>
        </w:tc>
        <w:tc>
          <w:tcPr>
            <w:tcW w:type="dxa" w:w="1440"/>
          </w:tcPr>
          <w:p>
            <w:pPr>
              <w:spacing w:line="240" w:lineRule="auto" w:after="20"/>
            </w:pPr>
            <w:r/>
            <w:r>
              <w:rPr>
                <w:sz w:val="15"/>
              </w:rPr>
              <w:t>fold, α = 0.498</w:t>
            </w:r>
          </w:p>
        </w:tc>
        <w:tc>
          <w:tcPr>
            <w:tcW w:type="dxa" w:w="1728"/>
          </w:tcPr>
          <w:p>
            <w:pPr>
              <w:spacing w:line="240" w:lineRule="auto" w:after="20"/>
            </w:pPr>
            <w:r/>
            <w:r>
              <w:rPr>
                <w:sz w:val="15"/>
              </w:rPr>
              <w:t>-0.466 to -0.130</w:t>
            </w:r>
          </w:p>
        </w:tc>
        <w:tc>
          <w:tcPr>
            <w:tcW w:type="dxa" w:w="1008"/>
          </w:tcPr>
          <w:p>
            <w:pPr>
              <w:spacing w:line="240" w:lineRule="auto" w:after="20"/>
            </w:pPr>
            <w:r/>
            <w:r>
              <w:rPr>
                <w:sz w:val="15"/>
              </w:rPr>
              <w:t>7.3</w:t>
            </w:r>
          </w:p>
        </w:tc>
        <w:tc>
          <w:tcPr>
            <w:tcW w:type="dxa" w:w="1152"/>
          </w:tcPr>
          <w:p>
            <w:pPr>
              <w:spacing w:line="240" w:lineRule="auto" w:after="20"/>
            </w:pPr>
            <w:r/>
            <w:r>
              <w:rPr>
                <w:sz w:val="15"/>
              </w:rPr>
              <w:t>0.227</w:t>
            </w:r>
          </w:p>
        </w:tc>
        <w:tc>
          <w:tcPr>
            <w:tcW w:type="dxa" w:w="1152"/>
          </w:tcPr>
          <w:p>
            <w:pPr>
              <w:spacing w:line="240" w:lineRule="auto" w:after="20"/>
            </w:pPr>
            <w:r/>
            <w:r>
              <w:rPr>
                <w:sz w:val="15"/>
              </w:rPr>
              <w:t>0.227</w:t>
            </w:r>
          </w:p>
        </w:tc>
      </w:tr>
      <w:tr>
        <w:tc>
          <w:tcPr>
            <w:tcW w:type="dxa" w:w="576"/>
          </w:tcPr>
          <w:p>
            <w:pPr>
              <w:spacing w:line="240" w:lineRule="auto" w:after="20"/>
            </w:pPr>
            <w:r/>
            <w:r>
              <w:rPr>
                <w:sz w:val="15"/>
              </w:rPr>
              <w:t>8.0</w:t>
            </w:r>
          </w:p>
        </w:tc>
        <w:tc>
          <w:tcPr>
            <w:tcW w:type="dxa" w:w="720"/>
          </w:tcPr>
          <w:p>
            <w:pPr>
              <w:spacing w:line="240" w:lineRule="auto" w:after="20"/>
            </w:pPr>
            <w:r/>
            <w:r>
              <w:rPr>
                <w:sz w:val="15"/>
              </w:rPr>
              <w:t>4.00</w:t>
            </w:r>
          </w:p>
        </w:tc>
        <w:tc>
          <w:tcPr>
            <w:tcW w:type="dxa" w:w="1296"/>
          </w:tcPr>
          <w:p>
            <w:pPr>
              <w:spacing w:line="240" w:lineRule="auto" w:after="20"/>
            </w:pPr>
            <w:r/>
            <w:r>
              <w:rPr>
                <w:sz w:val="15"/>
              </w:rPr>
              <w:t>3</w:t>
            </w:r>
          </w:p>
        </w:tc>
        <w:tc>
          <w:tcPr>
            <w:tcW w:type="dxa" w:w="1152"/>
          </w:tcPr>
          <w:p>
            <w:pPr>
              <w:spacing w:line="240" w:lineRule="auto" w:after="20"/>
            </w:pPr>
            <w:r/>
            <w:r>
              <w:rPr>
                <w:sz w:val="15"/>
              </w:rPr>
              <w:t>+0.50</w:t>
            </w:r>
          </w:p>
        </w:tc>
        <w:tc>
          <w:tcPr>
            <w:tcW w:type="dxa" w:w="1440"/>
          </w:tcPr>
          <w:p>
            <w:pPr>
              <w:spacing w:line="240" w:lineRule="auto" w:after="20"/>
            </w:pPr>
            <w:r/>
            <w:r>
              <w:rPr>
                <w:sz w:val="15"/>
              </w:rPr>
              <w:t>hopf, α = 0.710</w:t>
            </w:r>
          </w:p>
        </w:tc>
        <w:tc>
          <w:tcPr>
            <w:tcW w:type="dxa" w:w="1728"/>
          </w:tcPr>
          <w:p>
            <w:pPr>
              <w:spacing w:line="240" w:lineRule="auto" w:after="20"/>
            </w:pPr>
            <w:r/>
            <w:r>
              <w:rPr>
                <w:sz w:val="15"/>
              </w:rPr>
              <w:t>-0.987 to -0.169</w:t>
            </w:r>
          </w:p>
        </w:tc>
        <w:tc>
          <w:tcPr>
            <w:tcW w:type="dxa" w:w="1008"/>
          </w:tcPr>
          <w:p>
            <w:pPr>
              <w:spacing w:line="240" w:lineRule="auto" w:after="20"/>
            </w:pPr>
            <w:r/>
            <w:r>
              <w:rPr>
                <w:sz w:val="15"/>
              </w:rPr>
              <w:t>17.9</w:t>
            </w:r>
          </w:p>
        </w:tc>
        <w:tc>
          <w:tcPr>
            <w:tcW w:type="dxa" w:w="1152"/>
          </w:tcPr>
          <w:p>
            <w:pPr>
              <w:spacing w:line="240" w:lineRule="auto" w:after="20"/>
            </w:pPr>
            <w:r/>
            <w:r>
              <w:rPr>
                <w:sz w:val="15"/>
              </w:rPr>
              <w:t>0.678</w:t>
            </w:r>
          </w:p>
        </w:tc>
        <w:tc>
          <w:tcPr>
            <w:tcW w:type="dxa" w:w="1152"/>
          </w:tcPr>
          <w:p>
            <w:pPr>
              <w:spacing w:line="240" w:lineRule="auto" w:after="20"/>
            </w:pPr>
            <w:r/>
            <w:r>
              <w:rPr>
                <w:sz w:val="15"/>
              </w:rPr>
              <w:t>0.710</w:t>
            </w:r>
          </w:p>
        </w:tc>
      </w:tr>
      <w:tr>
        <w:tc>
          <w:tcPr>
            <w:tcW w:type="dxa" w:w="576"/>
          </w:tcPr>
          <w:p>
            <w:pPr>
              <w:spacing w:line="240" w:lineRule="auto" w:after="20"/>
            </w:pPr>
            <w:r/>
            <w:r>
              <w:rPr>
                <w:sz w:val="15"/>
              </w:rPr>
              <w:t>12.0</w:t>
            </w:r>
          </w:p>
        </w:tc>
        <w:tc>
          <w:tcPr>
            <w:tcW w:type="dxa" w:w="720"/>
          </w:tcPr>
          <w:p>
            <w:pPr>
              <w:spacing w:line="240" w:lineRule="auto" w:after="20"/>
            </w:pPr>
            <w:r/>
            <w:r>
              <w:rPr>
                <w:sz w:val="15"/>
              </w:rPr>
              <w:t>6.00</w:t>
            </w:r>
          </w:p>
        </w:tc>
        <w:tc>
          <w:tcPr>
            <w:tcW w:type="dxa" w:w="1296"/>
          </w:tcPr>
          <w:p>
            <w:pPr>
              <w:spacing w:line="240" w:lineRule="auto" w:after="20"/>
            </w:pPr>
            <w:r/>
            <w:r>
              <w:rPr>
                <w:sz w:val="15"/>
              </w:rPr>
              <w:t>3</w:t>
            </w:r>
          </w:p>
        </w:tc>
        <w:tc>
          <w:tcPr>
            <w:tcW w:type="dxa" w:w="1152"/>
          </w:tcPr>
          <w:p>
            <w:pPr>
              <w:spacing w:line="240" w:lineRule="auto" w:after="20"/>
            </w:pPr>
            <w:r/>
            <w:r>
              <w:rPr>
                <w:sz w:val="15"/>
              </w:rPr>
              <w:t>+2.50</w:t>
            </w:r>
          </w:p>
        </w:tc>
        <w:tc>
          <w:tcPr>
            <w:tcW w:type="dxa" w:w="1440"/>
          </w:tcPr>
          <w:p>
            <w:pPr>
              <w:spacing w:line="240" w:lineRule="auto" w:after="20"/>
            </w:pPr>
            <w:r/>
            <w:r>
              <w:rPr>
                <w:sz w:val="15"/>
              </w:rPr>
              <w:t>hopf, α = 0.844</w:t>
            </w:r>
          </w:p>
        </w:tc>
        <w:tc>
          <w:tcPr>
            <w:tcW w:type="dxa" w:w="1728"/>
          </w:tcPr>
          <w:p>
            <w:pPr>
              <w:spacing w:line="240" w:lineRule="auto" w:after="20"/>
            </w:pPr>
            <w:r/>
            <w:r>
              <w:rPr>
                <w:sz w:val="15"/>
              </w:rPr>
              <w:t>-2.280 to -0.225</w:t>
            </w:r>
          </w:p>
        </w:tc>
        <w:tc>
          <w:tcPr>
            <w:tcW w:type="dxa" w:w="1008"/>
          </w:tcPr>
          <w:p>
            <w:pPr>
              <w:spacing w:line="240" w:lineRule="auto" w:after="20"/>
            </w:pPr>
            <w:r/>
            <w:r>
              <w:rPr>
                <w:sz w:val="15"/>
              </w:rPr>
              <w:t>44.9</w:t>
            </w:r>
          </w:p>
        </w:tc>
        <w:tc>
          <w:tcPr>
            <w:tcW w:type="dxa" w:w="1152"/>
          </w:tcPr>
          <w:p>
            <w:pPr>
              <w:spacing w:line="240" w:lineRule="auto" w:after="20"/>
            </w:pPr>
            <w:r/>
            <w:r>
              <w:rPr>
                <w:sz w:val="15"/>
              </w:rPr>
              <w:t>1.921</w:t>
            </w:r>
          </w:p>
        </w:tc>
        <w:tc>
          <w:tcPr>
            <w:tcW w:type="dxa" w:w="1152"/>
          </w:tcPr>
          <w:p>
            <w:pPr>
              <w:spacing w:line="240" w:lineRule="auto" w:after="20"/>
            </w:pPr>
            <w:r/>
            <w:r>
              <w:rPr>
                <w:sz w:val="15"/>
              </w:rPr>
              <w:t>2.040</w:t>
            </w:r>
          </w:p>
        </w:tc>
      </w:tr>
      <w:tr>
        <w:tc>
          <w:tcPr>
            <w:tcW w:type="dxa" w:w="576"/>
          </w:tcPr>
          <w:p>
            <w:pPr>
              <w:spacing w:line="240" w:lineRule="auto" w:after="20"/>
            </w:pPr>
            <w:r/>
            <w:r>
              <w:rPr>
                <w:sz w:val="15"/>
              </w:rPr>
              <w:t>20.0</w:t>
            </w:r>
          </w:p>
        </w:tc>
        <w:tc>
          <w:tcPr>
            <w:tcW w:type="dxa" w:w="720"/>
          </w:tcPr>
          <w:p>
            <w:pPr>
              <w:spacing w:line="240" w:lineRule="auto" w:after="20"/>
            </w:pPr>
            <w:r/>
            <w:r>
              <w:rPr>
                <w:sz w:val="15"/>
              </w:rPr>
              <w:t>10.00</w:t>
            </w:r>
          </w:p>
        </w:tc>
        <w:tc>
          <w:tcPr>
            <w:tcW w:type="dxa" w:w="1296"/>
          </w:tcPr>
          <w:p>
            <w:pPr>
              <w:spacing w:line="240" w:lineRule="auto" w:after="20"/>
            </w:pPr>
            <w:r/>
            <w:r>
              <w:rPr>
                <w:sz w:val="15"/>
              </w:rPr>
              <w:t>3</w:t>
            </w:r>
          </w:p>
        </w:tc>
        <w:tc>
          <w:tcPr>
            <w:tcW w:type="dxa" w:w="1152"/>
          </w:tcPr>
          <w:p>
            <w:pPr>
              <w:spacing w:line="240" w:lineRule="auto" w:after="20"/>
            </w:pPr>
            <w:r/>
            <w:r>
              <w:rPr>
                <w:sz w:val="15"/>
              </w:rPr>
              <w:t>+6.50</w:t>
            </w:r>
          </w:p>
        </w:tc>
        <w:tc>
          <w:tcPr>
            <w:tcW w:type="dxa" w:w="1440"/>
          </w:tcPr>
          <w:p>
            <w:pPr>
              <w:spacing w:line="240" w:lineRule="auto" w:after="20"/>
            </w:pPr>
            <w:r/>
            <w:r>
              <w:rPr>
                <w:sz w:val="15"/>
              </w:rPr>
              <w:t>hopf, α = 0.916</w:t>
            </w:r>
          </w:p>
        </w:tc>
        <w:tc>
          <w:tcPr>
            <w:tcW w:type="dxa" w:w="1728"/>
          </w:tcPr>
          <w:p>
            <w:pPr>
              <w:spacing w:line="240" w:lineRule="auto" w:after="20"/>
            </w:pPr>
            <w:r/>
            <w:r>
              <w:rPr>
                <w:sz w:val="15"/>
              </w:rPr>
              <w:t>-5.450 to -0.307</w:t>
            </w:r>
          </w:p>
        </w:tc>
        <w:tc>
          <w:tcPr>
            <w:tcW w:type="dxa" w:w="1008"/>
          </w:tcPr>
          <w:p>
            <w:pPr>
              <w:spacing w:line="240" w:lineRule="auto" w:after="20"/>
            </w:pPr>
            <w:r/>
            <w:r>
              <w:rPr>
                <w:sz w:val="15"/>
              </w:rPr>
              <w:t>112.3</w:t>
            </w:r>
          </w:p>
        </w:tc>
        <w:tc>
          <w:tcPr>
            <w:tcW w:type="dxa" w:w="1152"/>
          </w:tcPr>
          <w:p>
            <w:pPr>
              <w:spacing w:line="240" w:lineRule="auto" w:after="20"/>
            </w:pPr>
            <w:r/>
            <w:r>
              <w:rPr>
                <w:sz w:val="15"/>
              </w:rPr>
              <w:t>5.047</w:t>
            </w:r>
          </w:p>
        </w:tc>
        <w:tc>
          <w:tcPr>
            <w:tcW w:type="dxa" w:w="1152"/>
          </w:tcPr>
          <w:p>
            <w:pPr>
              <w:spacing w:line="240" w:lineRule="auto" w:after="20"/>
            </w:pPr>
            <w:r/>
            <w:r>
              <w:rPr>
                <w:sz w:val="15"/>
              </w:rPr>
              <w:t>5.236</w:t>
            </w:r>
          </w:p>
        </w:tc>
      </w:tr>
    </w:tbl>
    <w:p>
      <w:pPr>
        <w:spacing w:after="40"/>
      </w:pPr>
    </w:p>
    <w:p>
      <w:pPr>
        <w:keepNext w:val="0"/>
        <w:jc w:val="both"/>
      </w:pPr>
      <w:r>
        <w:rPr>
          <w:i/>
        </w:rPr>
        <w:t>Verification by attractors.</w:t>
      </w:r>
      <w:r>
        <w:t xml:space="preserve"> We integrated Eq. (16) at fixed D from the unreacted state, from a mid-conversion state and from small perturbations of the upper steady state, for nine values of ln D around each window (ψ = 4.5 and 20). Two distinct long-time states were found for exactly those values of ln D that lie inside the window of Table 6 (ψ = 4.5: 3 of 3 inside values show two attractors; ψ = 20: 5 of 5), one state outside it, and no sustained oscillation anywhere (largest late-time oscillation amplitude in α: 2.8e-16). At ψ = 20 the perturbed upper state collapses to the lower state for ln D just below ln D</w:t>
      </w:r>
      <w:r>
        <w:rPr>
          <w:vertAlign w:val="subscript"/>
        </w:rPr>
        <w:t>H</w:t>
      </w:r>
      <w:r>
        <w:t>, so the loss of stability at the Hopf-type point is, in these simulations, abrupt (subcritical-like), not a transition to a stable cycle; the unstable cycle, if any, was not computed.</w:t>
      </w:r>
    </w:p>
    <w:p>
      <w:pPr>
        <w:keepNext w:val="0"/>
        <w:jc w:val="both"/>
      </w:pPr>
      <w:r>
        <w:rPr>
          <w:i/>
        </w:rPr>
        <w:t>Verification by sweeps.</w:t>
      </w:r>
      <w:r>
        <w:t xml:space="preserve"> We swept ln D up and down at rates v = 0.02, 0.01, 0.005, 0.002, 0.001, 0.0005 and 0.0002 per residence time (protocol in Appendix A: start at the unreacted state, dwell 20 residence times at each turning point, sweep bounds ±2 in ln D beyond the window). The loop area decreases monotonically with v but converges slowly. For ψ = 20 it falls from 5.427 to 5.144 against the attractor loop area 5.047 of Table 6; a fit A(v) = A</w:t>
      </w:r>
      <w:r>
        <w:rPr>
          <w:vertAlign w:val="subscript"/>
        </w:rPr>
        <w:t>0</w:t>
      </w:r>
      <w:r>
        <w:t xml:space="preserve"> + cv</w:t>
      </w:r>
      <w:r>
        <w:rPr>
          <w:vertAlign w:val="superscript"/>
        </w:rPr>
        <w:t>p</w:t>
      </w:r>
      <w:r>
        <w:t xml:space="preserve"> to the seven rates gives A</w:t>
      </w:r>
      <w:r>
        <w:rPr>
          <w:vertAlign w:val="subscript"/>
        </w:rPr>
        <w:t>0</w:t>
      </w:r>
      <w:r>
        <w:t xml:space="preserve"> = 5.119 with p = 0.62, which a two-point linear intercept would not capture. The downward switching of the sweeps occurs at ln D = -5.54 (v = 0.0002), between the Hopf-type point (-5.45) and the fold (-5.66), because the loss of stability near a Hopf-type point is delayed at finite rate. For ψ = 4.5, just above κ</w:t>
      </w:r>
      <w:r>
        <w:rPr>
          <w:vertAlign w:val="subscript"/>
        </w:rPr>
        <w:t>c</w:t>
      </w:r>
      <w:r>
        <w:t>, the attractor loop area is 0.025 and the integrated area at v = 0.0002 is 0.037 (fit A</w:t>
      </w:r>
      <w:r>
        <w:rPr>
          <w:vertAlign w:val="subscript"/>
        </w:rPr>
        <w:t>0</w:t>
      </w:r>
      <w:r>
        <w:t xml:space="preserve"> = 0.025, p = 0.63); for ψ = 8 the attractor loop area is 0.678, the integrated area at v = 0.0002 is 0.722 and the fit gives 0.706; for ψ = 3 (κ = 1.50 &lt; κ</w:t>
      </w:r>
      <w:r>
        <w:rPr>
          <w:vertAlign w:val="subscript"/>
        </w:rPr>
        <w:t>c</w:t>
      </w:r>
      <w:r>
        <w:t>) there is no static loop and the area at v = 0.0002 is 0.002 (fit -0.001). A finite-rate loop therefore exists below the threshold as well, and only the convergence with v distinguishes a static loop from a rate-dependent one (Table 7).</w:t>
      </w:r>
    </w:p>
    <w:p>
      <w:pPr>
        <w:keepNext/>
        <w:spacing w:line="276" w:lineRule="auto" w:after="200"/>
      </w:pPr>
      <w:r>
        <w:rPr>
          <w:b/>
          <w:sz w:val="19"/>
        </w:rPr>
        <w:t>Table 7</w:t>
      </w:r>
      <w:r>
        <w:rPr>
          <w:sz w:val="19"/>
        </w:rPr>
        <w:t xml:space="preserve"> Integrated hysteresis-loop area ∮α d ln D of the sweeps at seven sweep rates v (per residence time), with the attractor loop area, the fold-to-fold multiplicity area and a power-law fit A(v) = A</w:t>
      </w:r>
      <w:r>
        <w:rPr>
          <w:sz w:val="19"/>
          <w:vertAlign w:val="subscript"/>
        </w:rPr>
        <w:t>0</w:t>
      </w:r>
      <w:r>
        <w:rPr>
          <w:sz w:val="19"/>
        </w:rPr>
        <w:t xml:space="preserve"> + cv</w:t>
      </w:r>
      <w:r>
        <w:rPr>
          <w:sz w:val="19"/>
          <w:vertAlign w:val="superscript"/>
        </w:rPr>
        <w:t>p</w:t>
      </w:r>
      <w:r>
        <w:rPr>
          <w:sz w:val="19"/>
        </w:rPr>
        <w:t xml:space="preserve"> (ϑ = 1, n = 3/2, ε = 3 × 10</w:t>
      </w:r>
      <w:r>
        <w:rPr>
          <w:sz w:val="19"/>
          <w:vertAlign w:val="superscript"/>
        </w:rPr>
        <w:t>−3</w:t>
      </w:r>
      <w:r>
        <w:rPr>
          <w:sz w:val="19"/>
        </w:rPr>
        <w:t>).</w:t>
      </w:r>
    </w:p>
    <w:tbl>
      <w:tblPr>
        <w:tblStyle w:val="TableGrid"/>
        <w:tblW w:type="auto" w:w="0"/>
        <w:jc w:val="center"/>
        <w:tblLayout w:type="fixed"/>
        <w:tblLook w:firstColumn="1" w:firstRow="1" w:lastColumn="0" w:lastRow="0" w:noHBand="0" w:noVBand="1" w:val="04A0"/>
      </w:tblPr>
      <w:tblGrid>
        <w:gridCol w:w="504"/>
        <w:gridCol w:w="648"/>
        <w:gridCol w:w="1008"/>
        <w:gridCol w:w="1008"/>
        <w:gridCol w:w="720"/>
        <w:gridCol w:w="720"/>
        <w:gridCol w:w="720"/>
        <w:gridCol w:w="720"/>
        <w:gridCol w:w="720"/>
        <w:gridCol w:w="720"/>
        <w:gridCol w:w="720"/>
        <w:gridCol w:w="1224"/>
      </w:tblGrid>
      <w:tr>
        <w:trPr>
          <w:tblHeader w:val="true"/>
        </w:trPr>
        <w:tc>
          <w:tcPr>
            <w:tcW w:type="dxa" w:w="504"/>
            <w:shd w:val="clear" w:color="auto" w:fill="E7ECF1"/>
          </w:tcPr>
          <w:p>
            <w:pPr>
              <w:spacing w:line="240" w:lineRule="auto" w:after="20"/>
            </w:pPr>
            <w:r/>
            <w:r>
              <w:rPr>
                <w:b/>
                <w:sz w:val="14"/>
              </w:rPr>
              <w:t>ψ</w:t>
            </w:r>
          </w:p>
        </w:tc>
        <w:tc>
          <w:tcPr>
            <w:tcW w:type="dxa" w:w="648"/>
            <w:shd w:val="clear" w:color="auto" w:fill="E7ECF1"/>
          </w:tcPr>
          <w:p>
            <w:pPr>
              <w:spacing w:line="240" w:lineRule="auto" w:after="20"/>
            </w:pPr>
            <w:r/>
            <w:r>
              <w:rPr>
                <w:b/>
                <w:sz w:val="14"/>
              </w:rPr>
              <w:t>κ</w:t>
            </w:r>
          </w:p>
        </w:tc>
        <w:tc>
          <w:tcPr>
            <w:tcW w:type="dxa" w:w="1008"/>
            <w:shd w:val="clear" w:color="auto" w:fill="E7ECF1"/>
          </w:tcPr>
          <w:p>
            <w:pPr>
              <w:spacing w:line="240" w:lineRule="auto" w:after="20"/>
            </w:pPr>
            <w:r/>
            <w:r>
              <w:rPr>
                <w:b/>
                <w:sz w:val="14"/>
              </w:rPr>
              <w:t>Attractor loop area</w:t>
            </w:r>
          </w:p>
        </w:tc>
        <w:tc>
          <w:tcPr>
            <w:tcW w:type="dxa" w:w="1008"/>
            <w:shd w:val="clear" w:color="auto" w:fill="E7ECF1"/>
          </w:tcPr>
          <w:p>
            <w:pPr>
              <w:spacing w:line="240" w:lineRule="auto" w:after="20"/>
            </w:pPr>
            <w:r/>
            <w:r>
              <w:rPr>
                <w:b/>
                <w:sz w:val="14"/>
              </w:rPr>
              <w:t>Fold-to-fold area</w:t>
            </w:r>
          </w:p>
        </w:tc>
        <w:tc>
          <w:tcPr>
            <w:tcW w:type="dxa" w:w="720"/>
            <w:shd w:val="clear" w:color="auto" w:fill="E7ECF1"/>
          </w:tcPr>
          <w:p>
            <w:pPr>
              <w:spacing w:line="240" w:lineRule="auto" w:after="20"/>
            </w:pPr>
            <w:r/>
            <w:r>
              <w:rPr>
                <w:b/>
                <w:sz w:val="14"/>
              </w:rPr>
              <w:t>v = 0.02</w:t>
            </w:r>
          </w:p>
        </w:tc>
        <w:tc>
          <w:tcPr>
            <w:tcW w:type="dxa" w:w="720"/>
            <w:shd w:val="clear" w:color="auto" w:fill="E7ECF1"/>
          </w:tcPr>
          <w:p>
            <w:pPr>
              <w:spacing w:line="240" w:lineRule="auto" w:after="20"/>
            </w:pPr>
            <w:r/>
            <w:r>
              <w:rPr>
                <w:b/>
                <w:sz w:val="14"/>
              </w:rPr>
              <w:t>0.01</w:t>
            </w:r>
          </w:p>
        </w:tc>
        <w:tc>
          <w:tcPr>
            <w:tcW w:type="dxa" w:w="720"/>
            <w:shd w:val="clear" w:color="auto" w:fill="E7ECF1"/>
          </w:tcPr>
          <w:p>
            <w:pPr>
              <w:spacing w:line="240" w:lineRule="auto" w:after="20"/>
            </w:pPr>
            <w:r/>
            <w:r>
              <w:rPr>
                <w:b/>
                <w:sz w:val="14"/>
              </w:rPr>
              <w:t>0.005</w:t>
            </w:r>
          </w:p>
        </w:tc>
        <w:tc>
          <w:tcPr>
            <w:tcW w:type="dxa" w:w="720"/>
            <w:shd w:val="clear" w:color="auto" w:fill="E7ECF1"/>
          </w:tcPr>
          <w:p>
            <w:pPr>
              <w:spacing w:line="240" w:lineRule="auto" w:after="20"/>
            </w:pPr>
            <w:r/>
            <w:r>
              <w:rPr>
                <w:b/>
                <w:sz w:val="14"/>
              </w:rPr>
              <w:t>0.002</w:t>
            </w:r>
          </w:p>
        </w:tc>
        <w:tc>
          <w:tcPr>
            <w:tcW w:type="dxa" w:w="720"/>
            <w:shd w:val="clear" w:color="auto" w:fill="E7ECF1"/>
          </w:tcPr>
          <w:p>
            <w:pPr>
              <w:spacing w:line="240" w:lineRule="auto" w:after="20"/>
            </w:pPr>
            <w:r/>
            <w:r>
              <w:rPr>
                <w:b/>
                <w:sz w:val="14"/>
              </w:rPr>
              <w:t>0.001</w:t>
            </w:r>
          </w:p>
        </w:tc>
        <w:tc>
          <w:tcPr>
            <w:tcW w:type="dxa" w:w="720"/>
            <w:shd w:val="clear" w:color="auto" w:fill="E7ECF1"/>
          </w:tcPr>
          <w:p>
            <w:pPr>
              <w:spacing w:line="240" w:lineRule="auto" w:after="20"/>
            </w:pPr>
            <w:r/>
            <w:r>
              <w:rPr>
                <w:b/>
                <w:sz w:val="14"/>
              </w:rPr>
              <w:t>0.0005</w:t>
            </w:r>
          </w:p>
        </w:tc>
        <w:tc>
          <w:tcPr>
            <w:tcW w:type="dxa" w:w="720"/>
            <w:shd w:val="clear" w:color="auto" w:fill="E7ECF1"/>
          </w:tcPr>
          <w:p>
            <w:pPr>
              <w:spacing w:line="240" w:lineRule="auto" w:after="20"/>
            </w:pPr>
            <w:r/>
            <w:r>
              <w:rPr>
                <w:b/>
                <w:sz w:val="14"/>
              </w:rPr>
              <w:t>0.0002</w:t>
            </w:r>
          </w:p>
        </w:tc>
        <w:tc>
          <w:tcPr>
            <w:tcW w:type="dxa" w:w="1224"/>
            <w:shd w:val="clear" w:color="auto" w:fill="E7ECF1"/>
          </w:tcPr>
          <w:p>
            <w:pPr>
              <w:spacing w:line="240" w:lineRule="auto" w:after="20"/>
            </w:pPr>
            <w:r/>
            <w:r>
              <w:rPr>
                <w:b/>
                <w:sz w:val="14"/>
              </w:rPr>
              <w:t>Fit A</w:t>
            </w:r>
            <w:r>
              <w:rPr>
                <w:b/>
                <w:sz w:val="14"/>
                <w:vertAlign w:val="subscript"/>
              </w:rPr>
              <w:t>0</w:t>
            </w:r>
            <w:r>
              <w:rPr>
                <w:b/>
                <w:sz w:val="14"/>
              </w:rPr>
              <w:t xml:space="preserve"> (p)</w:t>
            </w:r>
          </w:p>
        </w:tc>
      </w:tr>
      <w:tr>
        <w:tc>
          <w:tcPr>
            <w:tcW w:type="dxa" w:w="504"/>
          </w:tcPr>
          <w:p>
            <w:pPr>
              <w:spacing w:line="240" w:lineRule="auto" w:after="20"/>
            </w:pPr>
            <w:r/>
            <w:r>
              <w:rPr>
                <w:sz w:val="14"/>
              </w:rPr>
              <w:t>3.0</w:t>
            </w:r>
          </w:p>
        </w:tc>
        <w:tc>
          <w:tcPr>
            <w:tcW w:type="dxa" w:w="648"/>
          </w:tcPr>
          <w:p>
            <w:pPr>
              <w:spacing w:line="240" w:lineRule="auto" w:after="20"/>
            </w:pPr>
            <w:r/>
            <w:r>
              <w:rPr>
                <w:sz w:val="14"/>
              </w:rPr>
              <w:t>1.50</w:t>
            </w:r>
          </w:p>
        </w:tc>
        <w:tc>
          <w:tcPr>
            <w:tcW w:type="dxa" w:w="1008"/>
          </w:tcPr>
          <w:p>
            <w:pPr>
              <w:spacing w:line="240" w:lineRule="auto" w:after="20"/>
            </w:pPr>
            <w:r/>
            <w:r>
              <w:rPr>
                <w:sz w:val="14"/>
              </w:rPr>
              <w:t>0.000</w:t>
            </w:r>
          </w:p>
        </w:tc>
        <w:tc>
          <w:tcPr>
            <w:tcW w:type="dxa" w:w="1008"/>
          </w:tcPr>
          <w:p>
            <w:pPr>
              <w:spacing w:line="240" w:lineRule="auto" w:after="20"/>
            </w:pPr>
            <w:r/>
            <w:r>
              <w:rPr>
                <w:sz w:val="14"/>
              </w:rPr>
              <w:t>0.000</w:t>
            </w:r>
          </w:p>
        </w:tc>
        <w:tc>
          <w:tcPr>
            <w:tcW w:type="dxa" w:w="720"/>
          </w:tcPr>
          <w:p>
            <w:pPr>
              <w:spacing w:line="240" w:lineRule="auto" w:after="20"/>
            </w:pPr>
            <w:r/>
            <w:r>
              <w:rPr>
                <w:sz w:val="14"/>
              </w:rPr>
              <w:t>0.125</w:t>
            </w:r>
          </w:p>
        </w:tc>
        <w:tc>
          <w:tcPr>
            <w:tcW w:type="dxa" w:w="720"/>
          </w:tcPr>
          <w:p>
            <w:pPr>
              <w:spacing w:line="240" w:lineRule="auto" w:after="20"/>
            </w:pPr>
            <w:r/>
            <w:r>
              <w:rPr>
                <w:sz w:val="14"/>
              </w:rPr>
              <w:t>0.069</w:t>
            </w:r>
          </w:p>
        </w:tc>
        <w:tc>
          <w:tcPr>
            <w:tcW w:type="dxa" w:w="720"/>
          </w:tcPr>
          <w:p>
            <w:pPr>
              <w:spacing w:line="240" w:lineRule="auto" w:after="20"/>
            </w:pPr>
            <w:r/>
            <w:r>
              <w:rPr>
                <w:sz w:val="14"/>
              </w:rPr>
              <w:t>0.037</w:t>
            </w:r>
          </w:p>
        </w:tc>
        <w:tc>
          <w:tcPr>
            <w:tcW w:type="dxa" w:w="720"/>
          </w:tcPr>
          <w:p>
            <w:pPr>
              <w:spacing w:line="240" w:lineRule="auto" w:after="20"/>
            </w:pPr>
            <w:r/>
            <w:r>
              <w:rPr>
                <w:sz w:val="14"/>
              </w:rPr>
              <w:t>0.016</w:t>
            </w:r>
          </w:p>
        </w:tc>
        <w:tc>
          <w:tcPr>
            <w:tcW w:type="dxa" w:w="720"/>
          </w:tcPr>
          <w:p>
            <w:pPr>
              <w:spacing w:line="240" w:lineRule="auto" w:after="20"/>
            </w:pPr>
            <w:r/>
            <w:r>
              <w:rPr>
                <w:sz w:val="14"/>
              </w:rPr>
              <w:t>0.008</w:t>
            </w:r>
          </w:p>
        </w:tc>
        <w:tc>
          <w:tcPr>
            <w:tcW w:type="dxa" w:w="720"/>
          </w:tcPr>
          <w:p>
            <w:pPr>
              <w:spacing w:line="240" w:lineRule="auto" w:after="20"/>
            </w:pPr>
            <w:r/>
            <w:r>
              <w:rPr>
                <w:sz w:val="14"/>
              </w:rPr>
              <w:t>0.004</w:t>
            </w:r>
          </w:p>
        </w:tc>
        <w:tc>
          <w:tcPr>
            <w:tcW w:type="dxa" w:w="720"/>
          </w:tcPr>
          <w:p>
            <w:pPr>
              <w:spacing w:line="240" w:lineRule="auto" w:after="20"/>
            </w:pPr>
            <w:r/>
            <w:r>
              <w:rPr>
                <w:sz w:val="14"/>
              </w:rPr>
              <w:t>0.002</w:t>
            </w:r>
          </w:p>
        </w:tc>
        <w:tc>
          <w:tcPr>
            <w:tcW w:type="dxa" w:w="1224"/>
          </w:tcPr>
          <w:p>
            <w:pPr>
              <w:spacing w:line="240" w:lineRule="auto" w:after="20"/>
            </w:pPr>
            <w:r/>
            <w:r>
              <w:rPr>
                <w:sz w:val="14"/>
              </w:rPr>
              <w:t>-0.001 (0.86)</w:t>
            </w:r>
          </w:p>
        </w:tc>
      </w:tr>
      <w:tr>
        <w:tc>
          <w:tcPr>
            <w:tcW w:type="dxa" w:w="504"/>
          </w:tcPr>
          <w:p>
            <w:pPr>
              <w:spacing w:line="240" w:lineRule="auto" w:after="20"/>
            </w:pPr>
            <w:r/>
            <w:r>
              <w:rPr>
                <w:sz w:val="14"/>
              </w:rPr>
              <w:t>4.5</w:t>
            </w:r>
          </w:p>
        </w:tc>
        <w:tc>
          <w:tcPr>
            <w:tcW w:type="dxa" w:w="648"/>
          </w:tcPr>
          <w:p>
            <w:pPr>
              <w:spacing w:line="240" w:lineRule="auto" w:after="20"/>
            </w:pPr>
            <w:r/>
            <w:r>
              <w:rPr>
                <w:sz w:val="14"/>
              </w:rPr>
              <w:t>2.25</w:t>
            </w:r>
          </w:p>
        </w:tc>
        <w:tc>
          <w:tcPr>
            <w:tcW w:type="dxa" w:w="1008"/>
          </w:tcPr>
          <w:p>
            <w:pPr>
              <w:spacing w:line="240" w:lineRule="auto" w:after="20"/>
            </w:pPr>
            <w:r/>
            <w:r>
              <w:rPr>
                <w:sz w:val="14"/>
              </w:rPr>
              <w:t>0.025</w:t>
            </w:r>
          </w:p>
        </w:tc>
        <w:tc>
          <w:tcPr>
            <w:tcW w:type="dxa" w:w="1008"/>
          </w:tcPr>
          <w:p>
            <w:pPr>
              <w:spacing w:line="240" w:lineRule="auto" w:after="20"/>
            </w:pPr>
            <w:r/>
            <w:r>
              <w:rPr>
                <w:sz w:val="14"/>
              </w:rPr>
              <w:t>0.025</w:t>
            </w:r>
          </w:p>
        </w:tc>
        <w:tc>
          <w:tcPr>
            <w:tcW w:type="dxa" w:w="720"/>
          </w:tcPr>
          <w:p>
            <w:pPr>
              <w:spacing w:line="240" w:lineRule="auto" w:after="20"/>
            </w:pPr>
            <w:r/>
            <w:r>
              <w:rPr>
                <w:sz w:val="14"/>
              </w:rPr>
              <w:t>0.248</w:t>
            </w:r>
          </w:p>
        </w:tc>
        <w:tc>
          <w:tcPr>
            <w:tcW w:type="dxa" w:w="720"/>
          </w:tcPr>
          <w:p>
            <w:pPr>
              <w:spacing w:line="240" w:lineRule="auto" w:after="20"/>
            </w:pPr>
            <w:r/>
            <w:r>
              <w:rPr>
                <w:sz w:val="14"/>
              </w:rPr>
              <w:t>0.170</w:t>
            </w:r>
          </w:p>
        </w:tc>
        <w:tc>
          <w:tcPr>
            <w:tcW w:type="dxa" w:w="720"/>
          </w:tcPr>
          <w:p>
            <w:pPr>
              <w:spacing w:line="240" w:lineRule="auto" w:after="20"/>
            </w:pPr>
            <w:r/>
            <w:r>
              <w:rPr>
                <w:sz w:val="14"/>
              </w:rPr>
              <w:t>0.118</w:t>
            </w:r>
          </w:p>
        </w:tc>
        <w:tc>
          <w:tcPr>
            <w:tcW w:type="dxa" w:w="720"/>
          </w:tcPr>
          <w:p>
            <w:pPr>
              <w:spacing w:line="240" w:lineRule="auto" w:after="20"/>
            </w:pPr>
            <w:r/>
            <w:r>
              <w:rPr>
                <w:sz w:val="14"/>
              </w:rPr>
              <w:t>0.077</w:t>
            </w:r>
          </w:p>
        </w:tc>
        <w:tc>
          <w:tcPr>
            <w:tcW w:type="dxa" w:w="720"/>
          </w:tcPr>
          <w:p>
            <w:pPr>
              <w:spacing w:line="240" w:lineRule="auto" w:after="20"/>
            </w:pPr>
            <w:r/>
            <w:r>
              <w:rPr>
                <w:sz w:val="14"/>
              </w:rPr>
              <w:t>0.059</w:t>
            </w:r>
          </w:p>
        </w:tc>
        <w:tc>
          <w:tcPr>
            <w:tcW w:type="dxa" w:w="720"/>
          </w:tcPr>
          <w:p>
            <w:pPr>
              <w:spacing w:line="240" w:lineRule="auto" w:after="20"/>
            </w:pPr>
            <w:r/>
            <w:r>
              <w:rPr>
                <w:sz w:val="14"/>
              </w:rPr>
              <w:t>0.047</w:t>
            </w:r>
          </w:p>
        </w:tc>
        <w:tc>
          <w:tcPr>
            <w:tcW w:type="dxa" w:w="720"/>
          </w:tcPr>
          <w:p>
            <w:pPr>
              <w:spacing w:line="240" w:lineRule="auto" w:after="20"/>
            </w:pPr>
            <w:r/>
            <w:r>
              <w:rPr>
                <w:sz w:val="14"/>
              </w:rPr>
              <w:t>0.037</w:t>
            </w:r>
          </w:p>
        </w:tc>
        <w:tc>
          <w:tcPr>
            <w:tcW w:type="dxa" w:w="1224"/>
          </w:tcPr>
          <w:p>
            <w:pPr>
              <w:spacing w:line="240" w:lineRule="auto" w:after="20"/>
            </w:pPr>
            <w:r/>
            <w:r>
              <w:rPr>
                <w:sz w:val="14"/>
              </w:rPr>
              <w:t>0.025 (0.63)</w:t>
            </w:r>
          </w:p>
        </w:tc>
      </w:tr>
      <w:tr>
        <w:tc>
          <w:tcPr>
            <w:tcW w:type="dxa" w:w="504"/>
          </w:tcPr>
          <w:p>
            <w:pPr>
              <w:spacing w:line="240" w:lineRule="auto" w:after="20"/>
            </w:pPr>
            <w:r/>
            <w:r>
              <w:rPr>
                <w:sz w:val="14"/>
              </w:rPr>
              <w:t>8.0</w:t>
            </w:r>
          </w:p>
        </w:tc>
        <w:tc>
          <w:tcPr>
            <w:tcW w:type="dxa" w:w="648"/>
          </w:tcPr>
          <w:p>
            <w:pPr>
              <w:spacing w:line="240" w:lineRule="auto" w:after="20"/>
            </w:pPr>
            <w:r/>
            <w:r>
              <w:rPr>
                <w:sz w:val="14"/>
              </w:rPr>
              <w:t>4.00</w:t>
            </w:r>
          </w:p>
        </w:tc>
        <w:tc>
          <w:tcPr>
            <w:tcW w:type="dxa" w:w="1008"/>
          </w:tcPr>
          <w:p>
            <w:pPr>
              <w:spacing w:line="240" w:lineRule="auto" w:after="20"/>
            </w:pPr>
            <w:r/>
            <w:r>
              <w:rPr>
                <w:sz w:val="14"/>
              </w:rPr>
              <w:t>0.678</w:t>
            </w:r>
          </w:p>
        </w:tc>
        <w:tc>
          <w:tcPr>
            <w:tcW w:type="dxa" w:w="1008"/>
          </w:tcPr>
          <w:p>
            <w:pPr>
              <w:spacing w:line="240" w:lineRule="auto" w:after="20"/>
            </w:pPr>
            <w:r/>
            <w:r>
              <w:rPr>
                <w:sz w:val="14"/>
              </w:rPr>
              <w:t>0.710</w:t>
            </w:r>
          </w:p>
        </w:tc>
        <w:tc>
          <w:tcPr>
            <w:tcW w:type="dxa" w:w="720"/>
          </w:tcPr>
          <w:p>
            <w:pPr>
              <w:spacing w:line="240" w:lineRule="auto" w:after="20"/>
            </w:pPr>
            <w:r/>
            <w:r>
              <w:rPr>
                <w:sz w:val="14"/>
              </w:rPr>
              <w:t>0.976</w:t>
            </w:r>
          </w:p>
        </w:tc>
        <w:tc>
          <w:tcPr>
            <w:tcW w:type="dxa" w:w="720"/>
          </w:tcPr>
          <w:p>
            <w:pPr>
              <w:spacing w:line="240" w:lineRule="auto" w:after="20"/>
            </w:pPr>
            <w:r/>
            <w:r>
              <w:rPr>
                <w:sz w:val="14"/>
              </w:rPr>
              <w:t>0.884</w:t>
            </w:r>
          </w:p>
        </w:tc>
        <w:tc>
          <w:tcPr>
            <w:tcW w:type="dxa" w:w="720"/>
          </w:tcPr>
          <w:p>
            <w:pPr>
              <w:spacing w:line="240" w:lineRule="auto" w:after="20"/>
            </w:pPr>
            <w:r/>
            <w:r>
              <w:rPr>
                <w:sz w:val="14"/>
              </w:rPr>
              <w:t>0.823</w:t>
            </w:r>
          </w:p>
        </w:tc>
        <w:tc>
          <w:tcPr>
            <w:tcW w:type="dxa" w:w="720"/>
          </w:tcPr>
          <w:p>
            <w:pPr>
              <w:spacing w:line="240" w:lineRule="auto" w:after="20"/>
            </w:pPr>
            <w:r/>
            <w:r>
              <w:rPr>
                <w:sz w:val="14"/>
              </w:rPr>
              <w:t>0.773</w:t>
            </w:r>
          </w:p>
        </w:tc>
        <w:tc>
          <w:tcPr>
            <w:tcW w:type="dxa" w:w="720"/>
          </w:tcPr>
          <w:p>
            <w:pPr>
              <w:spacing w:line="240" w:lineRule="auto" w:after="20"/>
            </w:pPr>
            <w:r/>
            <w:r>
              <w:rPr>
                <w:sz w:val="14"/>
              </w:rPr>
              <w:t>0.751</w:t>
            </w:r>
          </w:p>
        </w:tc>
        <w:tc>
          <w:tcPr>
            <w:tcW w:type="dxa" w:w="720"/>
          </w:tcPr>
          <w:p>
            <w:pPr>
              <w:spacing w:line="240" w:lineRule="auto" w:after="20"/>
            </w:pPr>
            <w:r/>
            <w:r>
              <w:rPr>
                <w:sz w:val="14"/>
              </w:rPr>
              <w:t>0.736</w:t>
            </w:r>
          </w:p>
        </w:tc>
        <w:tc>
          <w:tcPr>
            <w:tcW w:type="dxa" w:w="720"/>
          </w:tcPr>
          <w:p>
            <w:pPr>
              <w:spacing w:line="240" w:lineRule="auto" w:after="20"/>
            </w:pPr>
            <w:r/>
            <w:r>
              <w:rPr>
                <w:sz w:val="14"/>
              </w:rPr>
              <w:t>0.722</w:t>
            </w:r>
          </w:p>
        </w:tc>
        <w:tc>
          <w:tcPr>
            <w:tcW w:type="dxa" w:w="1224"/>
          </w:tcPr>
          <w:p>
            <w:pPr>
              <w:spacing w:line="240" w:lineRule="auto" w:after="20"/>
            </w:pPr>
            <w:r/>
            <w:r>
              <w:rPr>
                <w:sz w:val="14"/>
              </w:rPr>
              <w:t>0.706 (0.60)</w:t>
            </w:r>
          </w:p>
        </w:tc>
      </w:tr>
      <w:tr>
        <w:tc>
          <w:tcPr>
            <w:tcW w:type="dxa" w:w="504"/>
          </w:tcPr>
          <w:p>
            <w:pPr>
              <w:spacing w:line="240" w:lineRule="auto" w:after="20"/>
            </w:pPr>
            <w:r/>
            <w:r>
              <w:rPr>
                <w:sz w:val="14"/>
              </w:rPr>
              <w:t>20.0</w:t>
            </w:r>
          </w:p>
        </w:tc>
        <w:tc>
          <w:tcPr>
            <w:tcW w:type="dxa" w:w="648"/>
          </w:tcPr>
          <w:p>
            <w:pPr>
              <w:spacing w:line="240" w:lineRule="auto" w:after="20"/>
            </w:pPr>
            <w:r/>
            <w:r>
              <w:rPr>
                <w:sz w:val="14"/>
              </w:rPr>
              <w:t>10.00</w:t>
            </w:r>
          </w:p>
        </w:tc>
        <w:tc>
          <w:tcPr>
            <w:tcW w:type="dxa" w:w="1008"/>
          </w:tcPr>
          <w:p>
            <w:pPr>
              <w:spacing w:line="240" w:lineRule="auto" w:after="20"/>
            </w:pPr>
            <w:r/>
            <w:r>
              <w:rPr>
                <w:sz w:val="14"/>
              </w:rPr>
              <w:t>5.047</w:t>
            </w:r>
          </w:p>
        </w:tc>
        <w:tc>
          <w:tcPr>
            <w:tcW w:type="dxa" w:w="1008"/>
          </w:tcPr>
          <w:p>
            <w:pPr>
              <w:spacing w:line="240" w:lineRule="auto" w:after="20"/>
            </w:pPr>
            <w:r/>
            <w:r>
              <w:rPr>
                <w:sz w:val="14"/>
              </w:rPr>
              <w:t>5.236</w:t>
            </w:r>
          </w:p>
        </w:tc>
        <w:tc>
          <w:tcPr>
            <w:tcW w:type="dxa" w:w="720"/>
          </w:tcPr>
          <w:p>
            <w:pPr>
              <w:spacing w:line="240" w:lineRule="auto" w:after="20"/>
            </w:pPr>
            <w:r/>
            <w:r>
              <w:rPr>
                <w:sz w:val="14"/>
              </w:rPr>
              <w:t>5.427</w:t>
            </w:r>
          </w:p>
        </w:tc>
        <w:tc>
          <w:tcPr>
            <w:tcW w:type="dxa" w:w="720"/>
          </w:tcPr>
          <w:p>
            <w:pPr>
              <w:spacing w:line="240" w:lineRule="auto" w:after="20"/>
            </w:pPr>
            <w:r/>
            <w:r>
              <w:rPr>
                <w:sz w:val="14"/>
              </w:rPr>
              <w:t>5.340</w:t>
            </w:r>
          </w:p>
        </w:tc>
        <w:tc>
          <w:tcPr>
            <w:tcW w:type="dxa" w:w="720"/>
          </w:tcPr>
          <w:p>
            <w:pPr>
              <w:spacing w:line="240" w:lineRule="auto" w:after="20"/>
            </w:pPr>
            <w:r/>
            <w:r>
              <w:rPr>
                <w:sz w:val="14"/>
              </w:rPr>
              <w:t>5.246</w:t>
            </w:r>
          </w:p>
        </w:tc>
        <w:tc>
          <w:tcPr>
            <w:tcW w:type="dxa" w:w="720"/>
          </w:tcPr>
          <w:p>
            <w:pPr>
              <w:spacing w:line="240" w:lineRule="auto" w:after="20"/>
            </w:pPr>
            <w:r/>
            <w:r>
              <w:rPr>
                <w:sz w:val="14"/>
              </w:rPr>
              <w:t>5.186</w:t>
            </w:r>
          </w:p>
        </w:tc>
        <w:tc>
          <w:tcPr>
            <w:tcW w:type="dxa" w:w="720"/>
          </w:tcPr>
          <w:p>
            <w:pPr>
              <w:spacing w:line="240" w:lineRule="auto" w:after="20"/>
            </w:pPr>
            <w:r/>
            <w:r>
              <w:rPr>
                <w:sz w:val="14"/>
              </w:rPr>
              <w:t>5.168</w:t>
            </w:r>
          </w:p>
        </w:tc>
        <w:tc>
          <w:tcPr>
            <w:tcW w:type="dxa" w:w="720"/>
          </w:tcPr>
          <w:p>
            <w:pPr>
              <w:spacing w:line="240" w:lineRule="auto" w:after="20"/>
            </w:pPr>
            <w:r/>
            <w:r>
              <w:rPr>
                <w:sz w:val="14"/>
              </w:rPr>
              <w:t>5.149</w:t>
            </w:r>
          </w:p>
        </w:tc>
        <w:tc>
          <w:tcPr>
            <w:tcW w:type="dxa" w:w="720"/>
          </w:tcPr>
          <w:p>
            <w:pPr>
              <w:spacing w:line="240" w:lineRule="auto" w:after="20"/>
            </w:pPr>
            <w:r/>
            <w:r>
              <w:rPr>
                <w:sz w:val="14"/>
              </w:rPr>
              <w:t>5.144</w:t>
            </w:r>
          </w:p>
        </w:tc>
        <w:tc>
          <w:tcPr>
            <w:tcW w:type="dxa" w:w="1224"/>
          </w:tcPr>
          <w:p>
            <w:pPr>
              <w:spacing w:line="240" w:lineRule="auto" w:after="20"/>
            </w:pPr>
            <w:r/>
            <w:r>
              <w:rPr>
                <w:sz w:val="14"/>
              </w:rPr>
              <w:t>5.119 (0.62)</w:t>
            </w:r>
          </w:p>
        </w:tc>
      </w:tr>
    </w:tbl>
    <w:p>
      <w:pPr>
        <w:spacing w:after="40"/>
      </w:pPr>
    </w:p>
    <w:p>
      <w:pPr>
        <w:keepNext/>
        <w:spacing w:before="160" w:after="40"/>
        <w:jc w:val="center"/>
      </w:pPr>
      <w:r>
        <w:drawing>
          <wp:inline xmlns:a="http://schemas.openxmlformats.org/drawingml/2006/main" xmlns:pic="http://schemas.openxmlformats.org/drawingml/2006/picture">
            <wp:extent cx="6126480" cy="1922033"/>
            <wp:docPr id="4" name="Picture 4" descr="Three panels. (a) Steady conversion against ln D with solid stable and dashed unstable parts and marked fold and Hopf points. (b) Up and down sweep loops. (c) Loop area against sweep rate approaching the attractor loop area."/>
            <wp:cNvGraphicFramePr>
              <a:graphicFrameLocks noChangeAspect="1"/>
            </wp:cNvGraphicFramePr>
            <a:graphic>
              <a:graphicData uri="http://schemas.openxmlformats.org/drawingml/2006/picture">
                <pic:pic>
                  <pic:nvPicPr>
                    <pic:cNvPr id="0" name="fig4_flow_reactor.png"/>
                    <pic:cNvPicPr/>
                  </pic:nvPicPr>
                  <pic:blipFill>
                    <a:blip r:embed="rId13"/>
                    <a:stretch>
                      <a:fillRect/>
                    </a:stretch>
                  </pic:blipFill>
                  <pic:spPr>
                    <a:xfrm>
                      <a:off x="0" y="0"/>
                      <a:ext cx="6126480" cy="1922033"/>
                    </a:xfrm>
                    <a:prstGeom prst="rect"/>
                  </pic:spPr>
                </pic:pic>
              </a:graphicData>
            </a:graphic>
          </wp:inline>
        </w:drawing>
      </w:r>
    </w:p>
    <w:p>
      <w:pPr>
        <w:keepNext w:val="0"/>
        <w:spacing w:line="276" w:lineRule="auto" w:after="200"/>
      </w:pPr>
      <w:r>
        <w:rPr>
          <w:b/>
          <w:sz w:val="19"/>
        </w:rPr>
        <w:t>Fig. 4</w:t>
      </w:r>
      <w:r>
        <w:rPr>
          <w:sz w:val="19"/>
        </w:rPr>
        <w:t xml:space="preserve"> (a) Steady-state curve of the flow reactor at ψ = 20 (κ = 10) with stable (solid) and unstable (dashed) segments, the two folds (squares) and the Hopf-type point (circle). (b) Sweep loops at two rates against the steady states. (c) Loop area against sweep rate, the power-law fit, and the attractor loop area.</w:t>
      </w:r>
    </w:p>
    <w:p>
      <w:pPr>
        <w:pStyle w:val="Heading2"/>
      </w:pPr>
      <w:r>
        <w:rPr>
          <w:rFonts w:ascii="Times New Roman" w:hAnsi="Times New Roman"/>
        </w:rPr>
        <w:t>F. Closed forms as fitting functions: a synthetic-data test</w:t>
      </w:r>
    </w:p>
    <w:p>
      <w:pPr>
        <w:keepNext w:val="0"/>
        <w:jc w:val="both"/>
      </w:pPr>
      <w:r>
        <w:t xml:space="preserve">With a known logistic width </w:t>
      </w:r>
      <w:r>
        <w:rPr>
          <w:i/>
        </w:rPr>
        <w:t>w</w:t>
      </w:r>
      <w:r>
        <w:rPr>
          <w:vertAlign w:val="subscript"/>
        </w:rPr>
        <w:t>0</w:t>
      </w:r>
      <w:r>
        <w:t>, the storage curves depend on the capsule population only through the open fraction, i.e. through z = (T</w:t>
      </w:r>
      <w:r>
        <w:rPr>
          <w:vertAlign w:val="subscript"/>
        </w:rPr>
        <w:t>m</w:t>
      </w:r>
      <w:r>
        <w:t xml:space="preserve"> − T</w:t>
      </w:r>
      <w:r>
        <w:rPr>
          <w:vertAlign w:val="subscript"/>
        </w:rPr>
        <w:t>s</w:t>
      </w:r>
      <w:r>
        <w:t>)/σ</w:t>
      </w:r>
      <w:r>
        <w:rPr>
          <w:vertAlign w:val="subscript"/>
        </w:rPr>
        <w:t>eff</w:t>
      </w:r>
      <w:r>
        <w:t xml:space="preserve"> at each storage temperature, so the pair (T</w:t>
      </w:r>
      <w:r>
        <w:rPr>
          <w:vertAlign w:val="subscript"/>
        </w:rPr>
        <w:t>m</w:t>
      </w:r>
      <w:r>
        <w:t>, σ) is determined only through the line z(T</w:t>
      </w:r>
      <w:r>
        <w:rPr>
          <w:vertAlign w:val="subscript"/>
        </w:rPr>
        <w:t>s</w:t>
      </w:r>
      <w:r>
        <w:t>) = (T</w:t>
      </w:r>
      <w:r>
        <w:rPr>
          <w:vertAlign w:val="subscript"/>
        </w:rPr>
        <w:t>m</w:t>
      </w:r>
      <w:r>
        <w:t xml:space="preserve"> − T</w:t>
      </w:r>
      <w:r>
        <w:rPr>
          <w:vertAlign w:val="subscript"/>
        </w:rPr>
        <w:t>s</w:t>
      </w:r>
      <w:r>
        <w:t>)/σ</w:t>
      </w:r>
      <w:r>
        <w:rPr>
          <w:vertAlign w:val="subscript"/>
        </w:rPr>
        <w:t>eff</w:t>
      </w:r>
      <w:r>
        <w:t xml:space="preserve">; an unknown </w:t>
      </w:r>
      <w:r>
        <w:rPr>
          <w:i/>
        </w:rPr>
        <w:t>w</w:t>
      </w:r>
      <w:r>
        <w:rPr>
          <w:vertAlign w:val="subscript"/>
        </w:rPr>
        <w:t>0</w:t>
      </w:r>
      <w:r>
        <w:t xml:space="preserve"> would add a third, confounded parameter. To see how well the pair can be recovered, synthetic isothermal storage curves were generated with the </w:t>
      </w:r>
      <w:r>
        <w:rPr>
          <w:i/>
        </w:rPr>
        <w:t>population ODE</w:t>
      </w:r>
      <w:r>
        <w:t xml:space="preserve"> (not with the closed form) for σ = 5.0 °C, T</w:t>
      </w:r>
      <w:r>
        <w:rPr>
          <w:vertAlign w:val="subscript"/>
        </w:rPr>
        <w:t>m</w:t>
      </w:r>
      <w:r>
        <w:t xml:space="preserve"> = 118 °C and </w:t>
      </w:r>
      <w:r>
        <w:rPr>
          <w:i/>
        </w:rPr>
        <w:t>w</w:t>
      </w:r>
      <w:r>
        <w:rPr>
          <w:vertAlign w:val="subscript"/>
        </w:rPr>
        <w:t>0</w:t>
      </w:r>
      <w:r>
        <w:t xml:space="preserve"> = 0.5 °C at three storage temperatures (112, 108, 105 °C) and five times (30–150 min), with Gaussian noise of 0.002 in conversion, and fitted by least squares with the closed form (known </w:t>
      </w:r>
      <w:r>
        <w:rPr>
          <w:i/>
        </w:rPr>
        <w:t>w</w:t>
      </w:r>
      <w:r>
        <w:rPr>
          <w:vertAlign w:val="subscript"/>
        </w:rPr>
        <w:t>0</w:t>
      </w:r>
      <w:r>
        <w:t>; 200 noise realizations). The estimates are σ̂ = 7.5 ± 2.6 °C and T̂</w:t>
      </w:r>
      <w:r>
        <w:rPr>
          <w:vertAlign w:val="subscript"/>
        </w:rPr>
        <w:t>m</w:t>
      </w:r>
      <w:r>
        <w:t xml:space="preserve"> = 120.9 ± 3.1 °C with a correlation of 0.97 (Fig. 5): the two parameters are almost degenerate in this design, and σ̂ is biased high along the degenerate direction. An independent constraint on T</w:t>
      </w:r>
      <w:r>
        <w:rPr>
          <w:vertAlign w:val="subscript"/>
        </w:rPr>
        <w:t>m</w:t>
      </w:r>
      <w:r>
        <w:t>, here a prior of 0.5 °C (as from a calorimetric endotherm), markedly improved recovery in this tested design, to σ̂ = 5.1 ± 0.4 °C. Other temperatures, times or noise levels may also improve identifiability; no claim is made about real calorimetry.</w:t>
      </w:r>
    </w:p>
    <w:p>
      <w:pPr>
        <w:keepNext/>
        <w:spacing w:before="160" w:after="40"/>
        <w:jc w:val="center"/>
      </w:pPr>
      <w:r>
        <w:drawing>
          <wp:inline xmlns:a="http://schemas.openxmlformats.org/drawingml/2006/main" xmlns:pic="http://schemas.openxmlformats.org/drawingml/2006/picture">
            <wp:extent cx="3291840" cy="2834640"/>
            <wp:docPr id="5" name="Picture 5" descr="Scatter of recovered mean melting temperature and spread, elongated along a degenerate direction around the true value."/>
            <wp:cNvGraphicFramePr>
              <a:graphicFrameLocks noChangeAspect="1"/>
            </wp:cNvGraphicFramePr>
            <a:graphic>
              <a:graphicData uri="http://schemas.openxmlformats.org/drawingml/2006/picture">
                <pic:pic>
                  <pic:nvPicPr>
                    <pic:cNvPr id="0" name="fig5_recovery.png"/>
                    <pic:cNvPicPr/>
                  </pic:nvPicPr>
                  <pic:blipFill>
                    <a:blip r:embed="rId14"/>
                    <a:stretch>
                      <a:fillRect/>
                    </a:stretch>
                  </pic:blipFill>
                  <pic:spPr>
                    <a:xfrm>
                      <a:off x="0" y="0"/>
                      <a:ext cx="3291840" cy="2834640"/>
                    </a:xfrm>
                    <a:prstGeom prst="rect"/>
                  </pic:spPr>
                </pic:pic>
              </a:graphicData>
            </a:graphic>
          </wp:inline>
        </w:drawing>
      </w:r>
    </w:p>
    <w:p>
      <w:pPr>
        <w:keepNext w:val="0"/>
        <w:spacing w:line="276" w:lineRule="auto" w:after="200"/>
      </w:pPr>
      <w:r>
        <w:rPr>
          <w:b/>
          <w:sz w:val="19"/>
        </w:rPr>
        <w:t>Fig. 5</w:t>
      </w:r>
      <w:r>
        <w:rPr>
          <w:sz w:val="19"/>
        </w:rPr>
        <w:t xml:space="preserve"> Least-squares recovery of (T</w:t>
      </w:r>
      <w:r>
        <w:rPr>
          <w:sz w:val="19"/>
          <w:vertAlign w:val="subscript"/>
        </w:rPr>
        <w:t>m</w:t>
      </w:r>
      <w:r>
        <w:rPr>
          <w:sz w:val="19"/>
        </w:rPr>
        <w:t>, σ) from noisy synthetic storage curves; each point is one noise realization (every fifth shown).</w:t>
      </w:r>
    </w:p>
    <w:p>
      <w:pPr>
        <w:pStyle w:val="Heading1"/>
      </w:pPr>
      <w:r>
        <w:rPr>
          <w:rFonts w:ascii="Times New Roman" w:hAnsi="Times New Roman"/>
        </w:rPr>
        <w:t>IV. Status of the claims and approximations</w:t>
      </w:r>
    </w:p>
    <w:p>
      <w:pPr>
        <w:keepNext/>
        <w:spacing w:line="276" w:lineRule="auto" w:after="200"/>
      </w:pPr>
      <w:r>
        <w:rPr>
          <w:b/>
          <w:sz w:val="19"/>
        </w:rPr>
        <w:t>Table 8</w:t>
      </w:r>
      <w:r>
        <w:rPr>
          <w:sz w:val="19"/>
        </w:rPr>
        <w:t xml:space="preserve"> Status of the principal results, their assumptions, and where they fail or have not been tested. All parameters are illustrative.</w:t>
      </w:r>
    </w:p>
    <w:tbl>
      <w:tblPr>
        <w:tblStyle w:val="TableGrid"/>
        <w:tblW w:type="auto" w:w="0"/>
        <w:jc w:val="center"/>
        <w:tblLayout w:type="fixed"/>
        <w:tblLook w:firstColumn="1" w:firstRow="1" w:lastColumn="0" w:lastRow="0" w:noHBand="0" w:noVBand="1" w:val="04A0"/>
      </w:tblPr>
      <w:tblGrid>
        <w:gridCol w:w="2160"/>
        <w:gridCol w:w="2160"/>
        <w:gridCol w:w="2592"/>
        <w:gridCol w:w="2880"/>
      </w:tblGrid>
      <w:tr>
        <w:trPr>
          <w:tblHeader w:val="true"/>
        </w:trPr>
        <w:tc>
          <w:tcPr>
            <w:tcW w:type="dxa" w:w="2160"/>
            <w:shd w:val="clear" w:color="auto" w:fill="E7ECF1"/>
          </w:tcPr>
          <w:p>
            <w:pPr>
              <w:spacing w:line="240" w:lineRule="auto" w:after="20"/>
            </w:pPr>
            <w:r/>
            <w:r>
              <w:rPr>
                <w:b/>
                <w:sz w:val="16"/>
              </w:rPr>
              <w:t>Result</w:t>
            </w:r>
          </w:p>
        </w:tc>
        <w:tc>
          <w:tcPr>
            <w:tcW w:type="dxa" w:w="2160"/>
            <w:shd w:val="clear" w:color="auto" w:fill="E7ECF1"/>
          </w:tcPr>
          <w:p>
            <w:pPr>
              <w:spacing w:line="240" w:lineRule="auto" w:after="20"/>
            </w:pPr>
            <w:r/>
            <w:r>
              <w:rPr>
                <w:b/>
                <w:sz w:val="16"/>
              </w:rPr>
              <w:t>Status</w:t>
            </w:r>
          </w:p>
        </w:tc>
        <w:tc>
          <w:tcPr>
            <w:tcW w:type="dxa" w:w="2592"/>
            <w:shd w:val="clear" w:color="auto" w:fill="E7ECF1"/>
          </w:tcPr>
          <w:p>
            <w:pPr>
              <w:spacing w:line="240" w:lineRule="auto" w:after="20"/>
            </w:pPr>
            <w:r/>
            <w:r>
              <w:rPr>
                <w:b/>
                <w:sz w:val="16"/>
              </w:rPr>
              <w:t>Assumption it rests on</w:t>
            </w:r>
          </w:p>
        </w:tc>
        <w:tc>
          <w:tcPr>
            <w:tcW w:type="dxa" w:w="2880"/>
            <w:shd w:val="clear" w:color="auto" w:fill="E7ECF1"/>
          </w:tcPr>
          <w:p>
            <w:pPr>
              <w:spacing w:line="240" w:lineRule="auto" w:after="20"/>
            </w:pPr>
            <w:r/>
            <w:r>
              <w:rPr>
                <w:b/>
                <w:sz w:val="16"/>
              </w:rPr>
              <w:t>Where it fails or is untested</w:t>
            </w:r>
          </w:p>
        </w:tc>
      </w:tr>
      <w:tr>
        <w:tc>
          <w:tcPr>
            <w:tcW w:type="dxa" w:w="2160"/>
          </w:tcPr>
          <w:p>
            <w:pPr>
              <w:spacing w:line="240" w:lineRule="auto" w:after="20"/>
            </w:pPr>
            <w:r/>
            <w:r>
              <w:rPr>
                <w:sz w:val="16"/>
              </w:rPr>
              <w:t>Availability clock (Prop. 1)</w:t>
            </w:r>
          </w:p>
        </w:tc>
        <w:tc>
          <w:tcPr>
            <w:tcW w:type="dxa" w:w="2160"/>
          </w:tcPr>
          <w:p>
            <w:pPr>
              <w:spacing w:line="240" w:lineRule="auto" w:after="20"/>
            </w:pPr>
            <w:r/>
            <w:r>
              <w:rPr>
                <w:sz w:val="16"/>
              </w:rPr>
              <w:t>Exact</w:t>
            </w:r>
          </w:p>
        </w:tc>
        <w:tc>
          <w:tcPr>
            <w:tcW w:type="dxa" w:w="2592"/>
          </w:tcPr>
          <w:p>
            <w:pPr>
              <w:spacing w:line="240" w:lineRule="auto" w:after="20"/>
            </w:pPr>
            <w:r/>
            <w:r>
              <w:rPr>
                <w:sz w:val="16"/>
              </w:rPr>
              <w:t>Constant temperature; α(0) = 0, C</w:t>
            </w:r>
            <w:r>
              <w:rPr>
                <w:sz w:val="16"/>
                <w:vertAlign w:val="subscript"/>
              </w:rPr>
              <w:t>i</w:t>
            </w:r>
            <w:r>
              <w:rPr>
                <w:sz w:val="16"/>
              </w:rPr>
              <w:t>(0) = 0; one availability function ⟨C⟩(t)</w:t>
            </w:r>
          </w:p>
        </w:tc>
        <w:tc>
          <w:tcPr>
            <w:tcW w:type="dxa" w:w="2880"/>
          </w:tcPr>
          <w:p>
            <w:pPr>
              <w:spacing w:line="240" w:lineRule="auto" w:after="20"/>
            </w:pPr>
            <w:r/>
            <w:r>
              <w:rPr>
                <w:sz w:val="16"/>
              </w:rPr>
              <w:t>Temperature transients and exotherm; the delay is conversion dependent (Eq. (6)), and incomplete activation changes the clock</w:t>
            </w:r>
          </w:p>
        </w:tc>
      </w:tr>
      <w:tr>
        <w:tc>
          <w:tcPr>
            <w:tcW w:type="dxa" w:w="2160"/>
          </w:tcPr>
          <w:p>
            <w:pPr>
              <w:spacing w:line="240" w:lineRule="auto" w:after="20"/>
            </w:pPr>
            <w:r/>
            <w:r>
              <w:rPr>
                <w:sz w:val="16"/>
              </w:rPr>
              <w:t>Isothermal time and sharpness (Prop. 2)</w:t>
            </w:r>
          </w:p>
        </w:tc>
        <w:tc>
          <w:tcPr>
            <w:tcW w:type="dxa" w:w="2160"/>
          </w:tcPr>
          <w:p>
            <w:pPr>
              <w:spacing w:line="240" w:lineRule="auto" w:after="20"/>
            </w:pPr>
            <w:r/>
            <w:r>
              <w:rPr>
                <w:sz w:val="16"/>
              </w:rPr>
              <w:t>Exact (quadrature); n = 1 closed form; sharpness law asymptotic</w:t>
            </w:r>
          </w:p>
        </w:tc>
        <w:tc>
          <w:tcPr>
            <w:tcW w:type="dxa" w:w="2592"/>
          </w:tcPr>
          <w:p>
            <w:pPr>
              <w:spacing w:line="240" w:lineRule="auto" w:after="20"/>
            </w:pPr>
            <w:r/>
            <w:r>
              <w:rPr>
                <w:sz w:val="16"/>
              </w:rPr>
              <w:t>m = 1; no diffusion control</w:t>
            </w:r>
          </w:p>
        </w:tc>
        <w:tc>
          <w:tcPr>
            <w:tcW w:type="dxa" w:w="2880"/>
          </w:tcPr>
          <w:p>
            <w:pPr>
              <w:spacing w:line="240" w:lineRule="auto" w:after="20"/>
            </w:pPr>
            <w:r/>
            <w:r>
              <w:rPr>
                <w:sz w:val="16"/>
              </w:rPr>
              <w:t>Sharpness law only for n = 1 and b ≫ 9a; vitrification not modelled</w:t>
            </w:r>
          </w:p>
        </w:tc>
      </w:tr>
      <w:tr>
        <w:tc>
          <w:tcPr>
            <w:tcW w:type="dxa" w:w="2160"/>
          </w:tcPr>
          <w:p>
            <w:pPr>
              <w:spacing w:line="240" w:lineRule="auto" w:after="20"/>
            </w:pPr>
            <w:r/>
            <w:r>
              <w:rPr>
                <w:sz w:val="16"/>
              </w:rPr>
              <w:t>Storage conversion and σ</w:t>
            </w:r>
            <w:r>
              <w:rPr>
                <w:sz w:val="16"/>
                <w:vertAlign w:val="superscript"/>
              </w:rPr>
              <w:t>*</w:t>
            </w:r>
            <w:r>
              <w:rPr>
                <w:sz w:val="16"/>
              </w:rPr>
              <w:t xml:space="preserve"> (Prop. 3)</w:t>
            </w:r>
          </w:p>
        </w:tc>
        <w:tc>
          <w:tcPr>
            <w:tcW w:type="dxa" w:w="2160"/>
          </w:tcPr>
          <w:p>
            <w:pPr>
              <w:spacing w:line="240" w:lineRule="auto" w:after="20"/>
            </w:pPr>
            <w:r/>
            <w:r>
              <w:rPr>
                <w:sz w:val="16"/>
              </w:rPr>
              <w:t>Linearized closed form; probit approximation; verified to a few percent</w:t>
            </w:r>
          </w:p>
        </w:tc>
        <w:tc>
          <w:tcPr>
            <w:tcW w:type="dxa" w:w="2592"/>
          </w:tcPr>
          <w:p>
            <w:pPr>
              <w:spacing w:line="240" w:lineRule="auto" w:after="20"/>
            </w:pPr>
            <w:r/>
            <w:r>
              <w:rPr>
                <w:sz w:val="16"/>
              </w:rPr>
              <w:t>Gaussian spread; equal-mass independent capsules; small conversion</w:t>
            </w:r>
          </w:p>
        </w:tc>
        <w:tc>
          <w:tcPr>
            <w:tcW w:type="dxa" w:w="2880"/>
          </w:tcPr>
          <w:p>
            <w:pPr>
              <w:spacing w:line="240" w:lineRule="auto" w:after="20"/>
            </w:pPr>
            <w:r/>
            <w:r>
              <w:rPr>
                <w:sz w:val="16"/>
              </w:rPr>
              <w:t>Large tolerance (η ≳ 0.05); skewed or bimodal distributions; capsule–capsule heat exchange</w:t>
            </w:r>
          </w:p>
        </w:tc>
      </w:tr>
      <w:tr>
        <w:tc>
          <w:tcPr>
            <w:tcW w:type="dxa" w:w="2160"/>
          </w:tcPr>
          <w:p>
            <w:pPr>
              <w:spacing w:line="240" w:lineRule="auto" w:after="20"/>
            </w:pPr>
            <w:r/>
            <w:r>
              <w:rPr>
                <w:sz w:val="16"/>
              </w:rPr>
              <w:t>Critical number (Prop. 4)</w:t>
            </w:r>
          </w:p>
        </w:tc>
        <w:tc>
          <w:tcPr>
            <w:tcW w:type="dxa" w:w="2160"/>
          </w:tcPr>
          <w:p>
            <w:pPr>
              <w:spacing w:line="240" w:lineRule="auto" w:after="20"/>
            </w:pPr>
            <w:r/>
            <w:r>
              <w:rPr>
                <w:sz w:val="16"/>
              </w:rPr>
              <w:t>Frozen-conversion fold, closed form; operational thresholds numerical</w:t>
            </w:r>
          </w:p>
        </w:tc>
        <w:tc>
          <w:tcPr>
            <w:tcW w:type="dxa" w:w="2592"/>
          </w:tcPr>
          <w:p>
            <w:pPr>
              <w:spacing w:line="240" w:lineRule="auto" w:after="20"/>
            </w:pPr>
            <w:r/>
            <w:r>
              <w:rPr>
                <w:sz w:val="16"/>
              </w:rPr>
              <w:t>Exponential comparison model; ungated; Θ → 0</w:t>
            </w:r>
          </w:p>
        </w:tc>
        <w:tc>
          <w:tcPr>
            <w:tcW w:type="dxa" w:w="2880"/>
          </w:tcPr>
          <w:p>
            <w:pPr>
              <w:spacing w:line="240" w:lineRule="auto" w:after="20"/>
            </w:pPr>
            <w:r/>
            <w:r>
              <w:rPr>
                <w:sz w:val="16"/>
              </w:rPr>
              <w:t>Finite Θ shifts Π</w:t>
            </w:r>
            <w:r>
              <w:rPr>
                <w:sz w:val="16"/>
                <w:vertAlign w:val="subscript"/>
              </w:rPr>
              <w:t>c</w:t>
            </w:r>
            <w:r>
              <w:rPr>
                <w:sz w:val="16"/>
              </w:rPr>
              <w:t xml:space="preserve"> upward (computed only); whether the fold marks ignition of a finite batch is numerical; spatial gradients absent</w:t>
            </w:r>
          </w:p>
        </w:tc>
      </w:tr>
      <w:tr>
        <w:tc>
          <w:tcPr>
            <w:tcW w:type="dxa" w:w="2160"/>
          </w:tcPr>
          <w:p>
            <w:pPr>
              <w:spacing w:line="240" w:lineRule="auto" w:after="20"/>
            </w:pPr>
            <w:r/>
            <w:r>
              <w:rPr>
                <w:sz w:val="16"/>
              </w:rPr>
              <w:t>Arrhenius factor</w:t>
            </w:r>
          </w:p>
        </w:tc>
        <w:tc>
          <w:tcPr>
            <w:tcW w:type="dxa" w:w="2160"/>
          </w:tcPr>
          <w:p>
            <w:pPr>
              <w:spacing w:line="240" w:lineRule="auto" w:after="20"/>
            </w:pPr>
            <w:r/>
            <w:r>
              <w:rPr>
                <w:sz w:val="16"/>
              </w:rPr>
              <w:t>Frozen-fold factor (exact for one Arrhenius source); exp(1/Ar) first-order</w:t>
            </w:r>
          </w:p>
        </w:tc>
        <w:tc>
          <w:tcPr>
            <w:tcW w:type="dxa" w:w="2592"/>
          </w:tcPr>
          <w:p>
            <w:pPr>
              <w:spacing w:line="240" w:lineRule="auto" w:after="20"/>
            </w:pPr>
            <w:r/>
            <w:r>
              <w:rPr>
                <w:sz w:val="16"/>
              </w:rPr>
              <w:t>Single Arrhenius source for the fold</w:t>
            </w:r>
          </w:p>
        </w:tc>
        <w:tc>
          <w:tcPr>
            <w:tcW w:type="dxa" w:w="2880"/>
          </w:tcPr>
          <w:p>
            <w:pPr>
              <w:spacing w:line="240" w:lineRule="auto" w:after="20"/>
            </w:pPr>
            <w:r/>
            <w:r>
              <w:rPr>
                <w:sz w:val="16"/>
              </w:rPr>
              <w:t>Tested only for Ar = 18.0–19.9 and Θ ≤ 0.1; not tested at small Ar</w:t>
            </w:r>
          </w:p>
        </w:tc>
      </w:tr>
      <w:tr>
        <w:tc>
          <w:tcPr>
            <w:tcW w:type="dxa" w:w="2160"/>
          </w:tcPr>
          <w:p>
            <w:pPr>
              <w:spacing w:line="240" w:lineRule="auto" w:after="20"/>
            </w:pPr>
            <w:r/>
            <w:r>
              <w:rPr>
                <w:sz w:val="16"/>
              </w:rPr>
              <w:t>Flow reactor multiplicity (Prop. 5)</w:t>
            </w:r>
          </w:p>
        </w:tc>
        <w:tc>
          <w:tcPr>
            <w:tcW w:type="dxa" w:w="2160"/>
          </w:tcPr>
          <w:p>
            <w:pPr>
              <w:spacing w:line="240" w:lineRule="auto" w:after="20"/>
            </w:pPr>
            <w:r/>
            <w:r>
              <w:rPr>
                <w:sz w:val="16"/>
              </w:rPr>
              <w:t>Exact for the stated model</w:t>
            </w:r>
          </w:p>
        </w:tc>
        <w:tc>
          <w:tcPr>
            <w:tcW w:type="dxa" w:w="2592"/>
          </w:tcPr>
          <w:p>
            <w:pPr>
              <w:spacing w:line="240" w:lineRule="auto" w:after="20"/>
            </w:pPr>
            <w:r/>
            <w:r>
              <w:rPr>
                <w:sz w:val="16"/>
              </w:rPr>
              <w:t>Perfect mixing; exponential model; ungated; ϑ, ψ fixed</w:t>
            </w:r>
          </w:p>
        </w:tc>
        <w:tc>
          <w:tcPr>
            <w:tcW w:type="dxa" w:w="2880"/>
          </w:tcPr>
          <w:p>
            <w:pPr>
              <w:spacing w:line="240" w:lineRule="auto" w:after="20"/>
            </w:pPr>
            <w:r/>
            <w:r>
              <w:rPr>
                <w:sz w:val="16"/>
              </w:rPr>
              <w:t>Real reactors: finite mixing time, wall–fluid temperature difference</w:t>
            </w:r>
          </w:p>
        </w:tc>
      </w:tr>
      <w:tr>
        <w:tc>
          <w:tcPr>
            <w:tcW w:type="dxa" w:w="2160"/>
          </w:tcPr>
          <w:p>
            <w:pPr>
              <w:spacing w:line="240" w:lineRule="auto" w:after="20"/>
            </w:pPr>
            <w:r/>
            <w:r>
              <w:rPr>
                <w:sz w:val="16"/>
              </w:rPr>
              <w:t>Flow reactor stability</w:t>
            </w:r>
          </w:p>
        </w:tc>
        <w:tc>
          <w:tcPr>
            <w:tcW w:type="dxa" w:w="2160"/>
          </w:tcPr>
          <w:p>
            <w:pPr>
              <w:spacing w:line="240" w:lineRule="auto" w:after="20"/>
            </w:pPr>
            <w:r/>
            <w:r>
              <w:rPr>
                <w:sz w:val="16"/>
              </w:rPr>
              <w:t>Jacobian exact; stable window computed; checked by simulation</w:t>
            </w:r>
          </w:p>
        </w:tc>
        <w:tc>
          <w:tcPr>
            <w:tcW w:type="dxa" w:w="2592"/>
          </w:tcPr>
          <w:p>
            <w:pPr>
              <w:spacing w:line="240" w:lineRule="auto" w:after="20"/>
            </w:pPr>
            <w:r/>
            <w:r>
              <w:rPr>
                <w:sz w:val="16"/>
              </w:rPr>
              <w:t>As above</w:t>
            </w:r>
          </w:p>
        </w:tc>
        <w:tc>
          <w:tcPr>
            <w:tcW w:type="dxa" w:w="2880"/>
          </w:tcPr>
          <w:p>
            <w:pPr>
              <w:spacing w:line="240" w:lineRule="auto" w:after="20"/>
            </w:pPr>
            <w:r/>
            <w:r>
              <w:rPr>
                <w:sz w:val="16"/>
              </w:rPr>
              <w:t>Loss of stability at the Hopf-type point studied for ψ = 20 only; unstable cycle not computed</w:t>
            </w:r>
          </w:p>
        </w:tc>
      </w:tr>
      <w:tr>
        <w:tc>
          <w:tcPr>
            <w:tcW w:type="dxa" w:w="2160"/>
          </w:tcPr>
          <w:p>
            <w:pPr>
              <w:spacing w:line="240" w:lineRule="auto" w:after="20"/>
            </w:pPr>
            <w:r/>
            <w:r>
              <w:rPr>
                <w:sz w:val="16"/>
              </w:rPr>
              <w:t>Parameter recovery (III F)</w:t>
            </w:r>
          </w:p>
        </w:tc>
        <w:tc>
          <w:tcPr>
            <w:tcW w:type="dxa" w:w="2160"/>
          </w:tcPr>
          <w:p>
            <w:pPr>
              <w:spacing w:line="240" w:lineRule="auto" w:after="20"/>
            </w:pPr>
            <w:r/>
            <w:r>
              <w:rPr>
                <w:sz w:val="16"/>
              </w:rPr>
              <w:t>Numerical experiment</w:t>
            </w:r>
          </w:p>
        </w:tc>
        <w:tc>
          <w:tcPr>
            <w:tcW w:type="dxa" w:w="2592"/>
          </w:tcPr>
          <w:p>
            <w:pPr>
              <w:spacing w:line="240" w:lineRule="auto" w:after="20"/>
            </w:pPr>
            <w:r/>
            <w:r>
              <w:rPr>
                <w:sz w:val="16"/>
              </w:rPr>
              <w:t xml:space="preserve">Gaussian noise; population ODE as truth; known </w:t>
            </w:r>
            <w:r>
              <w:rPr>
                <w:i/>
                <w:sz w:val="16"/>
              </w:rPr>
              <w:t>w</w:t>
            </w:r>
            <w:r>
              <w:rPr>
                <w:sz w:val="16"/>
                <w:vertAlign w:val="subscript"/>
              </w:rPr>
              <w:t>0</w:t>
            </w:r>
          </w:p>
        </w:tc>
        <w:tc>
          <w:tcPr>
            <w:tcW w:type="dxa" w:w="2880"/>
          </w:tcPr>
          <w:p>
            <w:pPr>
              <w:spacing w:line="240" w:lineRule="auto" w:after="20"/>
            </w:pPr>
            <w:r/>
            <w:r>
              <w:rPr>
                <w:sz w:val="16"/>
              </w:rPr>
              <w:t>Not a test on real calorimetry</w:t>
            </w:r>
          </w:p>
        </w:tc>
      </w:tr>
    </w:tbl>
    <w:p>
      <w:pPr>
        <w:spacing w:after="40"/>
      </w:pPr>
    </w:p>
    <w:p>
      <w:pPr>
        <w:keepNext w:val="0"/>
        <w:jc w:val="both"/>
      </w:pPr>
      <w:r>
        <w:t>Three approximations carry the paper: the lumped, well-mixed energy balance; the exponential linearization of the Arrhenius law near the fold; and the Gaussian, independent-capsule description of the population. The first is a deliberate scope limit and the second is quantified (Table 5); the third is tested only against population equations that use the same description.</w:t>
      </w:r>
    </w:p>
    <w:p>
      <w:pPr>
        <w:pStyle w:val="Heading1"/>
      </w:pPr>
      <w:r>
        <w:rPr>
          <w:rFonts w:ascii="Times New Roman" w:hAnsi="Times New Roman"/>
        </w:rPr>
        <w:t>V. Falsifiable signatures</w:t>
      </w:r>
    </w:p>
    <w:p>
      <w:pPr>
        <w:keepNext w:val="0"/>
        <w:jc w:val="both"/>
      </w:pPr>
      <w:r>
        <w:t xml:space="preserve">Each proposition predicts a measurement that a standard calorimetric or rheological experiment can make; none has been made here. (1) </w:t>
      </w:r>
      <w:r>
        <w:rPr>
          <w:i/>
        </w:rPr>
        <w:t>Availability clock.</w:t>
      </w:r>
      <w:r>
        <w:t xml:space="preserve"> Isothermal DSC at several temperatures above the melting endotherm, comparing the gated resin with the same resin with the catalyst dissolved, should give a delay that depends on conversion as Eq. (6) and approaches τ</w:t>
      </w:r>
      <w:r>
        <w:rPr>
          <w:vertAlign w:val="subscript"/>
        </w:rPr>
        <w:t>rel</w:t>
      </w:r>
      <w:r>
        <w:t xml:space="preserve">(T) at late conversion; a conversion-dependent delay does not falsify the single-availability-function description, which predicts it. What would falsify it is a failure of the measured gated curves, replotted on the integrated-availability clock (measured independently, for example by release assays), to collapse onto the ungated curve. (2) </w:t>
      </w:r>
      <w:r>
        <w:rPr>
          <w:i/>
        </w:rPr>
        <w:t>Storage bound.</w:t>
      </w:r>
      <w:r>
        <w:t xml:space="preserve"> The melting endotherm gives T</w:t>
      </w:r>
      <w:r>
        <w:rPr>
          <w:vertAlign w:val="subscript"/>
        </w:rPr>
        <w:t>m</w:t>
      </w:r>
      <w:r>
        <w:t xml:space="preserve"> and σ; isothermal storage at a margin Δ for a time t should then give a conversion within a few tens of percent of Eq. (11); a systematically larger conversion would indicate a tail of capsules with low melting temperature that the Gaussian description misses. (3) </w:t>
      </w:r>
      <w:r>
        <w:rPr>
          <w:i/>
        </w:rPr>
        <w:t>Critical thermal time constant.</w:t>
      </w:r>
      <w:r>
        <w:t xml:space="preserve"> At fixed T</w:t>
      </w:r>
      <w:r>
        <w:rPr>
          <w:vertAlign w:val="subscript"/>
        </w:rPr>
        <w:t>∞</w:t>
      </w:r>
      <w:r>
        <w:t>, specimens of increasing thickness (τ</w:t>
      </w:r>
      <w:r>
        <w:rPr>
          <w:vertAlign w:val="subscript"/>
        </w:rPr>
        <w:t>th</w:t>
      </w:r>
      <w:r>
        <w:t xml:space="preserve"> grows as thickness squared) should show a rapid rise of the peak temperature rise at an operational threshold near Π</w:t>
      </w:r>
      <w:r>
        <w:rPr>
          <w:vertAlign w:val="subscript"/>
        </w:rPr>
        <w:t>c</w:t>
      </w:r>
      <w:r>
        <w:t>/(ψk</w:t>
      </w:r>
      <w:r>
        <w:rPr>
          <w:vertAlign w:val="subscript"/>
        </w:rPr>
        <w:t>2</w:t>
      </w:r>
      <w:r>
        <w:t>), with the Arrhenius factor of Eq. (15); the abruptness of the rise, from O(Θ) to O(ΔT</w:t>
      </w:r>
      <w:r>
        <w:rPr>
          <w:vertAlign w:val="subscript"/>
        </w:rPr>
        <w:t>ad</w:t>
      </w:r>
      <w:r>
        <w:t xml:space="preserve">), is the signature of the fold. (4) </w:t>
      </w:r>
      <w:r>
        <w:rPr>
          <w:i/>
        </w:rPr>
        <w:t>Static hysteresis.</w:t>
      </w:r>
      <w:r>
        <w:t xml:space="preserve"> In a continuously fed reactor with flow rate and wall time constant held fixed, a temperature sweep (the path of Section III E) should give a loop whose area converges to a nonzero limit as the sweep slows when ψ is sufficiently above its threshold, and to zero when κ &lt; κ</w:t>
      </w:r>
      <w:r>
        <w:rPr>
          <w:vertAlign w:val="subscript"/>
        </w:rPr>
        <w:t>c</w:t>
      </w:r>
      <w:r>
        <w:t>; a loop that closes as the sweep slows is rate dependent and not bistability. A sweep of the flow rate at fixed temperature is a different path (ϑ changes) and is not covered by the analysis.</w:t>
      </w:r>
    </w:p>
    <w:p>
      <w:pPr>
        <w:pStyle w:val="Heading1"/>
      </w:pPr>
      <w:r>
        <w:rPr>
          <w:rFonts w:ascii="Times New Roman" w:hAnsi="Times New Roman"/>
        </w:rPr>
        <w:t>VI. Open problems</w:t>
      </w:r>
    </w:p>
    <w:p>
      <w:pPr>
        <w:keepNext w:val="0"/>
        <w:jc w:val="both"/>
      </w:pPr>
      <w:r>
        <w:t xml:space="preserve">(a) </w:t>
      </w:r>
      <w:r>
        <w:rPr>
          <w:i/>
        </w:rPr>
        <w:t>Spatial extension.</w:t>
      </w:r>
      <w:r>
        <w:t xml:space="preserve"> The lumped balance replaces the classical slab, cylinder or sphere. The critical Frank-Kamenetskii parameter of a consuming, autocatalytic source in a spatially resolved specimen, and its relation to Π</w:t>
      </w:r>
      <w:r>
        <w:rPr>
          <w:vertAlign w:val="subscript"/>
        </w:rPr>
        <w:t>c</w:t>
      </w:r>
      <w:r>
        <w:t xml:space="preserve"> above, are open. (b) </w:t>
      </w:r>
      <w:r>
        <w:rPr>
          <w:i/>
        </w:rPr>
        <w:t>Finite-Θ correction.</w:t>
      </w:r>
      <w:r>
        <w:t xml:space="preserve"> The upward shift of Π</w:t>
      </w:r>
      <w:r>
        <w:rPr>
          <w:vertAlign w:val="subscript"/>
        </w:rPr>
        <w:t>c</w:t>
      </w:r>
      <w:r>
        <w:t xml:space="preserve"> with Θ is computed numerically; a closed-form first correction would complete Proposition 4. (c) </w:t>
      </w:r>
      <w:r>
        <w:rPr>
          <w:i/>
        </w:rPr>
        <w:t>Nature of the Hopf-type point.</w:t>
      </w:r>
      <w:r>
        <w:t xml:space="preserve"> Whether the loss of stability of the upper branch of the flow reactor is sub- or supercritical in general, and the unstable cycle that mediates it, were studied only for ψ = 20. (d) </w:t>
      </w:r>
      <w:r>
        <w:rPr>
          <w:i/>
        </w:rPr>
        <w:t>Non-Gaussian populations.</w:t>
      </w:r>
      <w:r>
        <w:t xml:space="preserve"> Proposition 3 needs only the lower tail of the melting-temperature distribution; skewed and bimodal distributions, and capsule–capsule heat exchange, are untested. (e) </w:t>
      </w:r>
      <w:r>
        <w:rPr>
          <w:i/>
        </w:rPr>
        <w:t>Diffusion control and vitrification.</w:t>
      </w:r>
      <w:r>
        <w:t xml:space="preserve"> These stop the cure before completion and change the late-time tail of Proposition 2. (f) </w:t>
      </w:r>
      <w:r>
        <w:rPr>
          <w:i/>
        </w:rPr>
        <w:t>Noise.</w:t>
      </w:r>
      <w:r>
        <w:t xml:space="preserve"> In small specimens or flow channels the fold may be crossed by fluctuations. (g) </w:t>
      </w:r>
      <w:r>
        <w:rPr>
          <w:i/>
        </w:rPr>
        <w:t>Experiment.</w:t>
      </w:r>
      <w:r>
        <w:t xml:space="preserve"> The propositions are untested on a real encapsulated system; the signatures of Section V are the proposed tests.</w:t>
      </w:r>
    </w:p>
    <w:p>
      <w:pPr>
        <w:pStyle w:val="Heading1"/>
      </w:pPr>
      <w:r>
        <w:rPr>
          <w:rFonts w:ascii="Times New Roman" w:hAnsi="Times New Roman"/>
        </w:rPr>
        <w:t>VII. Conclusion</w:t>
      </w:r>
    </w:p>
    <w:p>
      <w:pPr>
        <w:keepNext w:val="0"/>
        <w:jc w:val="both"/>
      </w:pPr>
      <w:r>
        <w:t>For the lumped model of a melt-gated autocatalytic cure, several statements can be made exactly or in closed form. The gated cure at constant temperature is the isothermal cure on the clock of integrated availability, and the delay of a fully open population is τ</w:t>
      </w:r>
      <w:r>
        <w:rPr>
          <w:vertAlign w:val="subscript"/>
        </w:rPr>
        <w:t>rel</w:t>
      </w:r>
      <w:r>
        <w:t>[1 − exp(−t/τ</w:t>
      </w:r>
      <w:r>
        <w:rPr>
          <w:vertAlign w:val="subscript"/>
        </w:rPr>
        <w:t>rel</w:t>
      </w:r>
      <w:r>
        <w:t>)] (Proposition 1). The isothermal cure time is exact by quadrature, and the n = 1 sharpness is a logarithm of the rate-constant ratio (Proposition 2). The storage conversion of a Gaussian capsule population is (a/b)[exp(b f t</w:t>
      </w:r>
      <w:r>
        <w:rPr>
          <w:vertAlign w:val="subscript"/>
        </w:rPr>
        <w:t>eff</w:t>
      </w:r>
      <w:r>
        <w:t>) − 1], which inverts into a bound on the melting-temperature spread (Proposition 3). The frozen-conversion thermal balance has a critical number (1+n)</w:t>
      </w:r>
      <w:r>
        <w:rPr>
          <w:vertAlign w:val="superscript"/>
        </w:rPr>
        <w:t>1+n</w:t>
      </w:r>
      <w:r>
        <w:t>/[e n</w:t>
      </w:r>
      <w:r>
        <w:rPr>
          <w:vertAlign w:val="superscript"/>
        </w:rPr>
        <w:t>n</w:t>
      </w:r>
      <w:r>
        <w:t>(1+ε)</w:t>
      </w:r>
      <w:r>
        <w:rPr>
          <w:vertAlign w:val="superscript"/>
        </w:rPr>
        <w:t>1+n</w:t>
      </w:r>
      <w:r>
        <w:t>], with an Arrhenius correction that is close to exp(1/Ar) in the tested grid (Proposition 4). The continuous-flow reactor has three equilibria above κ</w:t>
      </w:r>
      <w:r>
        <w:rPr>
          <w:vertAlign w:val="subscript"/>
        </w:rPr>
        <w:t>c</w:t>
      </w:r>
      <w:r>
        <w:t>, but the upper branch can lose stability at a Hopf-type point before its fold, so the hysteresis window and its loop area must be computed from the stable states (Proposition 5). All results are tested against the full equations; none is tested against experiment, and the parameters are illustrative.</w:t>
      </w:r>
    </w:p>
    <w:p>
      <w:pPr>
        <w:pStyle w:val="Heading1"/>
      </w:pPr>
      <w:r>
        <w:rPr>
          <w:rFonts w:ascii="Times New Roman" w:hAnsi="Times New Roman"/>
        </w:rPr>
        <w:t>Declarations</w:t>
      </w:r>
    </w:p>
    <w:p>
      <w:pPr>
        <w:keepNext w:val="0"/>
        <w:jc w:val="both"/>
      </w:pPr>
      <w:r>
        <w:rPr>
          <w:b/>
        </w:rPr>
        <w:t>Funding.</w:t>
      </w:r>
      <w:r>
        <w:t xml:space="preserve"> The author received no funding for this work.</w:t>
      </w:r>
    </w:p>
    <w:p>
      <w:pPr>
        <w:keepNext w:val="0"/>
        <w:jc w:val="both"/>
      </w:pPr>
      <w:r>
        <w:rPr>
          <w:b/>
        </w:rPr>
        <w:t>Competing interests.</w:t>
      </w:r>
      <w:r>
        <w:t xml:space="preserve"> The author declares no competing interests.</w:t>
      </w:r>
    </w:p>
    <w:p>
      <w:pPr>
        <w:keepNext w:val="0"/>
        <w:jc w:val="both"/>
      </w:pPr>
      <w:r>
        <w:rPr>
          <w:b/>
        </w:rPr>
        <w:t>Author contributions.</w:t>
      </w:r>
      <w:r>
        <w:t xml:space="preserve"> Leon Sandler: conceptualization, methodology, software, formal analysis, investigation, writing – original draft, writing – review and editing, visualization.</w:t>
      </w:r>
    </w:p>
    <w:p>
      <w:pPr>
        <w:keepNext w:val="0"/>
        <w:jc w:val="both"/>
      </w:pPr>
      <w:r>
        <w:rPr>
          <w:b/>
        </w:rPr>
        <w:t>Use of artificial intelligence.</w:t>
      </w:r>
      <w:r>
        <w:t xml:space="preserve"> Claude Sonnet 5.5 (Anthropic) was used for derivations, code, figures and drafting as described in Section II C; the author is responsible for the content.</w:t>
      </w:r>
    </w:p>
    <w:p>
      <w:pPr>
        <w:keepNext w:val="0"/>
        <w:jc w:val="both"/>
      </w:pPr>
      <w:r>
        <w:rPr>
          <w:b/>
        </w:rPr>
        <w:t>Data availability.</w:t>
      </w:r>
      <w:r>
        <w:t xml:space="preserve"> The model code, the closed-form module, the tests, the figure scripts, the results file (results.json) and the manuscript builder are available at https://github.com/sandlerleon/gated-autocatalysis-criticality (release v1.1.0) and archived on Zenodo at https://doi.org/10.5281/zenodo.23225439; this manuscript is archived as a preprint at https://doi.org/10.5281/zenodo.23225440.</w:t>
      </w:r>
    </w:p>
    <w:p>
      <w:pPr>
        <w:pStyle w:val="Heading1"/>
      </w:pPr>
      <w:r>
        <w:rPr>
          <w:rFonts w:ascii="Times New Roman" w:hAnsi="Times New Roman"/>
        </w:rPr>
        <w:t>Appendix A. Numerical protocol, tolerances and convergence</w:t>
      </w:r>
    </w:p>
    <w:p>
      <w:pPr>
        <w:keepNext w:val="0"/>
        <w:jc w:val="both"/>
      </w:pPr>
      <w:r>
        <w:rPr>
          <w:i/>
        </w:rPr>
        <w:t>Reference integrator.</w:t>
      </w:r>
      <w:r>
        <w:t xml:space="preserve"> Eqs. (1)–(3) are integrated for all scenarios at once with a vectorized fixed-step fourth-order Runge–Kutta scheme (step 0.01 min for Sections III A and III B, 0.05 min for the population runs of III C; end time 150 min for storage, 300–600 min for cure times). Conversion is limited to [0, 1] and the reaction heat is ΔT</w:t>
      </w:r>
      <w:r>
        <w:rPr>
          <w:vertAlign w:val="subscript"/>
        </w:rPr>
        <w:t>ad</w:t>
      </w:r>
      <w:r>
        <w:t xml:space="preserve"> dα/dt without cut-off, so the energy balance is conserved: in the adiabatic limit the integrated temperature rise equals ΔT</w:t>
      </w:r>
      <w:r>
        <w:rPr>
          <w:vertAlign w:val="subscript"/>
        </w:rPr>
        <w:t>ad</w:t>
      </w:r>
      <w:r>
        <w:t>α to 6.2e-08 K (Section II, test_theory.py). Capsule populations use K = 801 deterministic Gaussian quantiles z</w:t>
      </w:r>
      <w:r>
        <w:rPr>
          <w:vertAlign w:val="subscript"/>
        </w:rPr>
        <w:t>i</w:t>
      </w:r>
      <w:r>
        <w:t xml:space="preserve"> = Φ</w:t>
      </w:r>
      <w:r>
        <w:rPr>
          <w:vertAlign w:val="superscript"/>
        </w:rPr>
        <w:t>−1</w:t>
      </w:r>
      <w:r>
        <w:t>[(i − 1/2)/K]. Convergence: relative to K = 3201 the storage conversion at K = 801 differs by at most 1.0e-02, and relative to step 0.0125 min the step 0.05 min differs by at most 3.1e-14 (Table 9; difference = value/reference − 1).</w:t>
      </w:r>
    </w:p>
    <w:p>
      <w:pPr>
        <w:keepNext w:val="0"/>
        <w:jc w:val="both"/>
      </w:pPr>
      <w:r>
        <w:rPr>
          <w:i/>
        </w:rPr>
        <w:t>Adaptive integrations.</w:t>
      </w:r>
      <w:r>
        <w:t xml:space="preserve"> The exponential-model criticality problem is integrated with LSODA (rtol 10</w:t>
      </w:r>
      <w:r>
        <w:rPr>
          <w:vertAlign w:val="superscript"/>
        </w:rPr>
        <w:t>−9</w:t>
      </w:r>
      <w:r>
        <w:t>, atol 10</w:t>
      </w:r>
      <w:r>
        <w:rPr>
          <w:vertAlign w:val="superscript"/>
        </w:rPr>
        <w:t>−13</w:t>
      </w:r>
      <w:r>
        <w:t>, max step 0.02, end time 40/k</w:t>
      </w:r>
      <w:r>
        <w:rPr>
          <w:vertAlign w:val="subscript"/>
        </w:rPr>
        <w:t>2</w:t>
      </w:r>
      <w:r>
        <w:t>); the Arrhenius criticality problem with LSODA (rtol 10</w:t>
      </w:r>
      <w:r>
        <w:rPr>
          <w:vertAlign w:val="superscript"/>
        </w:rPr>
        <w:t>−8</w:t>
      </w:r>
      <w:r>
        <w:t>, atol 10</w:t>
      </w:r>
      <w:r>
        <w:rPr>
          <w:vertAlign w:val="superscript"/>
        </w:rPr>
        <w:t>−12</w:t>
      </w:r>
      <w:r>
        <w:t>, end time 60/k</w:t>
      </w:r>
      <w:r>
        <w:rPr>
          <w:vertAlign w:val="subscript"/>
        </w:rPr>
        <w:t>2</w:t>
      </w:r>
      <w:r>
        <w:t>, temperature floored at 200 K in the rate); the flow reactor with LSODA (rtol 10</w:t>
      </w:r>
      <w:r>
        <w:rPr>
          <w:vertAlign w:val="superscript"/>
        </w:rPr>
        <w:t>−8</w:t>
      </w:r>
      <w:r>
        <w:t>, atol 10</w:t>
      </w:r>
      <w:r>
        <w:rPr>
          <w:vertAlign w:val="superscript"/>
        </w:rPr>
        <w:t>−12</w:t>
      </w:r>
      <w:r>
        <w:t>, max step min(0.5, 0.02/v)); fixed-D attractor runs with LSODA (rtol 10</w:t>
      </w:r>
      <w:r>
        <w:rPr>
          <w:vertAlign w:val="superscript"/>
        </w:rPr>
        <w:t>−11</w:t>
      </w:r>
      <w:r>
        <w:t>, atol 10</w:t>
      </w:r>
      <w:r>
        <w:rPr>
          <w:vertAlign w:val="superscript"/>
        </w:rPr>
        <w:t>−14</w:t>
      </w:r>
      <w:r>
        <w:t>, end time 3000 residence times; the last 10 % is used to classify the state); constant-temperature delay checks with RK45 (rtol 10</w:t>
      </w:r>
      <w:r>
        <w:rPr>
          <w:vertAlign w:val="superscript"/>
        </w:rPr>
        <w:t>−12</w:t>
      </w:r>
      <w:r>
        <w:t>).</w:t>
      </w:r>
    </w:p>
    <w:p>
      <w:pPr>
        <w:keepNext w:val="0"/>
        <w:jc w:val="both"/>
      </w:pPr>
      <w:r>
        <w:rPr>
          <w:i/>
        </w:rPr>
        <w:t>Thresholds.</w:t>
      </w:r>
      <w:r>
        <w:t xml:space="preserve"> The operational critical number is the Π (exponential model, bracket [0.3, 8], 30 bisection steps) or the adiabatic rise (Arrhenius model, bracket [3, 8000] K in logarithm, 26 steps) at which the integrated peak temperature rise (T</w:t>
      </w:r>
      <w:r>
        <w:rPr>
          <w:vertAlign w:val="subscript"/>
        </w:rPr>
        <w:t>max</w:t>
      </w:r>
      <w:r>
        <w:t xml:space="preserve"> − T</w:t>
      </w:r>
      <w:r>
        <w:rPr>
          <w:vertAlign w:val="subscript"/>
        </w:rPr>
        <w:t>∞</w:t>
      </w:r>
      <w:r>
        <w:t>)/ΔT</w:t>
      </w:r>
      <w:r>
        <w:rPr>
          <w:vertAlign w:val="subscript"/>
        </w:rPr>
        <w:t>ad</w:t>
      </w:r>
      <w:r>
        <w:t xml:space="preserve"> first exceeds 0.3, starting from T(0) = T</w:t>
      </w:r>
      <w:r>
        <w:rPr>
          <w:vertAlign w:val="subscript"/>
        </w:rPr>
        <w:t>∞</w:t>
      </w:r>
      <w:r>
        <w:t xml:space="preserve">. </w:t>
      </w:r>
      <w:r>
        <w:rPr>
          <w:i/>
        </w:rPr>
        <w:t>Sweeps.</w:t>
      </w:r>
      <w:r>
        <w:t xml:space="preserve"> Start at (θ, α) = (0, 0) at the lower bound of ln D (window lower edge minus 2), dwell 20 residence times, sweep up at rate v to the upper bound (window upper edge plus 2), dwell 20, sweep down, dwell 20; the area is the signed integral of α d ln D over the two sweep legs (output step 0.05). </w:t>
      </w:r>
      <w:r>
        <w:rPr>
          <w:i/>
        </w:rPr>
        <w:t>Design bound.</w:t>
      </w:r>
      <w:r>
        <w:t xml:space="preserve"> σ</w:t>
      </w:r>
      <w:r>
        <w:rPr>
          <w:vertAlign w:val="superscript"/>
        </w:rPr>
        <w:t>*</w:t>
      </w:r>
      <w:r>
        <w:t xml:space="preserve"> from Eq. (12) with </w:t>
      </w:r>
      <w:r>
        <w:rPr>
          <w:i/>
        </w:rPr>
        <w:t>w</w:t>
      </w:r>
      <w:r>
        <w:rPr>
          <w:vertAlign w:val="subscript"/>
        </w:rPr>
        <w:t>0</w:t>
      </w:r>
      <w:r>
        <w:t xml:space="preserve"> = 0.5 °C; the ODE root is bracketed in [0.3, 40] °C (xtol 10</w:t>
      </w:r>
      <w:r>
        <w:rPr>
          <w:vertAlign w:val="superscript"/>
        </w:rPr>
        <w:t>−3</w:t>
      </w:r>
      <w:r>
        <w:t xml:space="preserve">). </w:t>
      </w:r>
      <w:r>
        <w:rPr>
          <w:i/>
        </w:rPr>
        <w:t>Recovery.</w:t>
      </w:r>
      <w:r>
        <w:t xml:space="preserve"> 200 noise realizations (seed 20261007, prior test seed 20261008), bounded least squares. </w:t>
      </w:r>
      <w:r>
        <w:rPr>
          <w:i/>
        </w:rPr>
        <w:t>Errors.</w:t>
      </w:r>
      <w:r>
        <w:t xml:space="preserve"> In every table, difference = closed form (or prediction)/numerical − 1. </w:t>
      </w:r>
      <w:r>
        <w:rPr>
          <w:i/>
        </w:rPr>
        <w:t>Software.</w:t>
      </w:r>
      <w:r>
        <w:t xml:space="preserve"> Python 3.11.9, NumPy 2.4.6, SciPy 1.17.1; release v1.1.0 of the repository contains the exact scripts and results.json.</w:t>
      </w:r>
    </w:p>
    <w:p>
      <w:pPr>
        <w:keepNext/>
        <w:spacing w:line="276" w:lineRule="auto" w:after="200"/>
      </w:pPr>
      <w:r>
        <w:rPr>
          <w:b/>
          <w:sz w:val="19"/>
        </w:rPr>
        <w:t>Table 9</w:t>
      </w:r>
      <w:r>
        <w:rPr>
          <w:sz w:val="19"/>
        </w:rPr>
        <w:t xml:space="preserve"> Convergence of the reference integrator with population size and step (storage conversion after 150 min, Δ = 6 °C, </w:t>
      </w:r>
      <w:r>
        <w:rPr>
          <w:i/>
          <w:sz w:val="19"/>
        </w:rPr>
        <w:t>w</w:t>
      </w:r>
      <w:r>
        <w:rPr>
          <w:sz w:val="19"/>
          <w:vertAlign w:val="subscript"/>
        </w:rPr>
        <w:t>0</w:t>
      </w:r>
      <w:r>
        <w:rPr>
          <w:sz w:val="19"/>
        </w:rPr>
        <w:t xml:space="preserve"> = 0.5 °C; the narrower spread σ = 2 °C is the tail-sensitive case).</w:t>
      </w:r>
    </w:p>
    <w:tbl>
      <w:tblPr>
        <w:tblStyle w:val="TableGrid"/>
        <w:tblW w:type="auto" w:w="0"/>
        <w:jc w:val="center"/>
        <w:tblLayout w:type="fixed"/>
        <w:tblLook w:firstColumn="1" w:firstRow="1" w:lastColumn="0" w:lastRow="0" w:noHBand="0" w:noVBand="1" w:val="04A0"/>
      </w:tblPr>
      <w:tblGrid>
        <w:gridCol w:w="2880"/>
        <w:gridCol w:w="1440"/>
        <w:gridCol w:w="1440"/>
        <w:gridCol w:w="2016"/>
        <w:gridCol w:w="1584"/>
      </w:tblGrid>
      <w:tr>
        <w:trPr>
          <w:tblHeader w:val="true"/>
        </w:trPr>
        <w:tc>
          <w:tcPr>
            <w:tcW w:type="dxa" w:w="2880"/>
            <w:shd w:val="clear" w:color="auto" w:fill="E7ECF1"/>
          </w:tcPr>
          <w:p>
            <w:pPr>
              <w:spacing w:line="240" w:lineRule="auto" w:after="20"/>
            </w:pPr>
            <w:r/>
            <w:r>
              <w:rPr>
                <w:b/>
                <w:sz w:val="16"/>
              </w:rPr>
              <w:t>Quantity</w:t>
            </w:r>
          </w:p>
        </w:tc>
        <w:tc>
          <w:tcPr>
            <w:tcW w:type="dxa" w:w="1440"/>
            <w:shd w:val="clear" w:color="auto" w:fill="E7ECF1"/>
          </w:tcPr>
          <w:p>
            <w:pPr>
              <w:spacing w:line="240" w:lineRule="auto" w:after="20"/>
            </w:pPr>
            <w:r/>
            <w:r>
              <w:rPr>
                <w:b/>
                <w:sz w:val="16"/>
              </w:rPr>
              <w:t>Setting</w:t>
            </w:r>
          </w:p>
        </w:tc>
        <w:tc>
          <w:tcPr>
            <w:tcW w:type="dxa" w:w="1440"/>
            <w:shd w:val="clear" w:color="auto" w:fill="E7ECF1"/>
          </w:tcPr>
          <w:p>
            <w:pPr>
              <w:spacing w:line="240" w:lineRule="auto" w:after="20"/>
            </w:pPr>
            <w:r/>
            <w:r>
              <w:rPr>
                <w:b/>
                <w:sz w:val="16"/>
              </w:rPr>
              <w:t>Value at setting</w:t>
            </w:r>
          </w:p>
        </w:tc>
        <w:tc>
          <w:tcPr>
            <w:tcW w:type="dxa" w:w="2016"/>
            <w:shd w:val="clear" w:color="auto" w:fill="E7ECF1"/>
          </w:tcPr>
          <w:p>
            <w:pPr>
              <w:spacing w:line="240" w:lineRule="auto" w:after="20"/>
            </w:pPr>
            <w:r/>
            <w:r>
              <w:rPr>
                <w:b/>
                <w:sz w:val="16"/>
              </w:rPr>
              <w:t>Reference</w:t>
            </w:r>
          </w:p>
        </w:tc>
        <w:tc>
          <w:tcPr>
            <w:tcW w:type="dxa" w:w="1584"/>
            <w:shd w:val="clear" w:color="auto" w:fill="E7ECF1"/>
          </w:tcPr>
          <w:p>
            <w:pPr>
              <w:spacing w:line="240" w:lineRule="auto" w:after="20"/>
            </w:pPr>
            <w:r/>
            <w:r>
              <w:rPr>
                <w:b/>
                <w:sz w:val="16"/>
              </w:rPr>
              <w:t>Relative difference</w:t>
            </w:r>
          </w:p>
        </w:tc>
      </w:tr>
      <w:tr>
        <w:tc>
          <w:tcPr>
            <w:tcW w:type="dxa" w:w="2880"/>
          </w:tcPr>
          <w:p>
            <w:pPr>
              <w:spacing w:line="240" w:lineRule="auto" w:after="20"/>
            </w:pPr>
            <w:r/>
            <w:r>
              <w:rPr>
                <w:sz w:val="16"/>
              </w:rPr>
              <w:t>Storage conversion (σ = 2 °C, Δ = 6 °C)</w:t>
            </w:r>
          </w:p>
        </w:tc>
        <w:tc>
          <w:tcPr>
            <w:tcW w:type="dxa" w:w="1440"/>
          </w:tcPr>
          <w:p>
            <w:pPr>
              <w:spacing w:line="240" w:lineRule="auto" w:after="20"/>
            </w:pPr>
            <w:r/>
            <w:r>
              <w:rPr>
                <w:sz w:val="16"/>
              </w:rPr>
              <w:t>K = 101</w:t>
            </w:r>
          </w:p>
        </w:tc>
        <w:tc>
          <w:tcPr>
            <w:tcW w:type="dxa" w:w="1440"/>
          </w:tcPr>
          <w:p>
            <w:pPr>
              <w:spacing w:line="240" w:lineRule="auto" w:after="20"/>
            </w:pPr>
            <w:r/>
            <w:r>
              <w:rPr>
                <w:sz w:val="16"/>
              </w:rPr>
              <w:t>0.000101</w:t>
            </w:r>
          </w:p>
        </w:tc>
        <w:tc>
          <w:tcPr>
            <w:tcW w:type="dxa" w:w="2016"/>
          </w:tcPr>
          <w:p>
            <w:pPr>
              <w:spacing w:line="240" w:lineRule="auto" w:after="20"/>
            </w:pPr>
            <w:r/>
            <w:r>
              <w:rPr>
                <w:sz w:val="16"/>
              </w:rPr>
              <w:t>0.000142 (K = 3201)</w:t>
            </w:r>
          </w:p>
        </w:tc>
        <w:tc>
          <w:tcPr>
            <w:tcW w:type="dxa" w:w="1584"/>
          </w:tcPr>
          <w:p>
            <w:pPr>
              <w:spacing w:line="240" w:lineRule="auto" w:after="20"/>
            </w:pPr>
            <w:r/>
            <w:r>
              <w:rPr>
                <w:sz w:val="16"/>
              </w:rPr>
              <w:t>-2.8e-01</w:t>
            </w:r>
          </w:p>
        </w:tc>
      </w:tr>
      <w:tr>
        <w:tc>
          <w:tcPr>
            <w:tcW w:type="dxa" w:w="2880"/>
          </w:tcPr>
          <w:p>
            <w:pPr>
              <w:spacing w:line="240" w:lineRule="auto" w:after="20"/>
            </w:pPr>
            <w:r/>
            <w:r>
              <w:rPr>
                <w:sz w:val="16"/>
              </w:rPr>
              <w:t>Storage conversion (σ = 2 °C, Δ = 6 °C)</w:t>
            </w:r>
          </w:p>
        </w:tc>
        <w:tc>
          <w:tcPr>
            <w:tcW w:type="dxa" w:w="1440"/>
          </w:tcPr>
          <w:p>
            <w:pPr>
              <w:spacing w:line="240" w:lineRule="auto" w:after="20"/>
            </w:pPr>
            <w:r/>
            <w:r>
              <w:rPr>
                <w:sz w:val="16"/>
              </w:rPr>
              <w:t>K = 201</w:t>
            </w:r>
          </w:p>
        </w:tc>
        <w:tc>
          <w:tcPr>
            <w:tcW w:type="dxa" w:w="1440"/>
          </w:tcPr>
          <w:p>
            <w:pPr>
              <w:spacing w:line="240" w:lineRule="auto" w:after="20"/>
            </w:pPr>
            <w:r/>
            <w:r>
              <w:rPr>
                <w:sz w:val="16"/>
              </w:rPr>
              <w:t>0.000124</w:t>
            </w:r>
          </w:p>
        </w:tc>
        <w:tc>
          <w:tcPr>
            <w:tcW w:type="dxa" w:w="2016"/>
          </w:tcPr>
          <w:p>
            <w:pPr>
              <w:spacing w:line="240" w:lineRule="auto" w:after="20"/>
            </w:pPr>
            <w:r/>
            <w:r>
              <w:rPr>
                <w:sz w:val="16"/>
              </w:rPr>
              <w:t>0.000142 (K = 3201)</w:t>
            </w:r>
          </w:p>
        </w:tc>
        <w:tc>
          <w:tcPr>
            <w:tcW w:type="dxa" w:w="1584"/>
          </w:tcPr>
          <w:p>
            <w:pPr>
              <w:spacing w:line="240" w:lineRule="auto" w:after="20"/>
            </w:pPr>
            <w:r/>
            <w:r>
              <w:rPr>
                <w:sz w:val="16"/>
              </w:rPr>
              <w:t>-1.3e-01</w:t>
            </w:r>
          </w:p>
        </w:tc>
      </w:tr>
      <w:tr>
        <w:tc>
          <w:tcPr>
            <w:tcW w:type="dxa" w:w="2880"/>
          </w:tcPr>
          <w:p>
            <w:pPr>
              <w:spacing w:line="240" w:lineRule="auto" w:after="20"/>
            </w:pPr>
            <w:r/>
            <w:r>
              <w:rPr>
                <w:sz w:val="16"/>
              </w:rPr>
              <w:t>Storage conversion (σ = 2 °C, Δ = 6 °C)</w:t>
            </w:r>
          </w:p>
        </w:tc>
        <w:tc>
          <w:tcPr>
            <w:tcW w:type="dxa" w:w="1440"/>
          </w:tcPr>
          <w:p>
            <w:pPr>
              <w:spacing w:line="240" w:lineRule="auto" w:after="20"/>
            </w:pPr>
            <w:r/>
            <w:r>
              <w:rPr>
                <w:sz w:val="16"/>
              </w:rPr>
              <w:t>K = 401</w:t>
            </w:r>
          </w:p>
        </w:tc>
        <w:tc>
          <w:tcPr>
            <w:tcW w:type="dxa" w:w="1440"/>
          </w:tcPr>
          <w:p>
            <w:pPr>
              <w:spacing w:line="240" w:lineRule="auto" w:after="20"/>
            </w:pPr>
            <w:r/>
            <w:r>
              <w:rPr>
                <w:sz w:val="16"/>
              </w:rPr>
              <w:t>0.000136</w:t>
            </w:r>
          </w:p>
        </w:tc>
        <w:tc>
          <w:tcPr>
            <w:tcW w:type="dxa" w:w="2016"/>
          </w:tcPr>
          <w:p>
            <w:pPr>
              <w:spacing w:line="240" w:lineRule="auto" w:after="20"/>
            </w:pPr>
            <w:r/>
            <w:r>
              <w:rPr>
                <w:sz w:val="16"/>
              </w:rPr>
              <w:t>0.000142 (K = 3201)</w:t>
            </w:r>
          </w:p>
        </w:tc>
        <w:tc>
          <w:tcPr>
            <w:tcW w:type="dxa" w:w="1584"/>
          </w:tcPr>
          <w:p>
            <w:pPr>
              <w:spacing w:line="240" w:lineRule="auto" w:after="20"/>
            </w:pPr>
            <w:r/>
            <w:r>
              <w:rPr>
                <w:sz w:val="16"/>
              </w:rPr>
              <w:t>-4.1e-02</w:t>
            </w:r>
          </w:p>
        </w:tc>
      </w:tr>
      <w:tr>
        <w:tc>
          <w:tcPr>
            <w:tcW w:type="dxa" w:w="2880"/>
          </w:tcPr>
          <w:p>
            <w:pPr>
              <w:spacing w:line="240" w:lineRule="auto" w:after="20"/>
            </w:pPr>
            <w:r/>
            <w:r>
              <w:rPr>
                <w:sz w:val="16"/>
              </w:rPr>
              <w:t>Storage conversion (σ = 2 °C, Δ = 6 °C)</w:t>
            </w:r>
          </w:p>
        </w:tc>
        <w:tc>
          <w:tcPr>
            <w:tcW w:type="dxa" w:w="1440"/>
          </w:tcPr>
          <w:p>
            <w:pPr>
              <w:spacing w:line="240" w:lineRule="auto" w:after="20"/>
            </w:pPr>
            <w:r/>
            <w:r>
              <w:rPr>
                <w:sz w:val="16"/>
              </w:rPr>
              <w:t>K = 801</w:t>
            </w:r>
          </w:p>
        </w:tc>
        <w:tc>
          <w:tcPr>
            <w:tcW w:type="dxa" w:w="1440"/>
          </w:tcPr>
          <w:p>
            <w:pPr>
              <w:spacing w:line="240" w:lineRule="auto" w:after="20"/>
            </w:pPr>
            <w:r/>
            <w:r>
              <w:rPr>
                <w:sz w:val="16"/>
              </w:rPr>
              <w:t>0.000140</w:t>
            </w:r>
          </w:p>
        </w:tc>
        <w:tc>
          <w:tcPr>
            <w:tcW w:type="dxa" w:w="2016"/>
          </w:tcPr>
          <w:p>
            <w:pPr>
              <w:spacing w:line="240" w:lineRule="auto" w:after="20"/>
            </w:pPr>
            <w:r/>
            <w:r>
              <w:rPr>
                <w:sz w:val="16"/>
              </w:rPr>
              <w:t>0.000142 (K = 3201)</w:t>
            </w:r>
          </w:p>
        </w:tc>
        <w:tc>
          <w:tcPr>
            <w:tcW w:type="dxa" w:w="1584"/>
          </w:tcPr>
          <w:p>
            <w:pPr>
              <w:spacing w:line="240" w:lineRule="auto" w:after="20"/>
            </w:pPr>
            <w:r/>
            <w:r>
              <w:rPr>
                <w:sz w:val="16"/>
              </w:rPr>
              <w:t>-1.0e-02</w:t>
            </w:r>
          </w:p>
        </w:tc>
      </w:tr>
      <w:tr>
        <w:tc>
          <w:tcPr>
            <w:tcW w:type="dxa" w:w="2880"/>
          </w:tcPr>
          <w:p>
            <w:pPr>
              <w:spacing w:line="240" w:lineRule="auto" w:after="20"/>
            </w:pPr>
            <w:r/>
            <w:r>
              <w:rPr>
                <w:sz w:val="16"/>
              </w:rPr>
              <w:t>Storage conversion (σ = 2 °C, Δ = 6 °C)</w:t>
            </w:r>
          </w:p>
        </w:tc>
        <w:tc>
          <w:tcPr>
            <w:tcW w:type="dxa" w:w="1440"/>
          </w:tcPr>
          <w:p>
            <w:pPr>
              <w:spacing w:line="240" w:lineRule="auto" w:after="20"/>
            </w:pPr>
            <w:r/>
            <w:r>
              <w:rPr>
                <w:sz w:val="16"/>
              </w:rPr>
              <w:t>K = 1601</w:t>
            </w:r>
          </w:p>
        </w:tc>
        <w:tc>
          <w:tcPr>
            <w:tcW w:type="dxa" w:w="1440"/>
          </w:tcPr>
          <w:p>
            <w:pPr>
              <w:spacing w:line="240" w:lineRule="auto" w:after="20"/>
            </w:pPr>
            <w:r/>
            <w:r>
              <w:rPr>
                <w:sz w:val="16"/>
              </w:rPr>
              <w:t>0.000142</w:t>
            </w:r>
          </w:p>
        </w:tc>
        <w:tc>
          <w:tcPr>
            <w:tcW w:type="dxa" w:w="2016"/>
          </w:tcPr>
          <w:p>
            <w:pPr>
              <w:spacing w:line="240" w:lineRule="auto" w:after="20"/>
            </w:pPr>
            <w:r/>
            <w:r>
              <w:rPr>
                <w:sz w:val="16"/>
              </w:rPr>
              <w:t>0.000142 (K = 3201)</w:t>
            </w:r>
          </w:p>
        </w:tc>
        <w:tc>
          <w:tcPr>
            <w:tcW w:type="dxa" w:w="1584"/>
          </w:tcPr>
          <w:p>
            <w:pPr>
              <w:spacing w:line="240" w:lineRule="auto" w:after="20"/>
            </w:pPr>
            <w:r/>
            <w:r>
              <w:rPr>
                <w:sz w:val="16"/>
              </w:rPr>
              <w:t>-2.0e-03</w:t>
            </w:r>
          </w:p>
        </w:tc>
      </w:tr>
      <w:tr>
        <w:tc>
          <w:tcPr>
            <w:tcW w:type="dxa" w:w="2880"/>
          </w:tcPr>
          <w:p>
            <w:pPr>
              <w:spacing w:line="240" w:lineRule="auto" w:after="20"/>
            </w:pPr>
            <w:r/>
            <w:r>
              <w:rPr>
                <w:sz w:val="16"/>
              </w:rPr>
              <w:t>Storage conversion (σ = 2 °C, Δ = 6 °C)</w:t>
            </w:r>
          </w:p>
        </w:tc>
        <w:tc>
          <w:tcPr>
            <w:tcW w:type="dxa" w:w="1440"/>
          </w:tcPr>
          <w:p>
            <w:pPr>
              <w:spacing w:line="240" w:lineRule="auto" w:after="20"/>
            </w:pPr>
            <w:r/>
            <w:r>
              <w:rPr>
                <w:sz w:val="16"/>
              </w:rPr>
              <w:t>step 0.2 min</w:t>
            </w:r>
          </w:p>
        </w:tc>
        <w:tc>
          <w:tcPr>
            <w:tcW w:type="dxa" w:w="1440"/>
          </w:tcPr>
          <w:p>
            <w:pPr>
              <w:spacing w:line="240" w:lineRule="auto" w:after="20"/>
            </w:pPr>
            <w:r/>
            <w:r>
              <w:rPr>
                <w:sz w:val="16"/>
              </w:rPr>
              <w:t>0.000140</w:t>
            </w:r>
          </w:p>
        </w:tc>
        <w:tc>
          <w:tcPr>
            <w:tcW w:type="dxa" w:w="2016"/>
          </w:tcPr>
          <w:p>
            <w:pPr>
              <w:spacing w:line="240" w:lineRule="auto" w:after="20"/>
            </w:pPr>
            <w:r/>
            <w:r>
              <w:rPr>
                <w:sz w:val="16"/>
              </w:rPr>
              <w:t>0.000140 (step 0.0125)</w:t>
            </w:r>
          </w:p>
        </w:tc>
        <w:tc>
          <w:tcPr>
            <w:tcW w:type="dxa" w:w="1584"/>
          </w:tcPr>
          <w:p>
            <w:pPr>
              <w:spacing w:line="240" w:lineRule="auto" w:after="20"/>
            </w:pPr>
            <w:r/>
            <w:r>
              <w:rPr>
                <w:sz w:val="16"/>
              </w:rPr>
              <w:t>+6.7e-15</w:t>
            </w:r>
          </w:p>
        </w:tc>
      </w:tr>
      <w:tr>
        <w:tc>
          <w:tcPr>
            <w:tcW w:type="dxa" w:w="2880"/>
          </w:tcPr>
          <w:p>
            <w:pPr>
              <w:spacing w:line="240" w:lineRule="auto" w:after="20"/>
            </w:pPr>
            <w:r/>
            <w:r>
              <w:rPr>
                <w:sz w:val="16"/>
              </w:rPr>
              <w:t>Storage conversion (σ = 2 °C, Δ = 6 °C)</w:t>
            </w:r>
          </w:p>
        </w:tc>
        <w:tc>
          <w:tcPr>
            <w:tcW w:type="dxa" w:w="1440"/>
          </w:tcPr>
          <w:p>
            <w:pPr>
              <w:spacing w:line="240" w:lineRule="auto" w:after="20"/>
            </w:pPr>
            <w:r/>
            <w:r>
              <w:rPr>
                <w:sz w:val="16"/>
              </w:rPr>
              <w:t>step 0.1 min</w:t>
            </w:r>
          </w:p>
        </w:tc>
        <w:tc>
          <w:tcPr>
            <w:tcW w:type="dxa" w:w="1440"/>
          </w:tcPr>
          <w:p>
            <w:pPr>
              <w:spacing w:line="240" w:lineRule="auto" w:after="20"/>
            </w:pPr>
            <w:r/>
            <w:r>
              <w:rPr>
                <w:sz w:val="16"/>
              </w:rPr>
              <w:t>0.000140</w:t>
            </w:r>
          </w:p>
        </w:tc>
        <w:tc>
          <w:tcPr>
            <w:tcW w:type="dxa" w:w="2016"/>
          </w:tcPr>
          <w:p>
            <w:pPr>
              <w:spacing w:line="240" w:lineRule="auto" w:after="20"/>
            </w:pPr>
            <w:r/>
            <w:r>
              <w:rPr>
                <w:sz w:val="16"/>
              </w:rPr>
              <w:t>0.000140 (step 0.0125)</w:t>
            </w:r>
          </w:p>
        </w:tc>
        <w:tc>
          <w:tcPr>
            <w:tcW w:type="dxa" w:w="1584"/>
          </w:tcPr>
          <w:p>
            <w:pPr>
              <w:spacing w:line="240" w:lineRule="auto" w:after="20"/>
            </w:pPr>
            <w:r/>
            <w:r>
              <w:rPr>
                <w:sz w:val="16"/>
              </w:rPr>
              <w:t>-1.6e-14</w:t>
            </w:r>
          </w:p>
        </w:tc>
      </w:tr>
      <w:tr>
        <w:tc>
          <w:tcPr>
            <w:tcW w:type="dxa" w:w="2880"/>
          </w:tcPr>
          <w:p>
            <w:pPr>
              <w:spacing w:line="240" w:lineRule="auto" w:after="20"/>
            </w:pPr>
            <w:r/>
            <w:r>
              <w:rPr>
                <w:sz w:val="16"/>
              </w:rPr>
              <w:t>Storage conversion (σ = 2 °C, Δ = 6 °C)</w:t>
            </w:r>
          </w:p>
        </w:tc>
        <w:tc>
          <w:tcPr>
            <w:tcW w:type="dxa" w:w="1440"/>
          </w:tcPr>
          <w:p>
            <w:pPr>
              <w:spacing w:line="240" w:lineRule="auto" w:after="20"/>
            </w:pPr>
            <w:r/>
            <w:r>
              <w:rPr>
                <w:sz w:val="16"/>
              </w:rPr>
              <w:t>step 0.05 min</w:t>
            </w:r>
          </w:p>
        </w:tc>
        <w:tc>
          <w:tcPr>
            <w:tcW w:type="dxa" w:w="1440"/>
          </w:tcPr>
          <w:p>
            <w:pPr>
              <w:spacing w:line="240" w:lineRule="auto" w:after="20"/>
            </w:pPr>
            <w:r/>
            <w:r>
              <w:rPr>
                <w:sz w:val="16"/>
              </w:rPr>
              <w:t>0.000140</w:t>
            </w:r>
          </w:p>
        </w:tc>
        <w:tc>
          <w:tcPr>
            <w:tcW w:type="dxa" w:w="2016"/>
          </w:tcPr>
          <w:p>
            <w:pPr>
              <w:spacing w:line="240" w:lineRule="auto" w:after="20"/>
            </w:pPr>
            <w:r/>
            <w:r>
              <w:rPr>
                <w:sz w:val="16"/>
              </w:rPr>
              <w:t>0.000140 (step 0.0125)</w:t>
            </w:r>
          </w:p>
        </w:tc>
        <w:tc>
          <w:tcPr>
            <w:tcW w:type="dxa" w:w="1584"/>
          </w:tcPr>
          <w:p>
            <w:pPr>
              <w:spacing w:line="240" w:lineRule="auto" w:after="20"/>
            </w:pPr>
            <w:r/>
            <w:r>
              <w:rPr>
                <w:sz w:val="16"/>
              </w:rPr>
              <w:t>-3.1e-14</w:t>
            </w:r>
          </w:p>
        </w:tc>
      </w:tr>
      <w:tr>
        <w:tc>
          <w:tcPr>
            <w:tcW w:type="dxa" w:w="2880"/>
          </w:tcPr>
          <w:p>
            <w:pPr>
              <w:spacing w:line="240" w:lineRule="auto" w:after="20"/>
            </w:pPr>
            <w:r/>
            <w:r>
              <w:rPr>
                <w:sz w:val="16"/>
              </w:rPr>
              <w:t>Storage conversion (σ = 2 °C, Δ = 6 °C)</w:t>
            </w:r>
          </w:p>
        </w:tc>
        <w:tc>
          <w:tcPr>
            <w:tcW w:type="dxa" w:w="1440"/>
          </w:tcPr>
          <w:p>
            <w:pPr>
              <w:spacing w:line="240" w:lineRule="auto" w:after="20"/>
            </w:pPr>
            <w:r/>
            <w:r>
              <w:rPr>
                <w:sz w:val="16"/>
              </w:rPr>
              <w:t>step 0.025 min</w:t>
            </w:r>
          </w:p>
        </w:tc>
        <w:tc>
          <w:tcPr>
            <w:tcW w:type="dxa" w:w="1440"/>
          </w:tcPr>
          <w:p>
            <w:pPr>
              <w:spacing w:line="240" w:lineRule="auto" w:after="20"/>
            </w:pPr>
            <w:r/>
            <w:r>
              <w:rPr>
                <w:sz w:val="16"/>
              </w:rPr>
              <w:t>0.000140</w:t>
            </w:r>
          </w:p>
        </w:tc>
        <w:tc>
          <w:tcPr>
            <w:tcW w:type="dxa" w:w="2016"/>
          </w:tcPr>
          <w:p>
            <w:pPr>
              <w:spacing w:line="240" w:lineRule="auto" w:after="20"/>
            </w:pPr>
            <w:r/>
            <w:r>
              <w:rPr>
                <w:sz w:val="16"/>
              </w:rPr>
              <w:t>0.000140 (step 0.0125)</w:t>
            </w:r>
          </w:p>
        </w:tc>
        <w:tc>
          <w:tcPr>
            <w:tcW w:type="dxa" w:w="1584"/>
          </w:tcPr>
          <w:p>
            <w:pPr>
              <w:spacing w:line="240" w:lineRule="auto" w:after="20"/>
            </w:pPr>
            <w:r/>
            <w:r>
              <w:rPr>
                <w:sz w:val="16"/>
              </w:rPr>
              <w:t>-3.7e-14</w:t>
            </w:r>
          </w:p>
        </w:tc>
      </w:tr>
      <w:tr>
        <w:tc>
          <w:tcPr>
            <w:tcW w:type="dxa" w:w="2880"/>
          </w:tcPr>
          <w:p>
            <w:pPr>
              <w:spacing w:line="240" w:lineRule="auto" w:after="20"/>
            </w:pPr>
            <w:r/>
            <w:r>
              <w:rPr>
                <w:sz w:val="16"/>
              </w:rPr>
              <w:t>Storage conversion (σ = 2 °C, Δ = 6 °C)</w:t>
            </w:r>
          </w:p>
        </w:tc>
        <w:tc>
          <w:tcPr>
            <w:tcW w:type="dxa" w:w="1440"/>
          </w:tcPr>
          <w:p>
            <w:pPr>
              <w:spacing w:line="240" w:lineRule="auto" w:after="20"/>
            </w:pPr>
            <w:r/>
            <w:r>
              <w:rPr>
                <w:sz w:val="16"/>
              </w:rPr>
              <w:t>step 0.0125 min</w:t>
            </w:r>
          </w:p>
        </w:tc>
        <w:tc>
          <w:tcPr>
            <w:tcW w:type="dxa" w:w="1440"/>
          </w:tcPr>
          <w:p>
            <w:pPr>
              <w:spacing w:line="240" w:lineRule="auto" w:after="20"/>
            </w:pPr>
            <w:r/>
            <w:r>
              <w:rPr>
                <w:sz w:val="16"/>
              </w:rPr>
              <w:t>0.000140</w:t>
            </w:r>
          </w:p>
        </w:tc>
        <w:tc>
          <w:tcPr>
            <w:tcW w:type="dxa" w:w="2016"/>
          </w:tcPr>
          <w:p>
            <w:pPr>
              <w:spacing w:line="240" w:lineRule="auto" w:after="20"/>
            </w:pPr>
            <w:r/>
            <w:r>
              <w:rPr>
                <w:sz w:val="16"/>
              </w:rPr>
              <w:t>0.000140 (step 0.0125)</w:t>
            </w:r>
          </w:p>
        </w:tc>
        <w:tc>
          <w:tcPr>
            <w:tcW w:type="dxa" w:w="1584"/>
          </w:tcPr>
          <w:p>
            <w:pPr>
              <w:spacing w:line="240" w:lineRule="auto" w:after="20"/>
            </w:pPr>
            <w:r/>
            <w:r>
              <w:rPr>
                <w:sz w:val="16"/>
              </w:rPr>
              <w:t>+0.0e+00</w:t>
            </w:r>
          </w:p>
        </w:tc>
      </w:tr>
      <w:tr>
        <w:tc>
          <w:tcPr>
            <w:tcW w:type="dxa" w:w="2880"/>
          </w:tcPr>
          <w:p>
            <w:pPr>
              <w:spacing w:line="240" w:lineRule="auto" w:after="20"/>
            </w:pPr>
            <w:r/>
            <w:r>
              <w:rPr>
                <w:sz w:val="16"/>
              </w:rPr>
              <w:t>Storage conversion (σ = 4 °C, Δ = 6 °C)</w:t>
            </w:r>
          </w:p>
        </w:tc>
        <w:tc>
          <w:tcPr>
            <w:tcW w:type="dxa" w:w="1440"/>
          </w:tcPr>
          <w:p>
            <w:pPr>
              <w:spacing w:line="240" w:lineRule="auto" w:after="20"/>
            </w:pPr>
            <w:r/>
            <w:r>
              <w:rPr>
                <w:sz w:val="16"/>
              </w:rPr>
              <w:t>K = 101</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(K = 3201)</w:t>
            </w:r>
          </w:p>
        </w:tc>
        <w:tc>
          <w:tcPr>
            <w:tcW w:type="dxa" w:w="1584"/>
          </w:tcPr>
          <w:p>
            <w:pPr>
              <w:spacing w:line="240" w:lineRule="auto" w:after="20"/>
            </w:pPr>
            <w:r/>
            <w:r>
              <w:rPr>
                <w:sz w:val="16"/>
              </w:rPr>
              <w:t>+1.0e-06</w:t>
            </w:r>
          </w:p>
        </w:tc>
      </w:tr>
      <w:tr>
        <w:tc>
          <w:tcPr>
            <w:tcW w:type="dxa" w:w="2880"/>
          </w:tcPr>
          <w:p>
            <w:pPr>
              <w:spacing w:line="240" w:lineRule="auto" w:after="20"/>
            </w:pPr>
            <w:r/>
            <w:r>
              <w:rPr>
                <w:sz w:val="16"/>
              </w:rPr>
              <w:t>Storage conversion (σ = 4 °C, Δ = 6 °C)</w:t>
            </w:r>
          </w:p>
        </w:tc>
        <w:tc>
          <w:tcPr>
            <w:tcW w:type="dxa" w:w="1440"/>
          </w:tcPr>
          <w:p>
            <w:pPr>
              <w:spacing w:line="240" w:lineRule="auto" w:after="20"/>
            </w:pPr>
            <w:r/>
            <w:r>
              <w:rPr>
                <w:sz w:val="16"/>
              </w:rPr>
              <w:t>K = 201</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(K = 3201)</w:t>
            </w:r>
          </w:p>
        </w:tc>
        <w:tc>
          <w:tcPr>
            <w:tcW w:type="dxa" w:w="1584"/>
          </w:tcPr>
          <w:p>
            <w:pPr>
              <w:spacing w:line="240" w:lineRule="auto" w:after="20"/>
            </w:pPr>
            <w:r/>
            <w:r>
              <w:rPr>
                <w:sz w:val="16"/>
              </w:rPr>
              <w:t>+7.4e-08</w:t>
            </w:r>
          </w:p>
        </w:tc>
      </w:tr>
      <w:tr>
        <w:tc>
          <w:tcPr>
            <w:tcW w:type="dxa" w:w="2880"/>
          </w:tcPr>
          <w:p>
            <w:pPr>
              <w:spacing w:line="240" w:lineRule="auto" w:after="20"/>
            </w:pPr>
            <w:r/>
            <w:r>
              <w:rPr>
                <w:sz w:val="16"/>
              </w:rPr>
              <w:t>Storage conversion (σ = 4 °C, Δ = 6 °C)</w:t>
            </w:r>
          </w:p>
        </w:tc>
        <w:tc>
          <w:tcPr>
            <w:tcW w:type="dxa" w:w="1440"/>
          </w:tcPr>
          <w:p>
            <w:pPr>
              <w:spacing w:line="240" w:lineRule="auto" w:after="20"/>
            </w:pPr>
            <w:r/>
            <w:r>
              <w:rPr>
                <w:sz w:val="16"/>
              </w:rPr>
              <w:t>K = 401</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(K = 3201)</w:t>
            </w:r>
          </w:p>
        </w:tc>
        <w:tc>
          <w:tcPr>
            <w:tcW w:type="dxa" w:w="1584"/>
          </w:tcPr>
          <w:p>
            <w:pPr>
              <w:spacing w:line="240" w:lineRule="auto" w:after="20"/>
            </w:pPr>
            <w:r/>
            <w:r>
              <w:rPr>
                <w:sz w:val="16"/>
              </w:rPr>
              <w:t>+5.3e-09</w:t>
            </w:r>
          </w:p>
        </w:tc>
      </w:tr>
      <w:tr>
        <w:tc>
          <w:tcPr>
            <w:tcW w:type="dxa" w:w="2880"/>
          </w:tcPr>
          <w:p>
            <w:pPr>
              <w:spacing w:line="240" w:lineRule="auto" w:after="20"/>
            </w:pPr>
            <w:r/>
            <w:r>
              <w:rPr>
                <w:sz w:val="16"/>
              </w:rPr>
              <w:t>Storage conversion (σ = 4 °C, Δ = 6 °C)</w:t>
            </w:r>
          </w:p>
        </w:tc>
        <w:tc>
          <w:tcPr>
            <w:tcW w:type="dxa" w:w="1440"/>
          </w:tcPr>
          <w:p>
            <w:pPr>
              <w:spacing w:line="240" w:lineRule="auto" w:after="20"/>
            </w:pPr>
            <w:r/>
            <w:r>
              <w:rPr>
                <w:sz w:val="16"/>
              </w:rPr>
              <w:t>K = 801</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(K = 3201)</w:t>
            </w:r>
          </w:p>
        </w:tc>
        <w:tc>
          <w:tcPr>
            <w:tcW w:type="dxa" w:w="1584"/>
          </w:tcPr>
          <w:p>
            <w:pPr>
              <w:spacing w:line="240" w:lineRule="auto" w:after="20"/>
            </w:pPr>
            <w:r/>
            <w:r>
              <w:rPr>
                <w:sz w:val="16"/>
              </w:rPr>
              <w:t>+3.7e-10</w:t>
            </w:r>
          </w:p>
        </w:tc>
      </w:tr>
      <w:tr>
        <w:tc>
          <w:tcPr>
            <w:tcW w:type="dxa" w:w="2880"/>
          </w:tcPr>
          <w:p>
            <w:pPr>
              <w:spacing w:line="240" w:lineRule="auto" w:after="20"/>
            </w:pPr>
            <w:r/>
            <w:r>
              <w:rPr>
                <w:sz w:val="16"/>
              </w:rPr>
              <w:t>Storage conversion (σ = 4 °C, Δ = 6 °C)</w:t>
            </w:r>
          </w:p>
        </w:tc>
        <w:tc>
          <w:tcPr>
            <w:tcW w:type="dxa" w:w="1440"/>
          </w:tcPr>
          <w:p>
            <w:pPr>
              <w:spacing w:line="240" w:lineRule="auto" w:after="20"/>
            </w:pPr>
            <w:r/>
            <w:r>
              <w:rPr>
                <w:sz w:val="16"/>
              </w:rPr>
              <w:t>K = 1601</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(K = 3201)</w:t>
            </w:r>
          </w:p>
        </w:tc>
        <w:tc>
          <w:tcPr>
            <w:tcW w:type="dxa" w:w="1584"/>
          </w:tcPr>
          <w:p>
            <w:pPr>
              <w:spacing w:line="240" w:lineRule="auto" w:after="20"/>
            </w:pPr>
            <w:r/>
            <w:r>
              <w:rPr>
                <w:sz w:val="16"/>
              </w:rPr>
              <w:t>+2.3e-11</w:t>
            </w:r>
          </w:p>
        </w:tc>
      </w:tr>
      <w:tr>
        <w:tc>
          <w:tcPr>
            <w:tcW w:type="dxa" w:w="2880"/>
          </w:tcPr>
          <w:p>
            <w:pPr>
              <w:spacing w:line="240" w:lineRule="auto" w:after="20"/>
            </w:pPr>
            <w:r/>
            <w:r>
              <w:rPr>
                <w:sz w:val="16"/>
              </w:rPr>
              <w:t>Storage conversion (σ = 4 °C, Δ = 6 °C)</w:t>
            </w:r>
          </w:p>
        </w:tc>
        <w:tc>
          <w:tcPr>
            <w:tcW w:type="dxa" w:w="1440"/>
          </w:tcPr>
          <w:p>
            <w:pPr>
              <w:spacing w:line="240" w:lineRule="auto" w:after="20"/>
            </w:pPr>
            <w:r/>
            <w:r>
              <w:rPr>
                <w:sz w:val="16"/>
              </w:rPr>
              <w:t>step 0.2 min</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(step 0.0125)</w:t>
            </w:r>
          </w:p>
        </w:tc>
        <w:tc>
          <w:tcPr>
            <w:tcW w:type="dxa" w:w="1584"/>
          </w:tcPr>
          <w:p>
            <w:pPr>
              <w:spacing w:line="240" w:lineRule="auto" w:after="20"/>
            </w:pPr>
            <w:r/>
            <w:r>
              <w:rPr>
                <w:sz w:val="16"/>
              </w:rPr>
              <w:t>-8.2e-13</w:t>
            </w:r>
          </w:p>
        </w:tc>
      </w:tr>
      <w:tr>
        <w:tc>
          <w:tcPr>
            <w:tcW w:type="dxa" w:w="2880"/>
          </w:tcPr>
          <w:p>
            <w:pPr>
              <w:spacing w:line="240" w:lineRule="auto" w:after="20"/>
            </w:pPr>
            <w:r/>
            <w:r>
              <w:rPr>
                <w:sz w:val="16"/>
              </w:rPr>
              <w:t>Storage conversion (σ = 4 °C, Δ = 6 °C)</w:t>
            </w:r>
          </w:p>
        </w:tc>
        <w:tc>
          <w:tcPr>
            <w:tcW w:type="dxa" w:w="1440"/>
          </w:tcPr>
          <w:p>
            <w:pPr>
              <w:spacing w:line="240" w:lineRule="auto" w:after="20"/>
            </w:pPr>
            <w:r/>
            <w:r>
              <w:rPr>
                <w:sz w:val="16"/>
              </w:rPr>
              <w:t>step 0.1 min</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(step 0.0125)</w:t>
            </w:r>
          </w:p>
        </w:tc>
        <w:tc>
          <w:tcPr>
            <w:tcW w:type="dxa" w:w="1584"/>
          </w:tcPr>
          <w:p>
            <w:pPr>
              <w:spacing w:line="240" w:lineRule="auto" w:after="20"/>
            </w:pPr>
            <w:r/>
            <w:r>
              <w:rPr>
                <w:sz w:val="16"/>
              </w:rPr>
              <w:t>-4.9e-14</w:t>
            </w:r>
          </w:p>
        </w:tc>
      </w:tr>
      <w:tr>
        <w:tc>
          <w:tcPr>
            <w:tcW w:type="dxa" w:w="2880"/>
          </w:tcPr>
          <w:p>
            <w:pPr>
              <w:spacing w:line="240" w:lineRule="auto" w:after="20"/>
            </w:pPr>
            <w:r/>
            <w:r>
              <w:rPr>
                <w:sz w:val="16"/>
              </w:rPr>
              <w:t>Storage conversion (σ = 4 °C, Δ = 6 °C)</w:t>
            </w:r>
          </w:p>
        </w:tc>
        <w:tc>
          <w:tcPr>
            <w:tcW w:type="dxa" w:w="1440"/>
          </w:tcPr>
          <w:p>
            <w:pPr>
              <w:spacing w:line="240" w:lineRule="auto" w:after="20"/>
            </w:pPr>
            <w:r/>
            <w:r>
              <w:rPr>
                <w:sz w:val="16"/>
              </w:rPr>
              <w:t>step 0.05 min</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(step 0.0125)</w:t>
            </w:r>
          </w:p>
        </w:tc>
        <w:tc>
          <w:tcPr>
            <w:tcW w:type="dxa" w:w="1584"/>
          </w:tcPr>
          <w:p>
            <w:pPr>
              <w:spacing w:line="240" w:lineRule="auto" w:after="20"/>
            </w:pPr>
            <w:r/>
            <w:r>
              <w:rPr>
                <w:sz w:val="16"/>
              </w:rPr>
              <w:t>-2.2e-16</w:t>
            </w:r>
          </w:p>
        </w:tc>
      </w:tr>
      <w:tr>
        <w:tc>
          <w:tcPr>
            <w:tcW w:type="dxa" w:w="2880"/>
          </w:tcPr>
          <w:p>
            <w:pPr>
              <w:spacing w:line="240" w:lineRule="auto" w:after="20"/>
            </w:pPr>
            <w:r/>
            <w:r>
              <w:rPr>
                <w:sz w:val="16"/>
              </w:rPr>
              <w:t>Storage conversion (σ = 4 °C, Δ = 6 °C)</w:t>
            </w:r>
          </w:p>
        </w:tc>
        <w:tc>
          <w:tcPr>
            <w:tcW w:type="dxa" w:w="1440"/>
          </w:tcPr>
          <w:p>
            <w:pPr>
              <w:spacing w:line="240" w:lineRule="auto" w:after="20"/>
            </w:pPr>
            <w:r/>
            <w:r>
              <w:rPr>
                <w:sz w:val="16"/>
              </w:rPr>
              <w:t>step 0.025 min</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(step 0.0125)</w:t>
            </w:r>
          </w:p>
        </w:tc>
        <w:tc>
          <w:tcPr>
            <w:tcW w:type="dxa" w:w="1584"/>
          </w:tcPr>
          <w:p>
            <w:pPr>
              <w:spacing w:line="240" w:lineRule="auto" w:after="20"/>
            </w:pPr>
            <w:r/>
            <w:r>
              <w:rPr>
                <w:sz w:val="16"/>
              </w:rPr>
              <w:t>+4.4e-16</w:t>
            </w:r>
          </w:p>
        </w:tc>
      </w:tr>
      <w:tr>
        <w:tc>
          <w:tcPr>
            <w:tcW w:type="dxa" w:w="2880"/>
          </w:tcPr>
          <w:p>
            <w:pPr>
              <w:spacing w:line="240" w:lineRule="auto" w:after="20"/>
            </w:pPr>
            <w:r/>
            <w:r>
              <w:rPr>
                <w:sz w:val="16"/>
              </w:rPr>
              <w:t>Storage conversion (σ = 4 °C, Δ = 6 °C)</w:t>
            </w:r>
          </w:p>
        </w:tc>
        <w:tc>
          <w:tcPr>
            <w:tcW w:type="dxa" w:w="1440"/>
          </w:tcPr>
          <w:p>
            <w:pPr>
              <w:spacing w:line="240" w:lineRule="auto" w:after="20"/>
            </w:pPr>
            <w:r/>
            <w:r>
              <w:rPr>
                <w:sz w:val="16"/>
              </w:rPr>
              <w:t>step 0.0125 min</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(step 0.0125)</w:t>
            </w:r>
          </w:p>
        </w:tc>
        <w:tc>
          <w:tcPr>
            <w:tcW w:type="dxa" w:w="1584"/>
          </w:tcPr>
          <w:p>
            <w:pPr>
              <w:spacing w:line="240" w:lineRule="auto" w:after="20"/>
            </w:pPr>
            <w:r/>
            <w:r>
              <w:rPr>
                <w:sz w:val="16"/>
              </w:rPr>
              <w:t>+0.0e+00</w:t>
            </w:r>
          </w:p>
        </w:tc>
      </w:tr>
    </w:tbl>
    <w:p>
      <w:pPr>
        <w:spacing w:after="40"/>
      </w:pPr>
    </w:p>
    <w:p>
      <w:pPr>
        <w:keepNext/>
        <w:spacing w:line="276" w:lineRule="auto" w:after="200"/>
      </w:pPr>
      <w:r>
        <w:rPr>
          <w:b/>
          <w:sz w:val="19"/>
        </w:rPr>
        <w:t>Table 10</w:t>
      </w:r>
      <w:r>
        <w:rPr>
          <w:sz w:val="19"/>
        </w:rPr>
        <w:t xml:space="preserve"> Run table of the numerical studies; every result is reproduced by code/run_all.py.</w:t>
      </w:r>
    </w:p>
    <w:tbl>
      <w:tblPr>
        <w:tblStyle w:val="TableGrid"/>
        <w:tblW w:type="auto" w:w="0"/>
        <w:jc w:val="center"/>
        <w:tblLayout w:type="fixed"/>
        <w:tblLook w:firstColumn="1" w:firstRow="1" w:lastColumn="0" w:lastRow="0" w:noHBand="0" w:noVBand="1" w:val="04A0"/>
      </w:tblPr>
      <w:tblGrid>
        <w:gridCol w:w="2160"/>
        <w:gridCol w:w="3024"/>
        <w:gridCol w:w="2880"/>
        <w:gridCol w:w="2016"/>
      </w:tblGrid>
      <w:tr>
        <w:trPr>
          <w:tblHeader w:val="true"/>
        </w:trPr>
        <w:tc>
          <w:tcPr>
            <w:tcW w:type="dxa" w:w="2160"/>
            <w:shd w:val="clear" w:color="auto" w:fill="E7ECF1"/>
          </w:tcPr>
          <w:p>
            <w:pPr>
              <w:spacing w:line="240" w:lineRule="auto" w:after="20"/>
            </w:pPr>
            <w:r/>
            <w:r>
              <w:rPr>
                <w:b/>
                <w:sz w:val="16"/>
              </w:rPr>
              <w:t>Study</w:t>
            </w:r>
          </w:p>
        </w:tc>
        <w:tc>
          <w:tcPr>
            <w:tcW w:type="dxa" w:w="3024"/>
            <w:shd w:val="clear" w:color="auto" w:fill="E7ECF1"/>
          </w:tcPr>
          <w:p>
            <w:pPr>
              <w:spacing w:line="240" w:lineRule="auto" w:after="20"/>
            </w:pPr>
            <w:r/>
            <w:r>
              <w:rPr>
                <w:b/>
                <w:sz w:val="16"/>
              </w:rPr>
              <w:t>Method</w:t>
            </w:r>
          </w:p>
        </w:tc>
        <w:tc>
          <w:tcPr>
            <w:tcW w:type="dxa" w:w="2880"/>
            <w:shd w:val="clear" w:color="auto" w:fill="E7ECF1"/>
          </w:tcPr>
          <w:p>
            <w:pPr>
              <w:spacing w:line="240" w:lineRule="auto" w:after="20"/>
            </w:pPr>
            <w:r/>
            <w:r>
              <w:rPr>
                <w:b/>
                <w:sz w:val="16"/>
              </w:rPr>
              <w:t>Grid</w:t>
            </w:r>
          </w:p>
        </w:tc>
        <w:tc>
          <w:tcPr>
            <w:tcW w:type="dxa" w:w="2016"/>
            <w:shd w:val="clear" w:color="auto" w:fill="E7ECF1"/>
          </w:tcPr>
          <w:p>
            <w:pPr>
              <w:spacing w:line="240" w:lineRule="auto" w:after="20"/>
            </w:pPr>
            <w:r/>
            <w:r>
              <w:rPr>
                <w:b/>
                <w:sz w:val="16"/>
              </w:rPr>
              <w:t>Compared with</w:t>
            </w:r>
          </w:p>
        </w:tc>
      </w:tr>
      <w:tr>
        <w:tc>
          <w:tcPr>
            <w:tcW w:type="dxa" w:w="2160"/>
          </w:tcPr>
          <w:p>
            <w:pPr>
              <w:spacing w:line="240" w:lineRule="auto" w:after="20"/>
            </w:pPr>
            <w:r/>
            <w:r>
              <w:rPr>
                <w:sz w:val="16"/>
              </w:rPr>
              <w:t>Availability clock</w:t>
            </w:r>
          </w:p>
        </w:tc>
        <w:tc>
          <w:tcPr>
            <w:tcW w:type="dxa" w:w="3024"/>
          </w:tcPr>
          <w:p>
            <w:pPr>
              <w:spacing w:line="240" w:lineRule="auto" w:after="20"/>
            </w:pPr>
            <w:r/>
            <w:r>
              <w:rPr>
                <w:sz w:val="16"/>
              </w:rPr>
              <w:t>RK4 (step 0.01 min) and RK45 (rtol 10</w:t>
            </w:r>
            <w:r>
              <w:rPr>
                <w:sz w:val="16"/>
                <w:vertAlign w:val="superscript"/>
              </w:rPr>
              <w:t>−12</w:t>
            </w:r>
            <w:r>
              <w:rPr>
                <w:sz w:val="16"/>
              </w:rPr>
              <w:t>), constant T</w:t>
            </w:r>
          </w:p>
        </w:tc>
        <w:tc>
          <w:tcPr>
            <w:tcW w:type="dxa" w:w="2880"/>
          </w:tcPr>
          <w:p>
            <w:pPr>
              <w:spacing w:line="240" w:lineRule="auto" w:after="20"/>
            </w:pPr>
            <w:r/>
            <w:r>
              <w:rPr>
                <w:sz w:val="16"/>
              </w:rPr>
              <w:t>T = 125, 140, 155 °C; α = 0.001–0.9</w:t>
            </w:r>
          </w:p>
        </w:tc>
        <w:tc>
          <w:tcPr>
            <w:tcW w:type="dxa" w:w="2016"/>
          </w:tcPr>
          <w:p>
            <w:pPr>
              <w:spacing w:line="240" w:lineRule="auto" w:after="20"/>
            </w:pPr>
            <w:r/>
            <w:r>
              <w:rPr>
                <w:sz w:val="16"/>
              </w:rPr>
              <w:t>Eqs. (5), (6)</w:t>
            </w:r>
          </w:p>
        </w:tc>
      </w:tr>
      <w:tr>
        <w:tc>
          <w:tcPr>
            <w:tcW w:type="dxa" w:w="2160"/>
          </w:tcPr>
          <w:p>
            <w:pPr>
              <w:spacing w:line="240" w:lineRule="auto" w:after="20"/>
            </w:pPr>
            <w:r/>
            <w:r>
              <w:rPr>
                <w:sz w:val="16"/>
              </w:rPr>
              <w:t>Isothermal cure</w:t>
            </w:r>
          </w:p>
        </w:tc>
        <w:tc>
          <w:tcPr>
            <w:tcW w:type="dxa" w:w="3024"/>
          </w:tcPr>
          <w:p>
            <w:pPr>
              <w:spacing w:line="240" w:lineRule="auto" w:after="20"/>
            </w:pPr>
            <w:r/>
            <w:r>
              <w:rPr>
                <w:sz w:val="16"/>
              </w:rPr>
              <w:t>RK4, step 0.01 min</w:t>
            </w:r>
          </w:p>
        </w:tc>
        <w:tc>
          <w:tcPr>
            <w:tcW w:type="dxa" w:w="2880"/>
          </w:tcPr>
          <w:p>
            <w:pPr>
              <w:spacing w:line="240" w:lineRule="auto" w:after="20"/>
            </w:pPr>
            <w:r/>
            <w:r>
              <w:rPr>
                <w:sz w:val="16"/>
              </w:rPr>
              <w:t>T = 110–155 °C; n = 1, 3/2</w:t>
            </w:r>
          </w:p>
        </w:tc>
        <w:tc>
          <w:tcPr>
            <w:tcW w:type="dxa" w:w="2016"/>
          </w:tcPr>
          <w:p>
            <w:pPr>
              <w:spacing w:line="240" w:lineRule="auto" w:after="20"/>
            </w:pPr>
            <w:r/>
            <w:r>
              <w:rPr>
                <w:sz w:val="16"/>
              </w:rPr>
              <w:t>Quadrature; Eqs. (7), (8), (9)</w:t>
            </w:r>
          </w:p>
        </w:tc>
      </w:tr>
      <w:tr>
        <w:tc>
          <w:tcPr>
            <w:tcW w:type="dxa" w:w="2160"/>
          </w:tcPr>
          <w:p>
            <w:pPr>
              <w:spacing w:line="240" w:lineRule="auto" w:after="20"/>
            </w:pPr>
            <w:r/>
            <w:r>
              <w:rPr>
                <w:sz w:val="16"/>
              </w:rPr>
              <w:t>Storage conversion</w:t>
            </w:r>
          </w:p>
        </w:tc>
        <w:tc>
          <w:tcPr>
            <w:tcW w:type="dxa" w:w="3024"/>
          </w:tcPr>
          <w:p>
            <w:pPr>
              <w:spacing w:line="240" w:lineRule="auto" w:after="20"/>
            </w:pPr>
            <w:r/>
            <w:r>
              <w:rPr>
                <w:sz w:val="16"/>
              </w:rPr>
              <w:t>RK4 population (K = 801), step 0.05 min</w:t>
            </w:r>
          </w:p>
        </w:tc>
        <w:tc>
          <w:tcPr>
            <w:tcW w:type="dxa" w:w="2880"/>
          </w:tcPr>
          <w:p>
            <w:pPr>
              <w:spacing w:line="240" w:lineRule="auto" w:after="20"/>
            </w:pPr>
            <w:r/>
            <w:r>
              <w:rPr>
                <w:sz w:val="16"/>
              </w:rPr>
              <w:t>Δ = 3, 6, 10 °C; σ = 2–10 °C; t = 150 min</w:t>
            </w:r>
          </w:p>
        </w:tc>
        <w:tc>
          <w:tcPr>
            <w:tcW w:type="dxa" w:w="2016"/>
          </w:tcPr>
          <w:p>
            <w:pPr>
              <w:spacing w:line="240" w:lineRule="auto" w:after="20"/>
            </w:pPr>
            <w:r/>
            <w:r>
              <w:rPr>
                <w:sz w:val="16"/>
              </w:rPr>
              <w:t>Eq. (11)</w:t>
            </w:r>
          </w:p>
        </w:tc>
      </w:tr>
      <w:tr>
        <w:tc>
          <w:tcPr>
            <w:tcW w:type="dxa" w:w="2160"/>
          </w:tcPr>
          <w:p>
            <w:pPr>
              <w:spacing w:line="240" w:lineRule="auto" w:after="20"/>
            </w:pPr>
            <w:r/>
            <w:r>
              <w:rPr>
                <w:sz w:val="16"/>
              </w:rPr>
              <w:t>Design bound</w:t>
            </w:r>
          </w:p>
        </w:tc>
        <w:tc>
          <w:tcPr>
            <w:tcW w:type="dxa" w:w="3024"/>
          </w:tcPr>
          <w:p>
            <w:pPr>
              <w:spacing w:line="240" w:lineRule="auto" w:after="20"/>
            </w:pPr>
            <w:r/>
            <w:r>
              <w:rPr>
                <w:sz w:val="16"/>
              </w:rPr>
              <w:t>Root-finding on the population ODE</w:t>
            </w:r>
          </w:p>
        </w:tc>
        <w:tc>
          <w:tcPr>
            <w:tcW w:type="dxa" w:w="2880"/>
          </w:tcPr>
          <w:p>
            <w:pPr>
              <w:spacing w:line="240" w:lineRule="auto" w:after="20"/>
            </w:pPr>
            <w:r/>
            <w:r>
              <w:rPr>
                <w:sz w:val="16"/>
              </w:rPr>
              <w:t>Δ = 3, 6, 10 °C; η = 0.001, 0.01, 0.05</w:t>
            </w:r>
          </w:p>
        </w:tc>
        <w:tc>
          <w:tcPr>
            <w:tcW w:type="dxa" w:w="2016"/>
          </w:tcPr>
          <w:p>
            <w:pPr>
              <w:spacing w:line="240" w:lineRule="auto" w:after="20"/>
            </w:pPr>
            <w:r/>
            <w:r>
              <w:rPr>
                <w:sz w:val="16"/>
              </w:rPr>
              <w:t>Eq. (12)</w:t>
            </w:r>
          </w:p>
        </w:tc>
      </w:tr>
      <w:tr>
        <w:tc>
          <w:tcPr>
            <w:tcW w:type="dxa" w:w="2160"/>
          </w:tcPr>
          <w:p>
            <w:pPr>
              <w:spacing w:line="240" w:lineRule="auto" w:after="20"/>
            </w:pPr>
            <w:r/>
            <w:r>
              <w:rPr>
                <w:sz w:val="16"/>
              </w:rPr>
              <w:t>Criticality (exponential model)</w:t>
            </w:r>
          </w:p>
        </w:tc>
        <w:tc>
          <w:tcPr>
            <w:tcW w:type="dxa" w:w="3024"/>
          </w:tcPr>
          <w:p>
            <w:pPr>
              <w:spacing w:line="240" w:lineRule="auto" w:after="20"/>
            </w:pPr>
            <w:r/>
            <w:r>
              <w:rPr>
                <w:sz w:val="16"/>
              </w:rPr>
              <w:t>LSODA, bisection</w:t>
            </w:r>
          </w:p>
        </w:tc>
        <w:tc>
          <w:tcPr>
            <w:tcW w:type="dxa" w:w="2880"/>
          </w:tcPr>
          <w:p>
            <w:pPr>
              <w:spacing w:line="240" w:lineRule="auto" w:after="20"/>
            </w:pPr>
            <w:r/>
            <w:r>
              <w:rPr>
                <w:sz w:val="16"/>
              </w:rPr>
              <w:t>n = 1, 3/2, 2; Θ = 0.1–0.003</w:t>
            </w:r>
          </w:p>
        </w:tc>
        <w:tc>
          <w:tcPr>
            <w:tcW w:type="dxa" w:w="2016"/>
          </w:tcPr>
          <w:p>
            <w:pPr>
              <w:spacing w:line="240" w:lineRule="auto" w:after="20"/>
            </w:pPr>
            <w:r/>
            <w:r>
              <w:rPr>
                <w:sz w:val="16"/>
              </w:rPr>
              <w:t>Eq. (14)</w:t>
            </w:r>
          </w:p>
        </w:tc>
      </w:tr>
      <w:tr>
        <w:tc>
          <w:tcPr>
            <w:tcW w:type="dxa" w:w="2160"/>
          </w:tcPr>
          <w:p>
            <w:pPr>
              <w:spacing w:line="240" w:lineRule="auto" w:after="20"/>
            </w:pPr>
            <w:r/>
            <w:r>
              <w:rPr>
                <w:sz w:val="16"/>
              </w:rPr>
              <w:t>Criticality (Arrhenius)</w:t>
            </w:r>
          </w:p>
        </w:tc>
        <w:tc>
          <w:tcPr>
            <w:tcW w:type="dxa" w:w="3024"/>
          </w:tcPr>
          <w:p>
            <w:pPr>
              <w:spacing w:line="240" w:lineRule="auto" w:after="20"/>
            </w:pPr>
            <w:r/>
            <w:r>
              <w:rPr>
                <w:sz w:val="16"/>
              </w:rPr>
              <w:t>LSODA, bisection</w:t>
            </w:r>
          </w:p>
        </w:tc>
        <w:tc>
          <w:tcPr>
            <w:tcW w:type="dxa" w:w="2880"/>
          </w:tcPr>
          <w:p>
            <w:pPr>
              <w:spacing w:line="240" w:lineRule="auto" w:after="20"/>
            </w:pPr>
            <w:r/>
            <w:r>
              <w:rPr>
                <w:sz w:val="16"/>
              </w:rPr>
              <w:t>T = 120, 140, 160 °C; Θ = 0.01–0.1</w:t>
            </w:r>
          </w:p>
        </w:tc>
        <w:tc>
          <w:tcPr>
            <w:tcW w:type="dxa" w:w="2016"/>
          </w:tcPr>
          <w:p>
            <w:pPr>
              <w:spacing w:line="240" w:lineRule="auto" w:after="20"/>
            </w:pPr>
            <w:r/>
            <w:r>
              <w:rPr>
                <w:sz w:val="16"/>
              </w:rPr>
              <w:t>Eq. (15)</w:t>
            </w:r>
          </w:p>
        </w:tc>
      </w:tr>
      <w:tr>
        <w:tc>
          <w:tcPr>
            <w:tcW w:type="dxa" w:w="2160"/>
          </w:tcPr>
          <w:p>
            <w:pPr>
              <w:spacing w:line="240" w:lineRule="auto" w:after="20"/>
            </w:pPr>
            <w:r/>
            <w:r>
              <w:rPr>
                <w:sz w:val="16"/>
              </w:rPr>
              <w:t>Flow reactor</w:t>
            </w:r>
          </w:p>
        </w:tc>
        <w:tc>
          <w:tcPr>
            <w:tcW w:type="dxa" w:w="3024"/>
          </w:tcPr>
          <w:p>
            <w:pPr>
              <w:spacing w:line="240" w:lineRule="auto" w:after="20"/>
            </w:pPr>
            <w:r/>
            <w:r>
              <w:rPr>
                <w:sz w:val="16"/>
              </w:rPr>
              <w:t>Jacobian; LSODA attractors and sweeps</w:t>
            </w:r>
          </w:p>
        </w:tc>
        <w:tc>
          <w:tcPr>
            <w:tcW w:type="dxa" w:w="2880"/>
          </w:tcPr>
          <w:p>
            <w:pPr>
              <w:spacing w:line="240" w:lineRule="auto" w:after="20"/>
            </w:pPr>
            <w:r/>
            <w:r>
              <w:rPr>
                <w:sz w:val="16"/>
              </w:rPr>
              <w:t>ψ = 3, 4.5, 6, 8, 12, 20; v = 0.02–0.001</w:t>
            </w:r>
          </w:p>
        </w:tc>
        <w:tc>
          <w:tcPr>
            <w:tcW w:type="dxa" w:w="2016"/>
          </w:tcPr>
          <w:p>
            <w:pPr>
              <w:spacing w:line="240" w:lineRule="auto" w:after="20"/>
            </w:pPr>
            <w:r/>
            <w:r>
              <w:rPr>
                <w:sz w:val="16"/>
              </w:rPr>
              <w:t>Eqs. (17), (18), attractor loop area</w:t>
            </w:r>
          </w:p>
        </w:tc>
      </w:tr>
      <w:tr>
        <w:tc>
          <w:tcPr>
            <w:tcW w:type="dxa" w:w="2160"/>
          </w:tcPr>
          <w:p>
            <w:pPr>
              <w:spacing w:line="240" w:lineRule="auto" w:after="20"/>
            </w:pPr>
            <w:r/>
            <w:r>
              <w:rPr>
                <w:sz w:val="16"/>
              </w:rPr>
              <w:t>Parameter recovery</w:t>
            </w:r>
          </w:p>
        </w:tc>
        <w:tc>
          <w:tcPr>
            <w:tcW w:type="dxa" w:w="3024"/>
          </w:tcPr>
          <w:p>
            <w:pPr>
              <w:spacing w:line="240" w:lineRule="auto" w:after="20"/>
            </w:pPr>
            <w:r/>
            <w:r>
              <w:rPr>
                <w:sz w:val="16"/>
              </w:rPr>
              <w:t>Bounded least squares, 200 noise draws</w:t>
            </w:r>
          </w:p>
        </w:tc>
        <w:tc>
          <w:tcPr>
            <w:tcW w:type="dxa" w:w="2880"/>
          </w:tcPr>
          <w:p>
            <w:pPr>
              <w:spacing w:line="240" w:lineRule="auto" w:after="20"/>
            </w:pPr>
            <w:r/>
            <w:r>
              <w:rPr>
                <w:sz w:val="16"/>
              </w:rPr>
              <w:t>3 temperatures × 5 times</w:t>
            </w:r>
          </w:p>
        </w:tc>
        <w:tc>
          <w:tcPr>
            <w:tcW w:type="dxa" w:w="2016"/>
          </w:tcPr>
          <w:p>
            <w:pPr>
              <w:spacing w:line="240" w:lineRule="auto" w:after="20"/>
            </w:pPr>
            <w:r/>
            <w:r>
              <w:rPr>
                <w:sz w:val="16"/>
              </w:rPr>
              <w:t>Truth</w:t>
            </w:r>
          </w:p>
        </w:tc>
      </w:tr>
    </w:tbl>
    <w:p>
      <w:pPr>
        <w:spacing w:after="40"/>
      </w:pPr>
    </w:p>
    <w:p>
      <w:pPr>
        <w:pStyle w:val="Heading1"/>
      </w:pPr>
      <w:r>
        <w:rPr>
          <w:rFonts w:ascii="Times New Roman" w:hAnsi="Times New Roman"/>
        </w:rPr>
        <w:t>References</w:t>
      </w:r>
    </w:p>
    <w:p>
      <w:pPr>
        <w:spacing w:after="60"/>
      </w:pPr>
      <w:r>
        <w:rPr>
          <w:sz w:val="20"/>
        </w:rPr>
        <w:t>[1] White SR, Sottos NR, Geubelle PH, Moore JS, Kessler MR, Sriram SR, et al. Autonomic healing of polymer composites. Nature. 2001;409:794–797. https://doi.org/10.1038/35057232</w:t>
      </w:r>
    </w:p>
    <w:p>
      <w:pPr>
        <w:spacing w:after="60"/>
      </w:pPr>
      <w:r>
        <w:rPr>
          <w:sz w:val="20"/>
        </w:rPr>
        <w:t>[2] Jamekhorshid A, Sadrameli SM, Farid M. A review of microencapsulation methods of phase change materials (PCMs) as a thermal energy storage (TES) medium. Renewable and Sustainable Energy Reviews. 2014;31:531–542. https://doi.org/10.1016/j.rser.2013.12.033</w:t>
      </w:r>
    </w:p>
    <w:p>
      <w:pPr>
        <w:spacing w:after="60"/>
      </w:pPr>
      <w:r>
        <w:rPr>
          <w:sz w:val="20"/>
        </w:rPr>
        <w:t>[3] Siepmann J, Siepmann F. Modeling of diffusion controlled drug delivery. Journal of Controlled Release. 2012;161:351–362. https://doi.org/10.1016/j.jconrel.2011.10.006</w:t>
      </w:r>
    </w:p>
    <w:p>
      <w:pPr>
        <w:spacing w:after="60"/>
      </w:pPr>
      <w:r>
        <w:rPr>
          <w:sz w:val="20"/>
        </w:rPr>
        <w:t>[4] Kamal MR, Sourour S. Kinetics and thermal characterization of thermoset cure. Polymer Engineering &amp; Sci. 1973;13:59–64. https://doi.org/10.1002/pen.760130110</w:t>
      </w:r>
    </w:p>
    <w:p>
      <w:pPr>
        <w:spacing w:after="60"/>
      </w:pPr>
      <w:r>
        <w:rPr>
          <w:sz w:val="20"/>
        </w:rPr>
        <w:t>[5] Sourour S, Kamal MR. Differential scanning calorimetry of epoxy cure: isothermal cure kinetics. Thermochimica Acta. 1976;14:41–59. https://doi.org/10.1016/0040-6031(76)80056-1</w:t>
      </w:r>
    </w:p>
    <w:p>
      <w:pPr>
        <w:spacing w:after="60"/>
      </w:pPr>
      <w:r>
        <w:rPr>
          <w:sz w:val="20"/>
        </w:rPr>
        <w:t>[6] Bogetti TA, Gillespie JW. Process-Induced Stress and Deformation in Thick-Section Thermoset Composite Laminates. Journal of Composite Materials. 1992;26:626–660. https://doi.org/10.1177/002199839202600502</w:t>
      </w:r>
    </w:p>
    <w:p>
      <w:pPr>
        <w:spacing w:after="60"/>
      </w:pPr>
      <w:r>
        <w:rPr>
          <w:sz w:val="20"/>
        </w:rPr>
        <w:t>[7] Semenoff N. Zur Theorie des Verbrennungsprozesses. Z Physik. 1928;48:571–582. https://doi.org/10.1007/bf01340021</w:t>
      </w:r>
    </w:p>
    <w:p>
      <w:pPr>
        <w:spacing w:after="60"/>
      </w:pPr>
      <w:r>
        <w:rPr>
          <w:sz w:val="20"/>
        </w:rPr>
        <w:t>[8] Frank-Kamenetskii DA. Diffusion and Heat Transfer in Chemical Kinetics, 2nd ed. New York: Plenum Press; 1969.</w:t>
      </w:r>
    </w:p>
    <w:p>
      <w:pPr>
        <w:spacing w:after="60"/>
      </w:pPr>
      <w:r>
        <w:rPr>
          <w:sz w:val="20"/>
        </w:rPr>
        <w:t>[9] Adler J, Enig JW. The critical conditions in thermal explosion theory with reactant consumption. Combustion and Flame. 1964;8:97–103. https://doi.org/10.1016/0010-2180(64)90035-5</w:t>
      </w:r>
    </w:p>
    <w:p>
      <w:pPr>
        <w:spacing w:after="60"/>
      </w:pPr>
      <w:r>
        <w:rPr>
          <w:sz w:val="20"/>
        </w:rPr>
        <w:t>[10] Kassoy DR, Poland J. The Thermal Explosion Confined by a Constant Temperature Boundary:I—The Induction Period Solution. SIAM J Appl Math. 1980;39:412–430. https://doi.org/10.1137/0139035</w:t>
      </w:r>
    </w:p>
    <w:p>
      <w:pPr>
        <w:spacing w:after="60"/>
      </w:pPr>
      <w:r>
        <w:rPr>
          <w:sz w:val="20"/>
        </w:rPr>
        <w:t>[11] van Heerden C. Autothermic Processes. Ind Eng Chem. 1953;45:1242–1247. https://doi.org/10.1021/ie50522a030</w:t>
      </w:r>
    </w:p>
    <w:p>
      <w:pPr>
        <w:spacing w:after="60"/>
      </w:pPr>
      <w:r>
        <w:rPr>
          <w:sz w:val="20"/>
        </w:rPr>
        <w:t>[12] Aris R, Amundson NR. An analysis of chemical reactor stability and control—I. Chemical Engineering Science. 1958;7:121–131. https://doi.org/10.1016/0009-2509(58)80019-6</w:t>
      </w:r>
    </w:p>
    <w:p>
      <w:pPr>
        <w:spacing w:after="60"/>
      </w:pPr>
      <w:r>
        <w:rPr>
          <w:sz w:val="20"/>
        </w:rPr>
        <w:t>[13] Uppal A, Ray WH, Poore AB. On the dynamic behavior of continuous stirred tank reactors. Chemical Engineering Science. 1974;29:967–985. https://doi.org/10.1016/0009-2509(74)80089-8</w:t>
      </w:r>
    </w:p>
    <w:p>
      <w:pPr>
        <w:spacing w:after="60"/>
      </w:pPr>
      <w:r>
        <w:rPr>
          <w:sz w:val="20"/>
        </w:rPr>
        <w:t>[14] Gray P, Scott SK. Chemical Oscillations and Instabilities: Non-linear Chemical Kinetics. Oxford: Clarendon Press; 1990.</w:t>
      </w:r>
    </w:p>
    <w:p>
      <w:pPr>
        <w:spacing w:after="60"/>
      </w:pPr>
      <w:r>
        <w:rPr>
          <w:sz w:val="20"/>
        </w:rPr>
        <w:t>[15] Vyazovkin S, Burnham AK, Criado JM, Pérez-Maqueda LA, Popescu C, Sbirrazzuoli N. ICTAC Kinetics Committee recommendations for performing kinetic computations on thermal analysis data. Thermochimica Acta. 2011;520:1–19. https://doi.org/10.1016/j.tca.2011.03.034</w:t>
      </w:r>
    </w:p>
    <w:p>
      <w:pPr>
        <w:spacing w:after="60"/>
      </w:pPr>
      <w:r>
        <w:rPr>
          <w:sz w:val="20"/>
        </w:rPr>
        <w:t>[16] Zhao Y, Drummer D. Influence of Filler Content and Filler Size on the Curing Kinetics of an Epoxy Resin. Polymers. 2019;11:1797. https://doi.org/10.3390/polym11111797</w:t>
      </w:r>
    </w:p>
    <w:p>
      <w:pPr>
        <w:spacing w:after="60"/>
      </w:pPr>
      <w:r>
        <w:rPr>
          <w:sz w:val="20"/>
        </w:rPr>
        <w:t>[17] Ozawa T. A New Method of Analyzing Thermogravimetric Data. Bulletin of the Chemical Society of Japan. 1965;38:1881–1886. https://doi.org/10.1246/bcsj.38.1881</w:t>
      </w:r>
    </w:p>
    <w:p>
      <w:pPr>
        <w:spacing w:after="60"/>
      </w:pPr>
      <w:r>
        <w:rPr>
          <w:sz w:val="20"/>
        </w:rPr>
        <w:t>[18] Sandler L. Coupled thermal activation and autocatalytic cure kinetics: a theoretical and computational study of delayed reactive transformation. ChemRxiv 2026. https://doi.org/10.26434/chemrxiv.15008366/v1; archived at https://doi.org/10.5281/zenodo.22073390</w:t>
      </w:r>
    </w:p>
    <w:p>
      <w:pPr>
        <w:spacing w:after="60"/>
      </w:pPr>
      <w:r>
        <w:rPr>
          <w:sz w:val="20"/>
        </w:rPr>
        <w:t>[19] Strogatz SH. Nonlinear Dynamics and Chaos, 2nd ed. Boulder: Westview Press; 2015.</w:t>
      </w:r>
    </w:p>
    <w:p>
      <w:pPr>
        <w:spacing w:after="60"/>
      </w:pPr>
      <w:r>
        <w:rPr>
          <w:sz w:val="20"/>
        </w:rPr>
        <w:t>[20] Corless RM, Gonnet GH, Hare DEG, Jeffrey DJ, Knuth DE. On the LambertW function. Adv Comput Math. 1996;5:329–359. https://doi.org/10.1007/BF02124750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Closed-Form Storage Stability, Induction Delay, and Thermal-Feedback Criticality of Melt-Gated Autocatalytic Cure</dc:title>
  <dc:subject/>
  <dc:creator>Leon Sandler</dc:creator>
  <cp:keywords/>
  <dc:description>generated by python-docx</dc:description>
  <cp:lastModifiedBy/>
  <cp:revision>1</cp:revision>
  <dcterms:created xsi:type="dcterms:W3CDTF">2013-12-23T23:15:00Z</dcterms:created>
  <dcterms:modified xsi:type="dcterms:W3CDTF">2013-12-23T23:15:00Z</dcterms:modified>
  <cp:category/>
</cp:coreProperties>
</file>