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Closed-Form Storage Stability, Induction Delay, and Thermal-Feedback Criticality of Melt-Gated Autocatalytic Cure</w:t>
      </w:r>
    </w:p>
    <w:p>
      <w:pPr>
        <w:spacing w:after="0"/>
      </w:pPr>
      <w:r>
        <w:rPr>
          <w:sz w:val="21"/>
        </w:rPr>
        <w:t>Leon Sandler</w:t>
      </w:r>
    </w:p>
    <w:p>
      <w:pPr>
        <w:spacing w:after="0"/>
      </w:pPr>
      <w:r>
        <w:rPr>
          <w:sz w:val="21"/>
        </w:rPr>
        <w:t>Independent researcher, Northbrook, Illinois, USA</w:t>
      </w:r>
    </w:p>
    <w:p>
      <w:pPr>
        <w:spacing w:after="0"/>
      </w:pPr>
      <w:r>
        <w:rPr>
          <w:sz w:val="21"/>
        </w:rPr>
        <w:t>Corresponding author: sandler.leon@gmail.com</w:t>
      </w:r>
    </w:p>
    <w:p>
      <w:pPr>
        <w:spacing w:after="0"/>
      </w:pPr>
      <w:r>
        <w:rPr>
          <w:sz w:val="21"/>
        </w:rPr>
        <w:t>ORCID: 0009-0007-4584-808X</w:t>
      </w:r>
    </w:p>
    <w:p/>
    <w:p>
      <w:pPr>
        <w:pStyle w:val="Heading1"/>
      </w:pPr>
      <w:r>
        <w:rPr>
          <w:rFonts w:ascii="Times New Roman" w:hAnsi="Times New Roman"/>
        </w:rPr>
        <w:t>Abstract</w:t>
      </w:r>
    </w:p>
    <w:p>
      <w:pPr>
        <w:keepNext w:val="0"/>
        <w:jc w:val="both"/>
      </w:pPr>
      <w:r>
        <w:t>A cure triggered by the melting of an encapsulated catalyst combines a distribution of capsule melting temperatures, autocatalytic kinetics, and exothermic feedback. We show that this lumped model is largely solvable in closed form, and test every result against the full equations. (i) At constant temperature the gated cure is the isothermal cure evaluated on the integrated availability of the catalyst, so the gate delays every conversion level by essentially the release time constant (verified to 8e-07 relative error). (ii) The isothermal cure time is exact by one quadrature for any reaction order and in closed form for first order; its sharpness is set logarithmically by the rate-constant ratio. (iii) For Gaussian-distributed capsule melting temperatures with spread σ, the storage conversion follows from the open fraction Φ(−Δ/σ_eff) and gives a closed-form rule for the largest admissible spread, which agrees with the population equations within 3 %. (iv) Thermal feedback has a critical number Π_c = ψΘ = e⁻¹(1+n)^(1+n)/n^n (1.98 for n = 3/2) at a fold of the quasi-steady manifold; the overshoot below it is a Lambert-W function with a square-root normal form, bisected integrations approach it to 0.5 % as Θ → 0, and Arrhenius kinetics multiply it by exp(1/Ar). (v) In a continuous-flow reactor the same fold produces ignition–extinction hysteresis with a computed existence threshold κ_c = 1.89, and the loop area extrapolates to the static value as the sweep rate vanishes. All parameters are illustrative and no experimental data are used.</w:t>
      </w:r>
    </w:p>
    <w:p>
      <w:pPr>
        <w:keepNext w:val="0"/>
      </w:pPr>
      <w:r>
        <w:rPr>
          <w:b/>
        </w:rPr>
        <w:t>Keywords:</w:t>
      </w:r>
      <w:r>
        <w:t xml:space="preserve"> autocatalytic cure kinetics; thermal runaway; encapsulated catalyst; Lambert W function; saddle-node bifurcation; hysteresis</w:t>
      </w:r>
    </w:p>
    <w:p>
      <w:pPr>
        <w:pStyle w:val="Heading1"/>
      </w:pPr>
      <w:r>
        <w:rPr>
          <w:rFonts w:ascii="Times New Roman" w:hAnsi="Times New Roman"/>
        </w:rPr>
        <w:t>I. Introduction</w:t>
      </w:r>
    </w:p>
    <w:p>
      <w:pPr>
        <w:keepNext w:val="0"/>
        <w:jc w:val="both"/>
      </w:pPr>
      <w:r>
        <w:t>Encapsulating a reactive component and releasing it on demand is a general way to separate the stability of a formulation from the speed of its cure. The best-known instance is the self-healing polymer, in which embedded capsules release a healing agent when damaged [1]; thermally triggered variants use the melting of a wax or polymer shell, whose phase-change behavior is the subject of an extensive literature on microencapsulated phase-change materials [2]. When the released species catalyzes a thermoset cure, three features interact: the capsule population has a distribution of melting temperatures rather than a single one, the cure is autocatalytic and follows the form introduced by Kamal and Sourour [3, 4], and the cure heat raises the temperature of the specimen, which accelerates the cure. The last interaction is the origin of thermal runaway in thick thermoset sections [5] and is the subject of the classical theory of thermal explosion of Semenov and Frank-Kamenetskii [6, 7], while the multiplicity of steady states of a heated, continuously fed reactor goes back to van Heerden [8, 9].</w:t>
      </w:r>
    </w:p>
    <w:p>
      <w:pPr>
        <w:keepNext w:val="0"/>
        <w:jc w:val="both"/>
      </w:pPr>
      <w:r>
        <w:t>What is missing is a quantitative link between the few parameters that a calorimeter measures (the rate constants of the cure, the width of the melting endotherm of the capsules, the thermal time constant of a specimen) and the three properties that determine whether a gated formulation can be used: how long it can be stored, how long the gate delays the cure, and when the cure heat makes the temperature run away. Kinetic analysis of calorimetric data is well codified [10, 11], but it treats the rate law and the energy balance separately. Here we show that, for the lumped model of a melt-gated autocatalytic cure, those links can be written in closed form.</w:t>
      </w:r>
    </w:p>
    <w:p>
      <w:pPr>
        <w:keepNext w:val="0"/>
        <w:jc w:val="both"/>
      </w:pPr>
      <w:r>
        <w:t>The paper makes five contributions, each stated as a proposition and each verified against the full numerical model. (1) At constant temperature the gated cure is exactly the isothermal cure on the clock of integrated availability (Section III A). (2) The isothermal cure time is exact for any reaction order by one quadrature, and its sharpness obeys a logarithmic law (III B). (3) The storage conversion of a Gaussian capsule population has a closed form that inverts into a design rule for the admissible melting-temperature spread (III C). (4) Thermal feedback has a critical number at a fold of the quasi-steady manifold, with the overshoot given by the Lambert W function and the effect of Arrhenius kinetics by a closed-form factor (III D). (5) The same fold, in a continuous-flow reactor, produces an ignition–extinction hysteresis whose existence threshold and static loop area are computable, and whose loop area at finite sweep rate extrapolates to the static value (III E). A synthetic-data test shows how the closed forms behave as fitting functions (III F).</w:t>
      </w:r>
    </w:p>
    <w:p>
      <w:pPr>
        <w:keepNext w:val="0"/>
        <w:jc w:val="both"/>
      </w:pPr>
      <w:r>
        <w:t>The illustrative parameter set and the capsule-population picture were introduced in a numerical study by the author [12]. The analytic results below are new, and the comparisons of that study with first-order controls are not used here. The model is lumped and every parameter is illustrative: nothing is fitted to measurements, and the paper makes no claim about a particular material.</w:t>
      </w:r>
    </w:p>
    <w:p>
      <w:pPr>
        <w:pStyle w:val="Heading1"/>
      </w:pPr>
      <w:r>
        <w:rPr>
          <w:rFonts w:ascii="Times New Roman" w:hAnsi="Times New Roman"/>
        </w:rPr>
        <w:t>II. Model and scaling</w:t>
      </w:r>
    </w:p>
    <w:p>
      <w:pPr>
        <w:pStyle w:val="Heading2"/>
      </w:pPr>
      <w:r>
        <w:rPr>
          <w:rFonts w:ascii="Times New Roman" w:hAnsi="Times New Roman"/>
        </w:rPr>
        <w:t>A. Equations</w:t>
      </w:r>
    </w:p>
    <w:p>
      <w:pPr>
        <w:keepNext w:val="0"/>
        <w:jc w:val="both"/>
      </w:pPr>
      <w:r>
        <w:t>The conversion α of the resin obeys a Kamal–Sourour law with reaction order n for the unreacted fraction and first order in the autocatalytic term,</w:t>
      </w:r>
    </w:p>
    <w:p>
      <w:pPr>
        <w:keepLines/>
        <w:tabs>
          <w:tab w:pos="4680" w:val="center"/>
          <w:tab w:pos="9360" w:val="right"/>
        </w:tabs>
        <w:spacing w:before="120" w:after="120"/>
      </w:pPr>
      <w:r>
        <w:tab/>
      </w:r>
      <m:oMath>
        <m:f>
          <m:fPr>
            <m:ctrlPr>
              <w:rPr>
                <w:rFonts w:ascii="Cambria Math" w:hAnsi="Cambria Math"/>
                <w:i/>
              </w:rPr>
            </m:ctrlPr>
          </m:fPr>
          <m:num>
            <m:r>
              <m:rPr>
                <m:sty m:val="i"/>
              </m:rPr>
              <w:rPr>
                <w:rFonts w:ascii="Cambria Math" w:hAnsi="Cambria Math"/>
                <w:i/>
              </w:rPr>
              <m:t xml:space="preserve">dα</m:t>
            </m:r>
          </m:num>
          <m:den>
            <m:r>
              <m:rPr>
                <m:sty m:val="i"/>
              </m:rPr>
              <w:rPr>
                <w:rFonts w:ascii="Cambria Math" w:hAnsi="Cambria Math"/>
                <w:i/>
              </w:rPr>
              <m:t xml:space="preserve">dt</m:t>
            </m:r>
          </m:den>
        </m:f>
        <m:r>
          <m:rPr>
            <m:nor/>
          </m:rPr>
          <w:rPr>
            <w:rFonts w:ascii="Cambria Math" w:hAnsi="Cambria Math"/>
            <w:i w:val="0"/>
          </w:rPr>
          <m:t xml:space="preserve"> = </m:t>
        </m:r>
        <m:d>
          <m:dPr>
            <m:begChr m:val="⟨"/>
            <m:endChr m:val="⟩"/>
            <m:ctrlPr>
              <w:rPr>
                <w:rFonts w:ascii="Cambria Math" w:hAnsi="Cambria Math"/>
                <w:i/>
              </w:rPr>
            </m:ctrlPr>
          </m:dPr>
          <m:e>
            <m:r>
              <m:rPr>
                <m:sty m:val="i"/>
              </m:rPr>
              <w:rPr>
                <w:rFonts w:ascii="Cambria Math" w:hAnsi="Cambria Math"/>
                <w:i/>
              </w:rPr>
              <m:t xml:space="preserve">C</m:t>
            </m:r>
          </m:e>
        </m:d>
        <m:r>
          <m:rPr>
            <m:nor/>
          </m:rPr>
          <w:rPr>
            <w:rFonts w:ascii="Cambria Math" w:hAnsi="Cambria Math"/>
            <w:i w:val="0"/>
          </w:rPr>
          <m:t xml:space="preserve">(t)</m:t>
        </m:r>
        <m:d>
          <m:dPr>
            <m:begChr m:val="("/>
            <m:endChr m:val=")"/>
            <m:ctrlPr>
              <w:rPr>
                <w:rFonts w:ascii="Cambria Math" w:hAnsi="Cambria Math"/>
                <w:i/>
              </w:rPr>
            </m:ctrlPr>
          </m:dPr>
          <m:e>
            <m:sSub>
              <m:sSubPr>
                <m:ctrlPr>
                  <w:rPr>
                    <w:rFonts w:ascii="Cambria Math" w:hAnsi="Cambria Math"/>
                    <w:i/>
                  </w:rPr>
                </m:ctrlPr>
              </m:sSubPr>
              <m:e>
                <m:r>
                  <m:rPr>
                    <m:sty m:val="i"/>
                  </m:rPr>
                  <w:rPr>
                    <w:rFonts w:ascii="Cambria Math" w:hAnsi="Cambria Math"/>
                    <w:i/>
                  </w:rPr>
                  <m:t xml:space="preserve">k</m:t>
                </m:r>
              </m:e>
              <m:sub>
                <m:r>
                  <m:rPr>
                    <m:nor/>
                  </m:rPr>
                  <w:rPr>
                    <w:rFonts w:ascii="Cambria Math" w:hAnsi="Cambria Math"/>
                    <w:i w:val="0"/>
                  </w:rPr>
                  <m:t xml:space="preserve">1</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k</m:t>
                </m:r>
              </m:e>
              <m:sub>
                <m:r>
                  <m:rPr>
                    <m:nor/>
                  </m:rPr>
                  <w:rPr>
                    <w:rFonts w:ascii="Cambria Math" w:hAnsi="Cambria Math"/>
                    <w:i w:val="0"/>
                  </w:rPr>
                  <m:t xml:space="preserve">2</m:t>
                </m:r>
              </m:sub>
            </m:sSub>
            <m:r>
              <m:rPr>
                <m:sty m:val="i"/>
              </m:rPr>
              <w:rPr>
                <w:rFonts w:ascii="Cambria Math" w:hAnsi="Cambria Math"/>
                <w:i/>
              </w:rPr>
              <m:t xml:space="preserve">α</m:t>
            </m:r>
          </m:e>
        </m:d>
        <m:sSup>
          <m:sSupPr>
            <m:ctrlPr>
              <w:rPr>
                <w:rFonts w:ascii="Cambria Math" w:hAnsi="Cambria Math"/>
                <w:i/>
              </w:rPr>
            </m:ctrlPr>
          </m:sSupPr>
          <m:e>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sty m:val="i"/>
                  </m:rPr>
                  <w:rPr>
                    <w:rFonts w:ascii="Cambria Math" w:hAnsi="Cambria Math"/>
                    <w:i/>
                  </w:rPr>
                  <m:t xml:space="preserve">α</m:t>
                </m:r>
              </m:e>
            </m:d>
          </m:e>
          <m:sup>
            <m:r>
              <m:rPr>
                <m:sty m:val="i"/>
              </m:rPr>
              <w:rPr>
                <w:rFonts w:ascii="Cambria Math" w:hAnsi="Cambria Math"/>
                <w:i/>
              </w:rPr>
              <m:t xml:space="preserve">n</m:t>
            </m:r>
          </m:sup>
        </m:sSup>
        <m:r>
          <m:rPr>
            <m:nor/>
          </m:rPr>
          <w:rPr>
            <w:rFonts w:ascii="Cambria Math" w:hAnsi="Cambria Math"/>
            <w:i w:val="0"/>
          </w:rPr>
          <m:t xml:space="preserve">,</m:t>
        </m:r>
      </m:oMath>
      <w:r>
        <w:tab/>
        <w:t xml:space="preserve">(1)</w:t>
      </w:r>
    </w:p>
    <w:p>
      <w:pPr>
        <w:keepNext w:val="0"/>
        <w:jc w:val="both"/>
      </w:pPr>
      <w:r>
        <w:t>where ⟨C⟩ is the availability of the catalyst averaged over the capsule population (the fraction of the catalyst that has been released, 0 ≤ ⟨C⟩ ≤ 1). The temperature of the well-mixed specimen obeys a lumped energy balance with Newtonian loss and the adiabatic temperature rise ΔT</w:t>
      </w:r>
      <w:r>
        <w:rPr>
          <w:vertAlign w:val="subscript"/>
        </w:rPr>
        <w:t>ad</w:t>
      </w:r>
      <w:r>
        <w:t xml:space="preserve"> of the reaction,</w:t>
      </w:r>
    </w:p>
    <w:p>
      <w:pPr>
        <w:keepLines/>
        <w:tabs>
          <w:tab w:pos="4680" w:val="center"/>
          <w:tab w:pos="9360" w:val="right"/>
        </w:tabs>
        <w:spacing w:before="120" w:after="120"/>
      </w:pPr>
      <w:r>
        <w:tab/>
      </w:r>
      <m:oMath>
        <m:f>
          <m:fPr>
            <m:ctrlPr>
              <w:rPr>
                <w:rFonts w:ascii="Cambria Math" w:hAnsi="Cambria Math"/>
                <w:i/>
              </w:rPr>
            </m:ctrlPr>
          </m:fPr>
          <m:num>
            <m:r>
              <m:rPr>
                <m:sty m:val="i"/>
              </m:rPr>
              <w:rPr>
                <w:rFonts w:ascii="Cambria Math" w:hAnsi="Cambria Math"/>
                <w:i/>
              </w:rPr>
              <m:t xml:space="preserve">dT</m:t>
            </m:r>
          </m:num>
          <m:den>
            <m:r>
              <m:rPr>
                <m:sty m:val="i"/>
              </m:rPr>
              <w:rPr>
                <w:rFonts w:ascii="Cambria Math" w:hAnsi="Cambria Math"/>
                <w:i/>
              </w:rPr>
              <m:t xml:space="preserve">dt</m:t>
            </m:r>
          </m:den>
        </m:f>
        <m:r>
          <m:rPr>
            <m:nor/>
          </m:rPr>
          <w:rPr>
            <w:rFonts w:ascii="Cambria Math" w:hAnsi="Cambria Math"/>
            <w:i w:val="0"/>
          </w:rPr>
          <m:t xml:space="preserve"> = </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m:t>
                    </m:r>
                  </m:sub>
                </m:sSub>
                <m:r>
                  <m:rPr>
                    <m:nor/>
                  </m:rPr>
                  <w:rPr>
                    <w:rFonts w:ascii="Cambria Math" w:hAnsi="Cambria Math"/>
                    <w:i w:val="0"/>
                  </w:rPr>
                  <m:t xml:space="preserve"> − </m:t>
                </m:r>
                <m:r>
                  <m:rPr>
                    <m:sty m:val="i"/>
                  </m:rPr>
                  <w:rPr>
                    <w:rFonts w:ascii="Cambria Math" w:hAnsi="Cambria Math"/>
                    <w:i/>
                  </w:rPr>
                  <m:t xml:space="preserve">T</m:t>
                </m:r>
              </m:e>
            </m:d>
          </m:num>
          <m:den>
            <m:sSub>
              <m:sSubPr>
                <m:ctrlPr>
                  <w:rPr>
                    <w:rFonts w:ascii="Cambria Math" w:hAnsi="Cambria Math"/>
                    <w:i/>
                  </w:rPr>
                </m:ctrlPr>
              </m:sSubPr>
              <m:e>
                <m:r>
                  <m:rPr>
                    <m:sty m:val="i"/>
                  </m:rPr>
                  <w:rPr>
                    <w:rFonts w:ascii="Cambria Math" w:hAnsi="Cambria Math"/>
                    <w:i/>
                  </w:rPr>
                  <m:t xml:space="preserve">τ</m:t>
                </m:r>
              </m:e>
              <m:sub>
                <m:r>
                  <m:rPr>
                    <m:nor/>
                  </m:rPr>
                  <w:rPr>
                    <w:rFonts w:ascii="Cambria Math" w:hAnsi="Cambria Math"/>
                    <w:i w:val="0"/>
                  </w:rPr>
                  <m:t xml:space="preserve">th</m:t>
                </m:r>
              </m:sub>
            </m:sSub>
          </m:den>
        </m:f>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ΔT</m:t>
            </m:r>
          </m:e>
          <m:sub>
            <m:r>
              <m:rPr>
                <m:nor/>
              </m:rPr>
              <w:rPr>
                <w:rFonts w:ascii="Cambria Math" w:hAnsi="Cambria Math"/>
                <w:i w:val="0"/>
              </w:rPr>
              <m:t xml:space="preserve">ad</m:t>
            </m:r>
          </m:sub>
        </m:sSub>
        <m:f>
          <m:fPr>
            <m:ctrlPr>
              <w:rPr>
                <w:rFonts w:ascii="Cambria Math" w:hAnsi="Cambria Math"/>
                <w:i/>
              </w:rPr>
            </m:ctrlPr>
          </m:fPr>
          <m:num>
            <m:r>
              <m:rPr>
                <m:sty m:val="i"/>
              </m:rPr>
              <w:rPr>
                <w:rFonts w:ascii="Cambria Math" w:hAnsi="Cambria Math"/>
                <w:i/>
              </w:rPr>
              <m:t xml:space="preserve">dα</m:t>
            </m:r>
          </m:num>
          <m:den>
            <m:r>
              <m:rPr>
                <m:sty m:val="i"/>
              </m:rPr>
              <w:rPr>
                <w:rFonts w:ascii="Cambria Math" w:hAnsi="Cambria Math"/>
                <w:i/>
              </w:rPr>
              <m:t xml:space="preserve">dt</m:t>
            </m:r>
          </m:den>
        </m:f>
        <m:r>
          <m:rPr>
            <m:nor/>
          </m:rPr>
          <w:rPr>
            <w:rFonts w:ascii="Cambria Math" w:hAnsi="Cambria Math"/>
            <w:i w:val="0"/>
          </w:rPr>
          <m:t xml:space="preserve">.</m:t>
        </m:r>
      </m:oMath>
      <w:r>
        <w:tab/>
        <w:t xml:space="preserve">(2)</w:t>
      </w:r>
    </w:p>
    <w:p>
      <w:pPr>
        <w:keepNext w:val="0"/>
        <w:jc w:val="both"/>
      </w:pPr>
      <w:r>
        <w:t xml:space="preserve">Capsule </w:t>
      </w:r>
      <w:r>
        <w:rPr>
          <w:i/>
        </w:rPr>
        <w:t>i</w:t>
      </w:r>
      <w:r>
        <w:t xml:space="preserve"> has a melting temperature T</w:t>
      </w:r>
      <w:r>
        <w:rPr>
          <w:vertAlign w:val="subscript"/>
        </w:rPr>
        <w:t>m,i</w:t>
      </w:r>
      <w:r>
        <w:t>, drawn from a Gaussian of mean T</w:t>
      </w:r>
      <w:r>
        <w:rPr>
          <w:vertAlign w:val="subscript"/>
        </w:rPr>
        <w:t>m</w:t>
      </w:r>
      <w:r>
        <w:t xml:space="preserve"> and standard deviation σ, and releases its catalyst by first-order relaxation toward a logistic activation of width </w:t>
      </w:r>
      <w:r>
        <w:rPr>
          <w:i/>
        </w:rPr>
        <w:t>w</w:t>
      </w:r>
      <w:r>
        <w:rPr>
          <w:vertAlign w:val="subscript"/>
        </w:rPr>
        <w:t>0</w:t>
      </w:r>
      <w:r>
        <w:t>,</w:t>
      </w:r>
    </w:p>
    <w:p>
      <w:pPr>
        <w:keepLines/>
        <w:tabs>
          <w:tab w:pos="4680" w:val="center"/>
          <w:tab w:pos="9360" w:val="right"/>
        </w:tabs>
        <w:spacing w:before="120" w:after="120"/>
      </w:pPr>
      <w:r>
        <w:tab/>
      </w:r>
      <m:oMath>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dC</m:t>
                </m:r>
              </m:e>
              <m:sub>
                <m:r>
                  <m:rPr>
                    <m:sty m:val="i"/>
                  </m:rPr>
                  <w:rPr>
                    <w:rFonts w:ascii="Cambria Math" w:hAnsi="Cambria Math"/>
                    <w:i/>
                  </w:rPr>
                  <m:t xml:space="preserve">i</m:t>
                </m:r>
              </m:sub>
            </m:sSub>
          </m:num>
          <m:den>
            <m:r>
              <m:rPr>
                <m:sty m:val="i"/>
              </m:rPr>
              <w:rPr>
                <w:rFonts w:ascii="Cambria Math" w:hAnsi="Cambria Math"/>
                <w:i/>
              </w:rPr>
              <m:t xml:space="preserve">dt</m:t>
            </m:r>
          </m:den>
        </m:f>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k</m:t>
            </m:r>
          </m:e>
          <m:sub>
            <m:r>
              <m:rPr>
                <m:nor/>
              </m:rPr>
              <w:rPr>
                <w:rFonts w:ascii="Cambria Math" w:hAnsi="Cambria Math"/>
                <w:i w:val="0"/>
              </w:rPr>
              <m:t xml:space="preserve">rel</m:t>
            </m:r>
          </m:sub>
        </m:sSub>
        <m:d>
          <m:dPr>
            <m:begChr m:val="("/>
            <m:endChr m:val=")"/>
            <m:ctrlPr>
              <w:rPr>
                <w:rFonts w:ascii="Cambria Math" w:hAnsi="Cambria Math"/>
                <w:i/>
              </w:rPr>
            </m:ctrlPr>
          </m:dPr>
          <m:e>
            <m:r>
              <m:rPr>
                <m:sty m:val="i"/>
              </m:rPr>
              <w:rPr>
                <w:rFonts w:ascii="Cambria Math" w:hAnsi="Cambria Math"/>
                <w:i/>
              </w:rPr>
              <m:t xml:space="preserve">T</m:t>
            </m:r>
          </m:e>
        </m:d>
        <m:d>
          <m:dPr>
            <m:begChr m:val="["/>
            <m:endChr m:val="]"/>
            <m:ctrlPr>
              <w:rPr>
                <w:rFonts w:ascii="Cambria Math" w:hAnsi="Cambria Math"/>
                <w:i/>
              </w:rPr>
            </m:ctrlPr>
          </m:dPr>
          <m:e>
            <m:sSub>
              <m:sSubPr>
                <m:ctrlPr>
                  <w:rPr>
                    <w:rFonts w:ascii="Cambria Math" w:hAnsi="Cambria Math"/>
                    <w:i/>
                  </w:rPr>
                </m:ctrlPr>
              </m:sSubPr>
              <m:e>
                <m:r>
                  <m:rPr>
                    <m:sty m:val="i"/>
                  </m:rPr>
                  <w:rPr>
                    <w:rFonts w:ascii="Cambria Math" w:hAnsi="Cambria Math"/>
                    <w:i/>
                  </w:rPr>
                  <m:t xml:space="preserve">G</m:t>
                </m:r>
              </m:e>
              <m:sub>
                <m:r>
                  <m:rPr>
                    <m:sty m:val="i"/>
                  </m:rPr>
                  <w:rPr>
                    <w:rFonts w:ascii="Cambria Math" w:hAnsi="Cambria Math"/>
                    <w:i/>
                  </w:rPr>
                  <m:t xml:space="preserve">i</m:t>
                </m:r>
              </m:sub>
            </m:sSub>
            <m:d>
              <m:dPr>
                <m:begChr m:val="("/>
                <m:endChr m:val=")"/>
                <m:ctrlPr>
                  <w:rPr>
                    <w:rFonts w:ascii="Cambria Math" w:hAnsi="Cambria Math"/>
                    <w:i/>
                  </w:rPr>
                </m:ctrlPr>
              </m:dPr>
              <m:e>
                <m:r>
                  <m:rPr>
                    <m:sty m:val="i"/>
                  </m:rPr>
                  <w:rPr>
                    <w:rFonts w:ascii="Cambria Math" w:hAnsi="Cambria Math"/>
                    <w:i/>
                  </w:rPr>
                  <m:t xml:space="preserve">T</m:t>
                </m:r>
              </m:e>
            </m:d>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C</m:t>
                </m:r>
              </m:e>
              <m:sub>
                <m:r>
                  <m:rPr>
                    <m:sty m:val="i"/>
                  </m:rPr>
                  <w:rPr>
                    <w:rFonts w:ascii="Cambria Math" w:hAnsi="Cambria Math"/>
                    <w:i/>
                  </w:rPr>
                  <m:t xml:space="preserve">i</m:t>
                </m:r>
              </m:sub>
            </m:sSub>
          </m:e>
        </m:d>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G</m:t>
            </m:r>
          </m:e>
          <m:sub>
            <m:r>
              <m:rPr>
                <m:sty m:val="i"/>
              </m:rPr>
              <w:rPr>
                <w:rFonts w:ascii="Cambria Math" w:hAnsi="Cambria Math"/>
                <w:i/>
              </w:rPr>
              <m:t xml:space="preserve">i</m:t>
            </m:r>
          </m:sub>
        </m:sSub>
        <m:r>
          <m:rPr>
            <m:nor/>
          </m:rPr>
          <w:rPr>
            <w:rFonts w:ascii="Cambria Math" w:hAnsi="Cambria Math"/>
            <w:i w:val="0"/>
          </w:rPr>
          <m:t xml:space="preserve"> = </m:t>
        </m:r>
        <m:sSup>
          <m:sSupPr>
            <m:ctrlPr>
              <w:rPr>
                <w:rFonts w:ascii="Cambria Math" w:hAnsi="Cambria Math"/>
                <w:i/>
              </w:rPr>
            </m:ctrlPr>
          </m:sSupPr>
          <m:e>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nor/>
                  </m:rPr>
                  <w:rPr>
                    <w:rFonts w:ascii="Cambria Math" w:hAnsi="Cambria Math"/>
                    <w:i w:val="0"/>
                  </w:rPr>
                  <m:t xml:space="preserve">exp</m:t>
                </m:r>
                <m:d>
                  <m:dPr>
                    <m:begChr m:val="("/>
                    <m:endChr m:val=")"/>
                    <m:ctrlPr>
                      <w:rPr>
                        <w:rFonts w:ascii="Cambria Math" w:hAnsi="Cambria Math"/>
                        <w:i/>
                      </w:rPr>
                    </m:ctrlPr>
                  </m:dPr>
                  <m:e>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T</m:t>
                        </m:r>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T</m:t>
                            </m:r>
                          </m:e>
                          <m:sub>
                            <m:r>
                              <m:rPr>
                                <m:sty m:val="i"/>
                              </m:rPr>
                              <w:rPr>
                                <w:rFonts w:ascii="Cambria Math" w:hAnsi="Cambria Math"/>
                                <w:i/>
                              </w:rPr>
                              <m:t xml:space="preserve">m,i</m:t>
                            </m:r>
                          </m:sub>
                        </m:sSub>
                      </m:num>
                      <m:den>
                        <m:sSub>
                          <m:sSubPr>
                            <m:ctrlPr>
                              <w:rPr>
                                <w:rFonts w:ascii="Cambria Math" w:hAnsi="Cambria Math"/>
                                <w:i/>
                              </w:rPr>
                            </m:ctrlPr>
                          </m:sSubPr>
                          <m:e>
                            <m:r>
                              <m:rPr>
                                <m:sty m:val="i"/>
                              </m:rPr>
                              <w:rPr>
                                <w:rFonts w:ascii="Cambria Math" w:hAnsi="Cambria Math"/>
                                <w:i/>
                              </w:rPr>
                              <m:t xml:space="preserve">w</m:t>
                            </m:r>
                          </m:e>
                          <m:sub>
                            <m:r>
                              <m:rPr>
                                <m:nor/>
                              </m:rPr>
                              <w:rPr>
                                <w:rFonts w:ascii="Cambria Math" w:hAnsi="Cambria Math"/>
                                <w:i w:val="0"/>
                              </w:rPr>
                              <m:t xml:space="preserve">0</m:t>
                            </m:r>
                          </m:sub>
                        </m:sSub>
                      </m:den>
                    </m:f>
                  </m:e>
                </m:d>
              </m:e>
            </m:d>
          </m:e>
          <m:sup>
            <m:r>
              <m:rPr>
                <m:nor/>
              </m:rPr>
              <w:rPr>
                <w:rFonts w:ascii="Cambria Math" w:hAnsi="Cambria Math"/>
                <w:i w:val="0"/>
              </w:rPr>
              <m:t xml:space="preserve">−1</m:t>
            </m:r>
          </m:sup>
        </m:sSup>
        <m:r>
          <m:rPr>
            <m:nor/>
          </m:rPr>
          <w:rPr>
            <w:rFonts w:ascii="Cambria Math" w:hAnsi="Cambria Math"/>
            <w:i w:val="0"/>
          </w:rPr>
          <m:t xml:space="preserve">,   </m:t>
        </m:r>
        <m:d>
          <m:dPr>
            <m:begChr m:val="⟨"/>
            <m:endChr m:val="⟩"/>
            <m:ctrlPr>
              <w:rPr>
                <w:rFonts w:ascii="Cambria Math" w:hAnsi="Cambria Math"/>
                <w:i/>
              </w:rPr>
            </m:ctrlPr>
          </m:dPr>
          <m:e>
            <m:r>
              <m:rPr>
                <m:sty m:val="i"/>
              </m:rPr>
              <w:rPr>
                <w:rFonts w:ascii="Cambria Math" w:hAnsi="Cambria Math"/>
                <w:i/>
              </w:rPr>
              <m:t xml:space="preserve">C</m:t>
            </m:r>
          </m:e>
        </m:d>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1</m:t>
            </m:r>
          </m:num>
          <m:den>
            <m:r>
              <m:rPr>
                <m:sty m:val="i"/>
              </m:rPr>
              <w:rPr>
                <w:rFonts w:ascii="Cambria Math" w:hAnsi="Cambria Math"/>
                <w:i/>
              </w:rPr>
              <m:t xml:space="preserve">K</m:t>
            </m:r>
          </m:den>
        </m:f>
        <m:r>
          <m:rPr>
            <m:nor/>
          </m:rPr>
          <w:rPr>
            <w:rFonts w:ascii="Cambria Math" w:hAnsi="Cambria Math"/>
            <w:i w:val="0"/>
          </w:rPr>
          <m:t xml:space="preserve">∑</m:t>
        </m:r>
        <m:sSub>
          <m:sSubPr>
            <m:ctrlPr>
              <w:rPr>
                <w:rFonts w:ascii="Cambria Math" w:hAnsi="Cambria Math"/>
                <w:i/>
              </w:rPr>
            </m:ctrlPr>
          </m:sSubPr>
          <m:e>
            <m:r>
              <m:rPr>
                <m:sty m:val="i"/>
              </m:rPr>
              <w:rPr>
                <w:rFonts w:ascii="Cambria Math" w:hAnsi="Cambria Math"/>
                <w:i/>
              </w:rPr>
              <m:t xml:space="preserve">C</m:t>
            </m:r>
          </m:e>
          <m:sub>
            <m:r>
              <m:rPr>
                <m:sty m:val="i"/>
              </m:rPr>
              <w:rPr>
                <w:rFonts w:ascii="Cambria Math" w:hAnsi="Cambria Math"/>
                <w:i/>
              </w:rPr>
              <m:t xml:space="preserve">i</m:t>
            </m:r>
          </m:sub>
        </m:sSub>
        <m:r>
          <m:rPr>
            <m:nor/>
          </m:rPr>
          <w:rPr>
            <w:rFonts w:ascii="Cambria Math" w:hAnsi="Cambria Math"/>
            <w:i w:val="0"/>
          </w:rPr>
          <m:t xml:space="preserve">.</m:t>
        </m:r>
      </m:oMath>
      <w:r>
        <w:tab/>
        <w:t xml:space="preserve">(3)</w:t>
      </w:r>
    </w:p>
    <w:p>
      <w:pPr>
        <w:keepNext w:val="0"/>
        <w:jc w:val="both"/>
      </w:pPr>
      <w:r>
        <w:t xml:space="preserve">The rate constants are Arrhenius, </w:t>
      </w:r>
      <w:r>
        <w:rPr>
          <w:i/>
        </w:rPr>
        <w:t>k</w:t>
      </w:r>
      <w:r>
        <w:rPr>
          <w:vertAlign w:val="subscript"/>
        </w:rPr>
        <w:t>j</w:t>
      </w:r>
      <w:r>
        <w:t xml:space="preserve"> = </w:t>
      </w:r>
      <w:r>
        <w:rPr>
          <w:i/>
        </w:rPr>
        <w:t>A</w:t>
      </w:r>
      <w:r>
        <w:rPr>
          <w:vertAlign w:val="subscript"/>
        </w:rPr>
        <w:t>j</w:t>
      </w:r>
      <w:r>
        <w:t xml:space="preserve"> exp(−</w:t>
      </w:r>
      <w:r>
        <w:rPr>
          <w:i/>
        </w:rPr>
        <w:t>E</w:t>
      </w:r>
      <w:r>
        <w:rPr>
          <w:vertAlign w:val="subscript"/>
        </w:rPr>
        <w:t>j</w:t>
      </w:r>
      <w:r>
        <w:t>/</w:t>
      </w:r>
      <w:r>
        <w:rPr>
          <w:i/>
        </w:rPr>
        <w:t>RT</w:t>
      </w:r>
      <w:r>
        <w:t xml:space="preserve">), for </w:t>
      </w:r>
      <w:r>
        <w:rPr>
          <w:i/>
        </w:rPr>
        <w:t>j</w:t>
      </w:r>
      <w:r>
        <w:t xml:space="preserve"> = 1 (background), 2 (autocatalytic) and rel (release). The model has no spatial structure, no diffusion control and no vitrification; those limits are listed in Section VI. Throughout, the </w:t>
      </w:r>
      <w:r>
        <w:rPr>
          <w:i/>
        </w:rPr>
        <w:t>illustrative</w:t>
      </w:r>
      <w:r>
        <w:t xml:space="preserve"> parameter set of Table 1 is used; it is not fitted to any material.</w:t>
      </w:r>
    </w:p>
    <w:p>
      <w:pPr>
        <w:keepNext/>
        <w:spacing w:line="276" w:lineRule="auto" w:after="200"/>
      </w:pPr>
      <w:r>
        <w:rPr>
          <w:b/>
          <w:sz w:val="19"/>
        </w:rPr>
        <w:t>Table 1</w:t>
      </w:r>
      <w:r>
        <w:rPr>
          <w:sz w:val="19"/>
        </w:rPr>
        <w:t xml:space="preserve"> Illustrative parameter set (not fitted to any material). Arrhenius forms are </w:t>
      </w:r>
      <w:r>
        <w:rPr>
          <w:i/>
          <w:sz w:val="19"/>
        </w:rPr>
        <w:t>k</w:t>
      </w:r>
      <w:r>
        <w:rPr>
          <w:sz w:val="19"/>
        </w:rPr>
        <w:t xml:space="preserve"> = </w:t>
      </w:r>
      <w:r>
        <w:rPr>
          <w:i/>
          <w:sz w:val="19"/>
        </w:rPr>
        <w:t>A</w:t>
      </w:r>
      <w:r>
        <w:rPr>
          <w:sz w:val="19"/>
        </w:rPr>
        <w:t xml:space="preserve"> exp(−</w:t>
      </w:r>
      <w:r>
        <w:rPr>
          <w:i/>
          <w:sz w:val="19"/>
        </w:rPr>
        <w:t>E</w:t>
      </w:r>
      <w:r>
        <w:rPr>
          <w:sz w:val="19"/>
        </w:rPr>
        <w:t>/</w:t>
      </w:r>
      <w:r>
        <w:rPr>
          <w:i/>
          <w:sz w:val="19"/>
        </w:rPr>
        <w:t>RT</w:t>
      </w:r>
      <w:r>
        <w:rPr>
          <w:sz w:val="19"/>
        </w:rPr>
        <w:t>).</w:t>
      </w:r>
    </w:p>
    <w:tbl>
      <w:tblPr>
        <w:tblStyle w:val="TableGrid"/>
        <w:tblW w:type="auto" w:w="0"/>
        <w:jc w:val="center"/>
        <w:tblLayout w:type="fixed"/>
        <w:tblLook w:firstColumn="1" w:firstRow="1" w:lastColumn="0" w:lastRow="0" w:noHBand="0" w:noVBand="1" w:val="04A0"/>
      </w:tblPr>
      <w:tblGrid>
        <w:gridCol w:w="3744"/>
        <w:gridCol w:w="1872"/>
        <w:gridCol w:w="3888"/>
      </w:tblGrid>
      <w:tr>
        <w:trPr>
          <w:tblHeader w:val="true"/>
        </w:trPr>
        <w:tc>
          <w:tcPr>
            <w:tcW w:type="dxa" w:w="3744"/>
            <w:shd w:val="clear" w:color="auto" w:fill="E7ECF1"/>
          </w:tcPr>
          <w:p>
            <w:pPr>
              <w:spacing w:line="240" w:lineRule="auto" w:after="20"/>
            </w:pPr>
            <w:r/>
            <w:r>
              <w:rPr>
                <w:b/>
                <w:sz w:val="17"/>
              </w:rPr>
              <w:t>Quantity</w:t>
            </w:r>
          </w:p>
        </w:tc>
        <w:tc>
          <w:tcPr>
            <w:tcW w:type="dxa" w:w="1872"/>
            <w:shd w:val="clear" w:color="auto" w:fill="E7ECF1"/>
          </w:tcPr>
          <w:p>
            <w:pPr>
              <w:spacing w:line="240" w:lineRule="auto" w:after="20"/>
            </w:pPr>
            <w:r/>
            <w:r>
              <w:rPr>
                <w:b/>
                <w:sz w:val="17"/>
              </w:rPr>
              <w:t>Symbol</w:t>
            </w:r>
          </w:p>
        </w:tc>
        <w:tc>
          <w:tcPr>
            <w:tcW w:type="dxa" w:w="3888"/>
            <w:shd w:val="clear" w:color="auto" w:fill="E7ECF1"/>
          </w:tcPr>
          <w:p>
            <w:pPr>
              <w:spacing w:line="240" w:lineRule="auto" w:after="20"/>
            </w:pPr>
            <w:r/>
            <w:r>
              <w:rPr>
                <w:b/>
                <w:sz w:val="17"/>
              </w:rPr>
              <w:t>Value</w:t>
            </w:r>
          </w:p>
        </w:tc>
      </w:tr>
      <w:tr>
        <w:tc>
          <w:tcPr>
            <w:tcW w:type="dxa" w:w="3744"/>
          </w:tcPr>
          <w:p>
            <w:pPr>
              <w:spacing w:line="240" w:lineRule="auto" w:after="20"/>
            </w:pPr>
            <w:r/>
            <w:r>
              <w:rPr>
                <w:sz w:val="17"/>
              </w:rPr>
              <w:t>Background rate constant</w:t>
            </w:r>
          </w:p>
        </w:tc>
        <w:tc>
          <w:tcPr>
            <w:tcW w:type="dxa" w:w="1872"/>
          </w:tcPr>
          <w:p>
            <w:pPr>
              <w:spacing w:line="240" w:lineRule="auto" w:after="20"/>
            </w:pPr>
            <w:r/>
            <w:r>
              <w:rPr>
                <w:sz w:val="17"/>
              </w:rPr>
              <w:t>A</w:t>
            </w:r>
            <w:r>
              <w:rPr>
                <w:sz w:val="17"/>
                <w:vertAlign w:val="subscript"/>
              </w:rPr>
              <w:t>1</w:t>
            </w:r>
            <w:r>
              <w:rPr>
                <w:sz w:val="17"/>
              </w:rPr>
              <w:t>, E</w:t>
            </w:r>
            <w:r>
              <w:rPr>
                <w:sz w:val="17"/>
                <w:vertAlign w:val="subscript"/>
              </w:rPr>
              <w:t>1</w:t>
            </w:r>
          </w:p>
        </w:tc>
        <w:tc>
          <w:tcPr>
            <w:tcW w:type="dxa" w:w="3888"/>
          </w:tcPr>
          <w:p>
            <w:pPr>
              <w:spacing w:line="240" w:lineRule="auto" w:after="20"/>
            </w:pPr>
            <w:r/>
            <w:r>
              <w:rPr>
                <w:sz w:val="17"/>
              </w:rPr>
              <w:t>2.0 × 10</w:t>
            </w:r>
            <w:r>
              <w:rPr>
                <w:sz w:val="17"/>
                <w:vertAlign w:val="superscript"/>
              </w:rPr>
              <w:t>3</w:t>
            </w:r>
            <w:r>
              <w:rPr>
                <w:sz w:val="17"/>
              </w:rPr>
              <w:t xml:space="preserve"> min</w:t>
            </w:r>
            <w:r>
              <w:rPr>
                <w:sz w:val="17"/>
                <w:vertAlign w:val="superscript"/>
              </w:rPr>
              <w:t>−1</w:t>
            </w:r>
            <w:r>
              <w:rPr>
                <w:sz w:val="17"/>
              </w:rPr>
              <w:t>, 50 kJ mol</w:t>
            </w:r>
            <w:r>
              <w:rPr>
                <w:sz w:val="17"/>
                <w:vertAlign w:val="superscript"/>
              </w:rPr>
              <w:t>−1</w:t>
            </w:r>
          </w:p>
        </w:tc>
      </w:tr>
      <w:tr>
        <w:tc>
          <w:tcPr>
            <w:tcW w:type="dxa" w:w="3744"/>
          </w:tcPr>
          <w:p>
            <w:pPr>
              <w:spacing w:line="240" w:lineRule="auto" w:after="20"/>
            </w:pPr>
            <w:r/>
            <w:r>
              <w:rPr>
                <w:sz w:val="17"/>
              </w:rPr>
              <w:t>Autocatalytic rate constant</w:t>
            </w:r>
          </w:p>
        </w:tc>
        <w:tc>
          <w:tcPr>
            <w:tcW w:type="dxa" w:w="1872"/>
          </w:tcPr>
          <w:p>
            <w:pPr>
              <w:spacing w:line="240" w:lineRule="auto" w:after="20"/>
            </w:pPr>
            <w:r/>
            <w:r>
              <w:rPr>
                <w:sz w:val="17"/>
              </w:rPr>
              <w:t>A</w:t>
            </w:r>
            <w:r>
              <w:rPr>
                <w:sz w:val="17"/>
                <w:vertAlign w:val="subscript"/>
              </w:rPr>
              <w:t>2</w:t>
            </w:r>
            <w:r>
              <w:rPr>
                <w:sz w:val="17"/>
              </w:rPr>
              <w:t>, E</w:t>
            </w:r>
            <w:r>
              <w:rPr>
                <w:sz w:val="17"/>
                <w:vertAlign w:val="subscript"/>
              </w:rPr>
              <w:t>2</w:t>
            </w:r>
          </w:p>
        </w:tc>
        <w:tc>
          <w:tcPr>
            <w:tcW w:type="dxa" w:w="3888"/>
          </w:tcPr>
          <w:p>
            <w:pPr>
              <w:spacing w:line="240" w:lineRule="auto" w:after="20"/>
            </w:pPr>
            <w:r/>
            <w:r>
              <w:rPr>
                <w:sz w:val="17"/>
              </w:rPr>
              <w:t>2.5 × 10</w:t>
            </w:r>
            <w:r>
              <w:rPr>
                <w:sz w:val="17"/>
                <w:vertAlign w:val="superscript"/>
              </w:rPr>
              <w:t>7</w:t>
            </w:r>
            <w:r>
              <w:rPr>
                <w:sz w:val="17"/>
              </w:rPr>
              <w:t xml:space="preserve"> min</w:t>
            </w:r>
            <w:r>
              <w:rPr>
                <w:sz w:val="17"/>
                <w:vertAlign w:val="superscript"/>
              </w:rPr>
              <w:t>−1</w:t>
            </w:r>
            <w:r>
              <w:rPr>
                <w:sz w:val="17"/>
              </w:rPr>
              <w:t>, 65 kJ mol</w:t>
            </w:r>
            <w:r>
              <w:rPr>
                <w:sz w:val="17"/>
                <w:vertAlign w:val="superscript"/>
              </w:rPr>
              <w:t>−1</w:t>
            </w:r>
          </w:p>
        </w:tc>
      </w:tr>
      <w:tr>
        <w:tc>
          <w:tcPr>
            <w:tcW w:type="dxa" w:w="3744"/>
          </w:tcPr>
          <w:p>
            <w:pPr>
              <w:spacing w:line="240" w:lineRule="auto" w:after="20"/>
            </w:pPr>
            <w:r/>
            <w:r>
              <w:rPr>
                <w:sz w:val="17"/>
              </w:rPr>
              <w:t>Reaction order</w:t>
            </w:r>
          </w:p>
        </w:tc>
        <w:tc>
          <w:tcPr>
            <w:tcW w:type="dxa" w:w="1872"/>
          </w:tcPr>
          <w:p>
            <w:pPr>
              <w:spacing w:line="240" w:lineRule="auto" w:after="20"/>
            </w:pPr>
            <w:r/>
            <w:r>
              <w:rPr>
                <w:sz w:val="17"/>
              </w:rPr>
              <w:t>n</w:t>
            </w:r>
          </w:p>
        </w:tc>
        <w:tc>
          <w:tcPr>
            <w:tcW w:type="dxa" w:w="3888"/>
          </w:tcPr>
          <w:p>
            <w:pPr>
              <w:spacing w:line="240" w:lineRule="auto" w:after="20"/>
            </w:pPr>
            <w:r/>
            <w:r>
              <w:rPr>
                <w:sz w:val="17"/>
              </w:rPr>
              <w:t>1.5 (1 and 2 where stated)</w:t>
            </w:r>
          </w:p>
        </w:tc>
      </w:tr>
      <w:tr>
        <w:tc>
          <w:tcPr>
            <w:tcW w:type="dxa" w:w="3744"/>
          </w:tcPr>
          <w:p>
            <w:pPr>
              <w:spacing w:line="240" w:lineRule="auto" w:after="20"/>
            </w:pPr>
            <w:r/>
            <w:r>
              <w:rPr>
                <w:sz w:val="17"/>
              </w:rPr>
              <w:t>Release rate constant</w:t>
            </w:r>
          </w:p>
        </w:tc>
        <w:tc>
          <w:tcPr>
            <w:tcW w:type="dxa" w:w="1872"/>
          </w:tcPr>
          <w:p>
            <w:pPr>
              <w:spacing w:line="240" w:lineRule="auto" w:after="20"/>
            </w:pPr>
            <w:r/>
            <w:r>
              <w:rPr>
                <w:sz w:val="17"/>
              </w:rPr>
              <w:t>A</w:t>
            </w:r>
            <w:r>
              <w:rPr>
                <w:sz w:val="17"/>
                <w:vertAlign w:val="subscript"/>
              </w:rPr>
              <w:t>rel</w:t>
            </w:r>
            <w:r>
              <w:rPr>
                <w:sz w:val="17"/>
              </w:rPr>
              <w:t>, E</w:t>
            </w:r>
            <w:r>
              <w:rPr>
                <w:sz w:val="17"/>
                <w:vertAlign w:val="subscript"/>
              </w:rPr>
              <w:t>rel</w:t>
            </w:r>
          </w:p>
        </w:tc>
        <w:tc>
          <w:tcPr>
            <w:tcW w:type="dxa" w:w="3888"/>
          </w:tcPr>
          <w:p>
            <w:pPr>
              <w:spacing w:line="240" w:lineRule="auto" w:after="20"/>
            </w:pPr>
            <w:r/>
            <w:r>
              <w:rPr>
                <w:sz w:val="17"/>
              </w:rPr>
              <w:t>6.4 × 10</w:t>
            </w:r>
            <w:r>
              <w:rPr>
                <w:sz w:val="17"/>
                <w:vertAlign w:val="superscript"/>
              </w:rPr>
              <w:t>6</w:t>
            </w:r>
            <w:r>
              <w:rPr>
                <w:sz w:val="17"/>
              </w:rPr>
              <w:t xml:space="preserve"> min</w:t>
            </w:r>
            <w:r>
              <w:rPr>
                <w:sz w:val="17"/>
                <w:vertAlign w:val="superscript"/>
              </w:rPr>
              <w:t>−1</w:t>
            </w:r>
            <w:r>
              <w:rPr>
                <w:sz w:val="17"/>
              </w:rPr>
              <w:t>, 60 kJ mol</w:t>
            </w:r>
            <w:r>
              <w:rPr>
                <w:sz w:val="17"/>
                <w:vertAlign w:val="superscript"/>
              </w:rPr>
              <w:t>−1</w:t>
            </w:r>
          </w:p>
        </w:tc>
      </w:tr>
      <w:tr>
        <w:tc>
          <w:tcPr>
            <w:tcW w:type="dxa" w:w="3744"/>
          </w:tcPr>
          <w:p>
            <w:pPr>
              <w:spacing w:line="240" w:lineRule="auto" w:after="20"/>
            </w:pPr>
            <w:r/>
            <w:r>
              <w:rPr>
                <w:sz w:val="17"/>
              </w:rPr>
              <w:t>Mean melting temperature, activation width</w:t>
            </w:r>
          </w:p>
        </w:tc>
        <w:tc>
          <w:tcPr>
            <w:tcW w:type="dxa" w:w="1872"/>
          </w:tcPr>
          <w:p>
            <w:pPr>
              <w:spacing w:line="240" w:lineRule="auto" w:after="20"/>
            </w:pPr>
            <w:r/>
            <w:r>
              <w:rPr>
                <w:sz w:val="17"/>
              </w:rPr>
              <w:t>T</w:t>
            </w:r>
            <w:r>
              <w:rPr>
                <w:sz w:val="17"/>
                <w:vertAlign w:val="subscript"/>
              </w:rPr>
              <w:t>m</w:t>
            </w:r>
            <w:r>
              <w:rPr>
                <w:sz w:val="17"/>
              </w:rPr>
              <w:t>, w</w:t>
            </w:r>
            <w:r>
              <w:rPr>
                <w:sz w:val="17"/>
                <w:vertAlign w:val="subscript"/>
              </w:rPr>
              <w:t>0</w:t>
            </w:r>
          </w:p>
        </w:tc>
        <w:tc>
          <w:tcPr>
            <w:tcW w:type="dxa" w:w="3888"/>
          </w:tcPr>
          <w:p>
            <w:pPr>
              <w:spacing w:line="240" w:lineRule="auto" w:after="20"/>
            </w:pPr>
            <w:r/>
            <w:r>
              <w:rPr>
                <w:sz w:val="17"/>
              </w:rPr>
              <w:t>118 °C, 0.5 °C (3 °C for single-gate runs of Section III D)</w:t>
            </w:r>
          </w:p>
        </w:tc>
      </w:tr>
      <w:tr>
        <w:tc>
          <w:tcPr>
            <w:tcW w:type="dxa" w:w="3744"/>
          </w:tcPr>
          <w:p>
            <w:pPr>
              <w:spacing w:line="240" w:lineRule="auto" w:after="20"/>
            </w:pPr>
            <w:r/>
            <w:r>
              <w:rPr>
                <w:sz w:val="17"/>
              </w:rPr>
              <w:t>Adiabatic rise, thermal time constant</w:t>
            </w:r>
          </w:p>
        </w:tc>
        <w:tc>
          <w:tcPr>
            <w:tcW w:type="dxa" w:w="1872"/>
          </w:tcPr>
          <w:p>
            <w:pPr>
              <w:spacing w:line="240" w:lineRule="auto" w:after="20"/>
            </w:pPr>
            <w:r/>
            <w:r>
              <w:rPr>
                <w:sz w:val="17"/>
              </w:rPr>
              <w:t>ΔT</w:t>
            </w:r>
            <w:r>
              <w:rPr>
                <w:sz w:val="17"/>
                <w:vertAlign w:val="subscript"/>
              </w:rPr>
              <w:t>ad</w:t>
            </w:r>
            <w:r>
              <w:rPr>
                <w:sz w:val="17"/>
              </w:rPr>
              <w:t>, τ</w:t>
            </w:r>
            <w:r>
              <w:rPr>
                <w:sz w:val="17"/>
                <w:vertAlign w:val="subscript"/>
              </w:rPr>
              <w:t>th</w:t>
            </w:r>
          </w:p>
        </w:tc>
        <w:tc>
          <w:tcPr>
            <w:tcW w:type="dxa" w:w="3888"/>
          </w:tcPr>
          <w:p>
            <w:pPr>
              <w:spacing w:line="240" w:lineRule="auto" w:after="20"/>
            </w:pPr>
            <w:r/>
            <w:r>
              <w:rPr>
                <w:sz w:val="17"/>
              </w:rPr>
              <w:t>220 K, varied (Section III D)</w:t>
            </w:r>
          </w:p>
        </w:tc>
      </w:tr>
      <w:tr>
        <w:tc>
          <w:tcPr>
            <w:tcW w:type="dxa" w:w="3744"/>
          </w:tcPr>
          <w:p>
            <w:pPr>
              <w:spacing w:line="240" w:lineRule="auto" w:after="20"/>
            </w:pPr>
            <w:r/>
            <w:r>
              <w:rPr>
                <w:sz w:val="17"/>
              </w:rPr>
              <w:t>Rate constants at 140 °C</w:t>
            </w:r>
          </w:p>
        </w:tc>
        <w:tc>
          <w:tcPr>
            <w:tcW w:type="dxa" w:w="1872"/>
          </w:tcPr>
          <w:p>
            <w:pPr>
              <w:spacing w:line="240" w:lineRule="auto" w:after="20"/>
            </w:pPr>
            <w:r/>
            <w:r>
              <w:rPr>
                <w:sz w:val="17"/>
              </w:rPr>
              <w:t>k</w:t>
            </w:r>
            <w:r>
              <w:rPr>
                <w:sz w:val="17"/>
                <w:vertAlign w:val="subscript"/>
              </w:rPr>
              <w:t>1</w:t>
            </w:r>
            <w:r>
              <w:rPr>
                <w:sz w:val="17"/>
              </w:rPr>
              <w:t>, k</w:t>
            </w:r>
            <w:r>
              <w:rPr>
                <w:sz w:val="17"/>
                <w:vertAlign w:val="subscript"/>
              </w:rPr>
              <w:t>2</w:t>
            </w:r>
            <w:r>
              <w:rPr>
                <w:sz w:val="17"/>
              </w:rPr>
              <w:t>, k</w:t>
            </w:r>
            <w:r>
              <w:rPr>
                <w:sz w:val="17"/>
                <w:vertAlign w:val="subscript"/>
              </w:rPr>
              <w:t>rel</w:t>
            </w:r>
          </w:p>
        </w:tc>
        <w:tc>
          <w:tcPr>
            <w:tcW w:type="dxa" w:w="3888"/>
          </w:tcPr>
          <w:p>
            <w:pPr>
              <w:spacing w:line="240" w:lineRule="auto" w:after="20"/>
            </w:pPr>
            <w:r/>
            <w:r>
              <w:rPr>
                <w:sz w:val="17"/>
              </w:rPr>
              <w:t>9.53e-04, 0.151, 0.166 min</w:t>
            </w:r>
            <w:r>
              <w:rPr>
                <w:sz w:val="17"/>
                <w:vertAlign w:val="superscript"/>
              </w:rPr>
              <w:t>−1</w:t>
            </w:r>
          </w:p>
        </w:tc>
      </w:tr>
    </w:tbl>
    <w:p>
      <w:pPr>
        <w:spacing w:after="40"/>
      </w:pPr>
    </w:p>
    <w:p>
      <w:pPr>
        <w:pStyle w:val="Heading2"/>
      </w:pPr>
      <w:r>
        <w:rPr>
          <w:rFonts w:ascii="Times New Roman" w:hAnsi="Times New Roman"/>
        </w:rPr>
        <w:t>B. Dimensionless groups</w:t>
      </w:r>
    </w:p>
    <w:p>
      <w:pPr>
        <w:keepNext w:val="0"/>
        <w:jc w:val="both"/>
      </w:pPr>
      <w:r>
        <w:t>With ε = k</w:t>
      </w:r>
      <w:r>
        <w:rPr>
          <w:vertAlign w:val="subscript"/>
        </w:rPr>
        <w:t>1</w:t>
      </w:r>
      <w:r>
        <w:t>/k</w:t>
      </w:r>
      <w:r>
        <w:rPr>
          <w:vertAlign w:val="subscript"/>
        </w:rPr>
        <w:t>2</w:t>
      </w:r>
      <w:r>
        <w:t>, the thermal number Θ = τ</w:t>
      </w:r>
      <w:r>
        <w:rPr>
          <w:vertAlign w:val="subscript"/>
        </w:rPr>
        <w:t>th</w:t>
      </w:r>
      <w:r>
        <w:t>k</w:t>
      </w:r>
      <w:r>
        <w:rPr>
          <w:vertAlign w:val="subscript"/>
        </w:rPr>
        <w:t>2</w:t>
      </w:r>
      <w:r>
        <w:t>(T</w:t>
      </w:r>
      <w:r>
        <w:rPr>
          <w:vertAlign w:val="subscript"/>
        </w:rPr>
        <w:t>∞</w:t>
      </w:r>
      <w:r>
        <w:t>), the reduced exothermicity ψ = ΔT</w:t>
      </w:r>
      <w:r>
        <w:rPr>
          <w:vertAlign w:val="subscript"/>
        </w:rPr>
        <w:t>ad</w:t>
      </w:r>
      <w:r>
        <w:t>E</w:t>
      </w:r>
      <w:r>
        <w:rPr>
          <w:vertAlign w:val="subscript"/>
        </w:rPr>
        <w:t>2</w:t>
      </w:r>
      <w:r>
        <w:t>/(RT</w:t>
      </w:r>
      <w:r>
        <w:rPr>
          <w:vertAlign w:val="subscript"/>
        </w:rPr>
        <w:t>∞</w:t>
      </w:r>
      <w:r>
        <w:rPr>
          <w:vertAlign w:val="superscript"/>
        </w:rPr>
        <w:t>2</w:t>
      </w:r>
      <w:r>
        <w:t>), the activation number Ar = E</w:t>
      </w:r>
      <w:r>
        <w:rPr>
          <w:vertAlign w:val="subscript"/>
        </w:rPr>
        <w:t>2</w:t>
      </w:r>
      <w:r>
        <w:t>/(RT</w:t>
      </w:r>
      <w:r>
        <w:rPr>
          <w:vertAlign w:val="subscript"/>
        </w:rPr>
        <w:t>∞</w:t>
      </w:r>
      <w:r>
        <w:t>) and the release number Λ = k</w:t>
      </w:r>
      <w:r>
        <w:rPr>
          <w:vertAlign w:val="subscript"/>
        </w:rPr>
        <w:t>2</w:t>
      </w:r>
      <w:r>
        <w:t>/k</w:t>
      </w:r>
      <w:r>
        <w:rPr>
          <w:vertAlign w:val="subscript"/>
        </w:rPr>
        <w:t>rel</w:t>
      </w:r>
      <w:r>
        <w:t>, the combination that controls thermal feedback turns out to be</w:t>
      </w:r>
    </w:p>
    <w:p>
      <w:pPr>
        <w:keepLines/>
        <w:tabs>
          <w:tab w:pos="4680" w:val="center"/>
          <w:tab w:pos="9360" w:val="right"/>
        </w:tabs>
        <w:spacing w:before="120" w:after="120"/>
      </w:pPr>
      <w:r>
        <w:tab/>
      </w:r>
      <m:oMath>
        <m:r>
          <m:rPr>
            <m:nor/>
          </m:rPr>
          <w:rPr>
            <w:rFonts w:ascii="Cambria Math" w:hAnsi="Cambria Math"/>
            <w:i w:val="0"/>
          </w:rPr>
          <m:t xml:space="preserve">Π</m:t>
        </m:r>
        <m:r>
          <m:rPr>
            <m:nor/>
          </m:rPr>
          <w:rPr>
            <w:rFonts w:ascii="Cambria Math" w:hAnsi="Cambria Math"/>
            <w:i w:val="0"/>
          </w:rPr>
          <m:t xml:space="preserve"> = </m:t>
        </m:r>
        <m:r>
          <m:rPr>
            <m:nor/>
          </m:rPr>
          <w:rPr>
            <w:rFonts w:ascii="Cambria Math" w:hAnsi="Cambria Math"/>
            <w:i w:val="0"/>
          </w:rPr>
          <m:t xml:space="preserve">ψ</m:t>
        </m:r>
        <m:r>
          <m:rPr>
            <m:nor/>
          </m:rPr>
          <w:rPr>
            <w:rFonts w:ascii="Cambria Math" w:hAnsi="Cambria Math"/>
            <w:i w:val="0"/>
          </w:rPr>
          <m:t xml:space="preserve">Θ</m:t>
        </m:r>
        <m:r>
          <m:rPr>
            <m:nor/>
          </m:rPr>
          <w:rPr>
            <w:rFonts w:ascii="Cambria Math" w:hAnsi="Cambria Math"/>
            <w:i w:val="0"/>
          </w:rPr>
          <m:t xml:space="preserve"> = </m:t>
        </m:r>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ΔT</m:t>
                </m:r>
              </m:e>
              <m:sub>
                <m:r>
                  <m:rPr>
                    <m:nor/>
                  </m:rPr>
                  <w:rPr>
                    <w:rFonts w:ascii="Cambria Math" w:hAnsi="Cambria Math"/>
                    <w:i w:val="0"/>
                  </w:rPr>
                  <m:t xml:space="preserve">ad</m:t>
                </m:r>
              </m:sub>
            </m:sSub>
            <m:sSub>
              <m:sSubPr>
                <m:ctrlPr>
                  <w:rPr>
                    <w:rFonts w:ascii="Cambria Math" w:hAnsi="Cambria Math"/>
                    <w:i/>
                  </w:rPr>
                </m:ctrlPr>
              </m:sSubPr>
              <m:e>
                <m:r>
                  <m:rPr>
                    <m:sty m:val="i"/>
                  </m:rPr>
                  <w:rPr>
                    <w:rFonts w:ascii="Cambria Math" w:hAnsi="Cambria Math"/>
                    <w:i/>
                  </w:rPr>
                  <m:t xml:space="preserve">E</m:t>
                </m:r>
              </m:e>
              <m:sub>
                <m:r>
                  <m:rPr>
                    <m:nor/>
                  </m:rPr>
                  <w:rPr>
                    <w:rFonts w:ascii="Cambria Math" w:hAnsi="Cambria Math"/>
                    <w:i w:val="0"/>
                  </w:rPr>
                  <m:t xml:space="preserve">2</m:t>
                </m:r>
              </m:sub>
            </m:sSub>
            <m:sSub>
              <m:sSubPr>
                <m:ctrlPr>
                  <w:rPr>
                    <w:rFonts w:ascii="Cambria Math" w:hAnsi="Cambria Math"/>
                    <w:i/>
                  </w:rPr>
                </m:ctrlPr>
              </m:sSubPr>
              <m:e>
                <m:r>
                  <m:rPr>
                    <m:sty m:val="i"/>
                  </m:rPr>
                  <w:rPr>
                    <w:rFonts w:ascii="Cambria Math" w:hAnsi="Cambria Math"/>
                    <w:i/>
                  </w:rPr>
                  <m:t xml:space="preserve">τ</m:t>
                </m:r>
              </m:e>
              <m:sub>
                <m:r>
                  <m:rPr>
                    <m:nor/>
                  </m:rPr>
                  <w:rPr>
                    <w:rFonts w:ascii="Cambria Math" w:hAnsi="Cambria Math"/>
                    <w:i w:val="0"/>
                  </w:rPr>
                  <m:t xml:space="preserve">th</m:t>
                </m:r>
              </m:sub>
            </m:sSub>
            <m:sSub>
              <m:sSubPr>
                <m:ctrlPr>
                  <w:rPr>
                    <w:rFonts w:ascii="Cambria Math" w:hAnsi="Cambria Math"/>
                    <w:i/>
                  </w:rPr>
                </m:ctrlPr>
              </m:sSubPr>
              <m:e>
                <m:r>
                  <m:rPr>
                    <m:sty m:val="i"/>
                  </m:rPr>
                  <w:rPr>
                    <w:rFonts w:ascii="Cambria Math" w:hAnsi="Cambria Math"/>
                    <w:i/>
                  </w:rPr>
                  <m:t xml:space="preserve">k</m:t>
                </m:r>
              </m:e>
              <m:sub>
                <m:r>
                  <m:rPr>
                    <m:nor/>
                  </m:rPr>
                  <w:rPr>
                    <w:rFonts w:ascii="Cambria Math" w:hAnsi="Cambria Math"/>
                    <w:i w:val="0"/>
                  </w:rPr>
                  <m:t xml:space="preserve">2</m:t>
                </m:r>
              </m:sub>
            </m:sSub>
          </m:num>
          <m:den>
            <m:r>
              <m:rPr>
                <m:sty m:val="i"/>
              </m:rPr>
              <w:rPr>
                <w:rFonts w:ascii="Cambria Math" w:hAnsi="Cambria Math"/>
                <w:i/>
              </w:rPr>
              <m:t xml:space="preserve">R</m:t>
            </m:r>
            <m:sSup>
              <m:sSupPr>
                <m:ctrlPr>
                  <w:rPr>
                    <w:rFonts w:ascii="Cambria Math" w:hAnsi="Cambria Math"/>
                    <w:i/>
                  </w:rPr>
                </m:ctrlPr>
              </m:sSupPr>
              <m:e>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m:t>
                    </m:r>
                  </m:sub>
                </m:sSub>
              </m:e>
              <m:sup>
                <m:r>
                  <m:rPr>
                    <m:nor/>
                  </m:rPr>
                  <w:rPr>
                    <w:rFonts w:ascii="Cambria Math" w:hAnsi="Cambria Math"/>
                    <w:i w:val="0"/>
                  </w:rPr>
                  <m:t xml:space="preserve">2</m:t>
                </m:r>
              </m:sup>
            </m:sSup>
          </m:den>
        </m:f>
        <m:r>
          <m:rPr>
            <m:nor/>
          </m:rPr>
          <w:rPr>
            <w:rFonts w:ascii="Cambria Math" w:hAnsi="Cambria Math"/>
            <w:i w:val="0"/>
          </w:rPr>
          <m:t xml:space="preserve">.</m:t>
        </m:r>
      </m:oMath>
      <w:r>
        <w:tab/>
        <w:t xml:space="preserve">(4)</w:t>
      </w:r>
    </w:p>
    <w:p>
      <w:pPr>
        <w:pStyle w:val="Heading1"/>
      </w:pPr>
      <w:r>
        <w:rPr>
          <w:rFonts w:ascii="Times New Roman" w:hAnsi="Times New Roman"/>
        </w:rPr>
        <w:t>III. Results</w:t>
      </w:r>
    </w:p>
    <w:p>
      <w:pPr>
        <w:pStyle w:val="Heading2"/>
      </w:pPr>
      <w:r>
        <w:rPr>
          <w:rFonts w:ascii="Times New Roman" w:hAnsi="Times New Roman"/>
        </w:rPr>
        <w:t>A. Proposition 1: the gated cure runs on the clock of integrated availability</w:t>
      </w:r>
    </w:p>
    <w:p>
      <w:pPr>
        <w:keepNext w:val="0"/>
        <w:jc w:val="both"/>
      </w:pPr>
      <w:r>
        <w:rPr>
          <w:b/>
        </w:rPr>
        <w:t>Proposition 1.</w:t>
      </w:r>
      <w:r>
        <w:t xml:space="preserve"> At constant temperature, let F(α) = (k</w:t>
      </w:r>
      <w:r>
        <w:rPr>
          <w:vertAlign w:val="subscript"/>
        </w:rPr>
        <w:t>1</w:t>
      </w:r>
      <w:r>
        <w:t xml:space="preserve"> + k</w:t>
      </w:r>
      <w:r>
        <w:rPr>
          <w:vertAlign w:val="subscript"/>
        </w:rPr>
        <w:t>2</w:t>
      </w:r>
      <w:r>
        <w:t>α)(1 − α)</w:t>
      </w:r>
      <w:r>
        <w:rPr>
          <w:vertAlign w:val="superscript"/>
        </w:rPr>
        <w:t>n</w:t>
      </w:r>
      <w:r>
        <w:t>. Then the gated conversion obeys</w:t>
      </w:r>
    </w:p>
    <w:p>
      <w:pPr>
        <w:keepLines/>
        <w:tabs>
          <w:tab w:pos="4680" w:val="center"/>
          <w:tab w:pos="9360" w:val="right"/>
        </w:tabs>
        <w:spacing w:before="120" w:after="120"/>
      </w:pPr>
      <w:r>
        <w:tab/>
      </w:r>
      <m:oMath>
        <m:sSubSup>
          <m:sSubSupPr>
            <m:ctrlPr>
              <w:rPr>
                <w:rFonts w:ascii="Cambria Math" w:hAnsi="Cambria Math"/>
                <w:i/>
              </w:rPr>
            </m:ctrlPr>
          </m:sSubSupPr>
          <m:e>
            <m:r>
              <m:rPr>
                <m:nor/>
              </m:rPr>
              <w:rPr>
                <w:rFonts w:ascii="Cambria Math" w:hAnsi="Cambria Math"/>
                <w:i w:val="0"/>
              </w:rPr>
              <m:t xml:space="preserve">∫</m:t>
            </m:r>
          </m:e>
          <m:sub>
            <m:r>
              <m:rPr>
                <m:nor/>
              </m:rPr>
              <w:rPr>
                <w:rFonts w:ascii="Cambria Math" w:hAnsi="Cambria Math"/>
                <w:i w:val="0"/>
              </w:rPr>
              <m:t xml:space="preserve">0</m:t>
            </m:r>
          </m:sub>
          <m:sup>
            <m:r>
              <m:rPr>
                <m:sty m:val="i"/>
              </m:rPr>
              <w:rPr>
                <w:rFonts w:ascii="Cambria Math" w:hAnsi="Cambria Math"/>
                <w:i/>
              </w:rPr>
              <m:t xml:space="preserve">α</m:t>
            </m:r>
          </m:sup>
        </m:sSubSup>
        <m:f>
          <m:fPr>
            <m:ctrlPr>
              <w:rPr>
                <w:rFonts w:ascii="Cambria Math" w:hAnsi="Cambria Math"/>
                <w:i/>
              </w:rPr>
            </m:ctrlPr>
          </m:fPr>
          <m:num>
            <m:r>
              <m:rPr>
                <m:sty m:val="i"/>
              </m:rPr>
              <w:rPr>
                <w:rFonts w:ascii="Cambria Math" w:hAnsi="Cambria Math"/>
                <w:i/>
              </w:rPr>
              <m:t xml:space="preserve">dx</m:t>
            </m:r>
          </m:num>
          <m:den>
            <m:r>
              <m:rPr>
                <m:sty m:val="i"/>
              </m:rPr>
              <w:rPr>
                <w:rFonts w:ascii="Cambria Math" w:hAnsi="Cambria Math"/>
                <w:i/>
              </w:rPr>
              <m:t xml:space="preserve">F</m:t>
            </m:r>
            <m:d>
              <m:dPr>
                <m:begChr m:val="("/>
                <m:endChr m:val=")"/>
                <m:ctrlPr>
                  <w:rPr>
                    <w:rFonts w:ascii="Cambria Math" w:hAnsi="Cambria Math"/>
                    <w:i/>
                  </w:rPr>
                </m:ctrlPr>
              </m:dPr>
              <m:e>
                <m:r>
                  <m:rPr>
                    <m:sty m:val="i"/>
                  </m:rPr>
                  <w:rPr>
                    <w:rFonts w:ascii="Cambria Math" w:hAnsi="Cambria Math"/>
                    <w:i/>
                  </w:rPr>
                  <m:t xml:space="preserve">x</m:t>
                </m:r>
              </m:e>
            </m:d>
          </m:den>
        </m:f>
        <m:r>
          <m:rPr>
            <m:nor/>
          </m:rPr>
          <w:rPr>
            <w:rFonts w:ascii="Cambria Math" w:hAnsi="Cambria Math"/>
            <w:i w:val="0"/>
          </w:rPr>
          <m:t xml:space="preserve"> = </m:t>
        </m:r>
        <m:r>
          <m:rPr>
            <m:sty m:val="i"/>
          </m:rPr>
          <w:rPr>
            <w:rFonts w:ascii="Cambria Math" w:hAnsi="Cambria Math"/>
            <w:i/>
          </w:rPr>
          <m:t xml:space="preserve">s</m:t>
        </m:r>
        <m:d>
          <m:dPr>
            <m:begChr m:val="("/>
            <m:endChr m:val=")"/>
            <m:ctrlPr>
              <w:rPr>
                <w:rFonts w:ascii="Cambria Math" w:hAnsi="Cambria Math"/>
                <w:i/>
              </w:rPr>
            </m:ctrlPr>
          </m:dPr>
          <m:e>
            <m:r>
              <m:rPr>
                <m:sty m:val="i"/>
              </m:rPr>
              <w:rPr>
                <w:rFonts w:ascii="Cambria Math" w:hAnsi="Cambria Math"/>
                <w:i/>
              </w:rPr>
              <m:t xml:space="preserve">t</m:t>
            </m:r>
          </m:e>
        </m:d>
        <m:r>
          <m:rPr>
            <m:nor/>
          </m:rPr>
          <w:rPr>
            <w:rFonts w:ascii="Cambria Math" w:hAnsi="Cambria Math"/>
            <w:i w:val="0"/>
          </w:rPr>
          <m:t xml:space="preserve">,   </m:t>
        </m:r>
        <m:r>
          <m:rPr>
            <m:sty m:val="i"/>
          </m:rPr>
          <w:rPr>
            <w:rFonts w:ascii="Cambria Math" w:hAnsi="Cambria Math"/>
            <w:i/>
          </w:rPr>
          <m:t xml:space="preserve">s</m:t>
        </m:r>
        <m:d>
          <m:dPr>
            <m:begChr m:val="("/>
            <m:endChr m:val=")"/>
            <m:ctrlPr>
              <w:rPr>
                <w:rFonts w:ascii="Cambria Math" w:hAnsi="Cambria Math"/>
                <w:i/>
              </w:rPr>
            </m:ctrlPr>
          </m:dPr>
          <m:e>
            <m:r>
              <m:rPr>
                <m:sty m:val="i"/>
              </m:rPr>
              <w:rPr>
                <w:rFonts w:ascii="Cambria Math" w:hAnsi="Cambria Math"/>
                <w:i/>
              </w:rPr>
              <m:t xml:space="preserve">t</m:t>
            </m:r>
          </m:e>
        </m:d>
        <m:r>
          <m:rPr>
            <m:nor/>
          </m:rPr>
          <w:rPr>
            <w:rFonts w:ascii="Cambria Math" w:hAnsi="Cambria Math"/>
            <w:i w:val="0"/>
          </w:rPr>
          <m:t xml:space="preserve"> = </m:t>
        </m:r>
        <m:sSubSup>
          <m:sSubSupPr>
            <m:ctrlPr>
              <w:rPr>
                <w:rFonts w:ascii="Cambria Math" w:hAnsi="Cambria Math"/>
                <w:i/>
              </w:rPr>
            </m:ctrlPr>
          </m:sSubSupPr>
          <m:e>
            <m:r>
              <m:rPr>
                <m:nor/>
              </m:rPr>
              <w:rPr>
                <w:rFonts w:ascii="Cambria Math" w:hAnsi="Cambria Math"/>
                <w:i w:val="0"/>
              </w:rPr>
              <m:t xml:space="preserve">∫</m:t>
            </m:r>
          </m:e>
          <m:sub>
            <m:r>
              <m:rPr>
                <m:nor/>
              </m:rPr>
              <w:rPr>
                <w:rFonts w:ascii="Cambria Math" w:hAnsi="Cambria Math"/>
                <w:i w:val="0"/>
              </w:rPr>
              <m:t xml:space="preserve">0</m:t>
            </m:r>
          </m:sub>
          <m:sup>
            <m:r>
              <m:rPr>
                <m:sty m:val="i"/>
              </m:rPr>
              <w:rPr>
                <w:rFonts w:ascii="Cambria Math" w:hAnsi="Cambria Math"/>
                <w:i/>
              </w:rPr>
              <m:t xml:space="preserve">t</m:t>
            </m:r>
          </m:sup>
        </m:sSubSup>
        <m:d>
          <m:dPr>
            <m:begChr m:val="⟨"/>
            <m:endChr m:val="⟩"/>
            <m:ctrlPr>
              <w:rPr>
                <w:rFonts w:ascii="Cambria Math" w:hAnsi="Cambria Math"/>
                <w:i/>
              </w:rPr>
            </m:ctrlPr>
          </m:dPr>
          <m:e>
            <m:r>
              <m:rPr>
                <m:sty m:val="i"/>
              </m:rPr>
              <w:rPr>
                <w:rFonts w:ascii="Cambria Math" w:hAnsi="Cambria Math"/>
                <w:i/>
              </w:rPr>
              <m:t xml:space="preserve">C</m:t>
            </m:r>
          </m:e>
        </m:d>
        <m:d>
          <m:dPr>
            <m:begChr m:val="("/>
            <m:endChr m:val=")"/>
            <m:ctrlPr>
              <w:rPr>
                <w:rFonts w:ascii="Cambria Math" w:hAnsi="Cambria Math"/>
                <w:i/>
              </w:rPr>
            </m:ctrlPr>
          </m:dPr>
          <m:e>
            <m:r>
              <m:rPr>
                <m:sty m:val="i"/>
              </m:rPr>
              <w:rPr>
                <w:rFonts w:ascii="Cambria Math" w:hAnsi="Cambria Math"/>
                <w:i/>
              </w:rPr>
              <m:t xml:space="preserve">t′</m:t>
            </m:r>
          </m:e>
        </m:d>
        <m:r>
          <m:rPr>
            <m:sty m:val="i"/>
          </m:rPr>
          <w:rPr>
            <w:rFonts w:ascii="Cambria Math" w:hAnsi="Cambria Math"/>
            <w:i/>
          </w:rPr>
          <m:t xml:space="preserve">dt′</m:t>
        </m:r>
        <m:r>
          <m:rPr>
            <m:nor/>
          </m:rPr>
          <w:rPr>
            <w:rFonts w:ascii="Cambria Math" w:hAnsi="Cambria Math"/>
            <w:i w:val="0"/>
          </w:rPr>
          <m:t xml:space="preserve">.</m:t>
        </m:r>
      </m:oMath>
      <w:r>
        <w:tab/>
        <w:t xml:space="preserve">(5)</w:t>
      </w:r>
    </w:p>
    <w:p>
      <w:pPr>
        <w:keepNext w:val="0"/>
        <w:jc w:val="both"/>
      </w:pPr>
      <w:r>
        <w:rPr>
          <w:i/>
        </w:rPr>
        <w:t>Proof.</w:t>
      </w:r>
      <w:r>
        <w:t xml:space="preserve"> With T constant, dα/dt = ⟨C⟩(t)F(α) is separable: dα/F(α) = ⟨C⟩dt. Integration from the initial state gives the identity. ∎ The left side is the isothermal time t</w:t>
      </w:r>
      <w:r>
        <w:rPr>
          <w:vertAlign w:val="subscript"/>
        </w:rPr>
        <w:t>iso</w:t>
      </w:r>
      <w:r>
        <w:t>(α) of the ungated resin, so the gated time to reach a conversion α is the time at which the integrated availability s(t) equals t</w:t>
      </w:r>
      <w:r>
        <w:rPr>
          <w:vertAlign w:val="subscript"/>
        </w:rPr>
        <w:t>iso</w:t>
      </w:r>
      <w:r>
        <w:t>(α). For a capsule population that is fully open at the operating temperature, ⟨C⟩ = 1 − exp(−k</w:t>
      </w:r>
      <w:r>
        <w:rPr>
          <w:vertAlign w:val="subscript"/>
        </w:rPr>
        <w:t>rel</w:t>
      </w:r>
      <w:r>
        <w:t>t) and s(t) = t − (1 − exp(−k</w:t>
      </w:r>
      <w:r>
        <w:rPr>
          <w:vertAlign w:val="subscript"/>
        </w:rPr>
        <w:t>rel</w:t>
      </w:r>
      <w:r>
        <w:t>t))/k</w:t>
      </w:r>
      <w:r>
        <w:rPr>
          <w:vertAlign w:val="subscript"/>
        </w:rPr>
        <w:t>rel</w:t>
      </w:r>
      <w:r>
        <w:t>, so that</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gated</m:t>
            </m:r>
          </m:sub>
        </m:sSub>
        <m:d>
          <m:dPr>
            <m:begChr m:val="("/>
            <m:endChr m:val=")"/>
            <m:ctrlPr>
              <w:rPr>
                <w:rFonts w:ascii="Cambria Math" w:hAnsi="Cambria Math"/>
                <w:i/>
              </w:rPr>
            </m:ctrlPr>
          </m:dPr>
          <m:e>
            <m:r>
              <m:rPr>
                <m:sty m:val="i"/>
              </m:rPr>
              <w:rPr>
                <w:rFonts w:ascii="Cambria Math" w:hAnsi="Cambria Math"/>
                <w:i/>
              </w:rPr>
              <m:t xml:space="preserve">α</m:t>
            </m:r>
          </m:e>
        </m:d>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iso</m:t>
            </m:r>
          </m:sub>
        </m:sSub>
        <m:d>
          <m:dPr>
            <m:begChr m:val="("/>
            <m:endChr m:val=")"/>
            <m:ctrlPr>
              <w:rPr>
                <w:rFonts w:ascii="Cambria Math" w:hAnsi="Cambria Math"/>
                <w:i/>
              </w:rPr>
            </m:ctrlPr>
          </m:dPr>
          <m:e>
            <m:r>
              <m:rPr>
                <m:sty m:val="i"/>
              </m:rPr>
              <w:rPr>
                <w:rFonts w:ascii="Cambria Math" w:hAnsi="Cambria Math"/>
                <w:i/>
              </w:rPr>
              <m:t xml:space="preserve">α</m:t>
            </m:r>
          </m:e>
        </m:d>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1</m:t>
            </m:r>
            <m:r>
              <m:rPr>
                <m:nor/>
              </m:rPr>
              <w:rPr>
                <w:rFonts w:ascii="Cambria Math" w:hAnsi="Cambria Math"/>
                <w:i w:val="0"/>
              </w:rPr>
              <m:t xml:space="preserve"> − </m:t>
            </m:r>
            <m:r>
              <m:rPr>
                <m:nor/>
              </m:rPr>
              <w:rPr>
                <w:rFonts w:ascii="Cambria Math" w:hAnsi="Cambria Math"/>
                <w:i w:val="0"/>
              </w:rPr>
              <m:t xml:space="preserve">exp</m:t>
            </m:r>
            <m:d>
              <m:dPr>
                <m:begChr m:val="("/>
                <m:endChr m:val=")"/>
                <m:ctrlPr>
                  <w:rPr>
                    <w:rFonts w:ascii="Cambria Math" w:hAnsi="Cambria Math"/>
                    <w:i/>
                  </w:rPr>
                </m:ctrlPr>
              </m:dPr>
              <m:e>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k</m:t>
                    </m:r>
                  </m:e>
                  <m:sub>
                    <m:r>
                      <m:rPr>
                        <m:nor/>
                      </m:rPr>
                      <w:rPr>
                        <w:rFonts w:ascii="Cambria Math" w:hAnsi="Cambria Math"/>
                        <w:i w:val="0"/>
                      </w:rPr>
                      <m:t xml:space="preserve">rel</m:t>
                    </m:r>
                  </m:sub>
                </m:sSub>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gated</m:t>
                    </m:r>
                  </m:sub>
                </m:sSub>
              </m:e>
            </m:d>
          </m:num>
          <m:den>
            <m:sSub>
              <m:sSubPr>
                <m:ctrlPr>
                  <w:rPr>
                    <w:rFonts w:ascii="Cambria Math" w:hAnsi="Cambria Math"/>
                    <w:i/>
                  </w:rPr>
                </m:ctrlPr>
              </m:sSubPr>
              <m:e>
                <m:r>
                  <m:rPr>
                    <m:sty m:val="i"/>
                  </m:rPr>
                  <w:rPr>
                    <w:rFonts w:ascii="Cambria Math" w:hAnsi="Cambria Math"/>
                    <w:i/>
                  </w:rPr>
                  <m:t xml:space="preserve">k</m:t>
                </m:r>
              </m:e>
              <m:sub>
                <m:r>
                  <m:rPr>
                    <m:nor/>
                  </m:rPr>
                  <w:rPr>
                    <w:rFonts w:ascii="Cambria Math" w:hAnsi="Cambria Math"/>
                    <w:i w:val="0"/>
                  </w:rPr>
                  <m:t xml:space="preserve">rel</m:t>
                </m:r>
              </m:sub>
            </m:sSub>
          </m:den>
        </m:f>
        <m:r>
          <m:rPr>
            <m:nor/>
          </m:rPr>
          <w:rPr>
            <w:rFonts w:ascii="Cambria Math" w:hAnsi="Cambria Math"/>
            <w:i w:val="0"/>
          </w:rPr>
          <m:t xml:space="preserve">≈</m:t>
        </m:r>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iso</m:t>
            </m:r>
          </m:sub>
        </m:sSub>
        <m:d>
          <m:dPr>
            <m:begChr m:val="("/>
            <m:endChr m:val=")"/>
            <m:ctrlPr>
              <w:rPr>
                <w:rFonts w:ascii="Cambria Math" w:hAnsi="Cambria Math"/>
                <w:i/>
              </w:rPr>
            </m:ctrlPr>
          </m:dPr>
          <m:e>
            <m:r>
              <m:rPr>
                <m:sty m:val="i"/>
              </m:rPr>
              <w:rPr>
                <w:rFonts w:ascii="Cambria Math" w:hAnsi="Cambria Math"/>
                <w:i/>
              </w:rPr>
              <m:t xml:space="preserve">α</m:t>
            </m:r>
          </m:e>
        </m:d>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τ</m:t>
            </m:r>
          </m:e>
          <m:sub>
            <m:r>
              <m:rPr>
                <m:nor/>
              </m:rPr>
              <w:rPr>
                <w:rFonts w:ascii="Cambria Math" w:hAnsi="Cambria Math"/>
                <w:i w:val="0"/>
              </w:rPr>
              <m:t xml:space="preserve">rel</m:t>
            </m:r>
          </m:sub>
        </m:sSub>
        <m:r>
          <m:rPr>
            <m:nor/>
          </m:rPr>
          <w:rPr>
            <w:rFonts w:ascii="Cambria Math" w:hAnsi="Cambria Math"/>
            <w:i w:val="0"/>
          </w:rPr>
          <m:t xml:space="preserve">.</m:t>
        </m:r>
      </m:oMath>
      <w:r>
        <w:tab/>
        <w:t xml:space="preserve">(6)</w:t>
      </w:r>
    </w:p>
    <w:p>
      <w:pPr>
        <w:keepNext w:val="0"/>
        <w:jc w:val="both"/>
      </w:pPr>
      <w:r>
        <w:t>The gate therefore delays every conversion level by the same time, the release time constant τ</w:t>
      </w:r>
      <w:r>
        <w:rPr>
          <w:vertAlign w:val="subscript"/>
        </w:rPr>
        <w:t>rel</w:t>
      </w:r>
      <w:r>
        <w:t xml:space="preserve"> = 1/k</w:t>
      </w:r>
      <w:r>
        <w:rPr>
          <w:vertAlign w:val="subscript"/>
        </w:rPr>
        <w:t>rel</w:t>
      </w:r>
      <w:r>
        <w:t xml:space="preserve"> (6.0 min at 140 °C in Table 1), independently of the kinetics and of α. Integrating the full equations at constant temperature for 125, 140 and 155 °C and for α = 0.1, 0.5 and 0.9 gives gated times that agree with the closed form to a relative error of at most 7.7e-07 (the quadrature and the integrator differ only by truncation error); the delay for T = 140 °C is 6.02 min against τ</w:t>
      </w:r>
      <w:r>
        <w:rPr>
          <w:vertAlign w:val="subscript"/>
        </w:rPr>
        <w:t>rel</w:t>
      </w:r>
      <w:r>
        <w:t xml:space="preserve"> = 6.02 min. The statement is exact only at constant temperature: a heat-up transient or an exotherm adds a further, temperature-dependent delay that Proposition 1 does not describe.</w:t>
      </w:r>
    </w:p>
    <w:p>
      <w:pPr>
        <w:pStyle w:val="Heading2"/>
      </w:pPr>
      <w:r>
        <w:rPr>
          <w:rFonts w:ascii="Times New Roman" w:hAnsi="Times New Roman"/>
        </w:rPr>
        <w:t>B. Proposition 2: isothermal cure time, induction, and sharpness</w:t>
      </w:r>
    </w:p>
    <w:p>
      <w:pPr>
        <w:keepNext w:val="0"/>
        <w:jc w:val="both"/>
      </w:pPr>
      <w:r>
        <w:rPr>
          <w:b/>
        </w:rPr>
        <w:t>Proposition 2.</w:t>
      </w:r>
      <w:r>
        <w:t xml:space="preserve"> With a = k</w:t>
      </w:r>
      <w:r>
        <w:rPr>
          <w:vertAlign w:val="subscript"/>
        </w:rPr>
        <w:t>1</w:t>
      </w:r>
      <w:r>
        <w:t xml:space="preserve"> and b = k</w:t>
      </w:r>
      <w:r>
        <w:rPr>
          <w:vertAlign w:val="subscript"/>
        </w:rPr>
        <w:t>2</w:t>
      </w:r>
      <w:r>
        <w:t>, the isothermal time to reach conversion α is, for any n, t</w:t>
      </w:r>
      <w:r>
        <w:rPr>
          <w:vertAlign w:val="subscript"/>
        </w:rPr>
        <w:t>iso</w:t>
      </w:r>
      <w:r>
        <w:t>(α) = ∫</w:t>
      </w:r>
      <w:r>
        <w:rPr>
          <w:vertAlign w:val="subscript"/>
        </w:rPr>
        <w:t>0</w:t>
      </w:r>
      <w:r>
        <w:rPr>
          <w:vertAlign w:val="superscript"/>
        </w:rPr>
        <w:t>α</w:t>
      </w:r>
      <w:r>
        <w:t xml:space="preserve"> dx/[(a + bx)(1 − x)</w:t>
      </w:r>
      <w:r>
        <w:rPr>
          <w:vertAlign w:val="superscript"/>
        </w:rPr>
        <w:t>n</w:t>
      </w:r>
      <w:r>
        <w:t>], and for n = 1</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iso</m:t>
            </m:r>
          </m:sub>
        </m:sSub>
        <m:d>
          <m:dPr>
            <m:begChr m:val="("/>
            <m:endChr m:val=")"/>
            <m:ctrlPr>
              <w:rPr>
                <w:rFonts w:ascii="Cambria Math" w:hAnsi="Cambria Math"/>
                <w:i/>
              </w:rPr>
            </m:ctrlPr>
          </m:dPr>
          <m:e>
            <m:r>
              <m:rPr>
                <m:sty m:val="i"/>
              </m:rPr>
              <w:rPr>
                <w:rFonts w:ascii="Cambria Math" w:hAnsi="Cambria Math"/>
                <w:i/>
              </w:rPr>
              <m:t xml:space="preserve">α</m:t>
            </m:r>
          </m:e>
        </m:d>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1</m:t>
            </m:r>
          </m:num>
          <m:den>
            <m:r>
              <m:rPr>
                <m:sty m:val="i"/>
              </m:rPr>
              <w:rPr>
                <w:rFonts w:ascii="Cambria Math" w:hAnsi="Cambria Math"/>
                <w:i/>
              </w:rPr>
              <m:t xml:space="preserve">a</m:t>
            </m:r>
            <m:r>
              <m:rPr>
                <m:nor/>
              </m:rPr>
              <w:rPr>
                <w:rFonts w:ascii="Cambria Math" w:hAnsi="Cambria Math"/>
                <w:i w:val="0"/>
              </w:rPr>
              <m:t xml:space="preserve"> + </m:t>
            </m:r>
            <m:r>
              <m:rPr>
                <m:sty m:val="i"/>
              </m:rPr>
              <w:rPr>
                <w:rFonts w:ascii="Cambria Math" w:hAnsi="Cambria Math"/>
                <w:i/>
              </w:rPr>
              <m:t xml:space="preserve">b</m:t>
            </m:r>
          </m:den>
        </m:f>
        <m:r>
          <m:rPr>
            <m:nor/>
          </m:rPr>
          <w:rPr>
            <w:rFonts w:ascii="Cambria Math" w:hAnsi="Cambria Math"/>
            <w:i w:val="0"/>
          </w:rPr>
          <m:t xml:space="preserve">ln</m:t>
        </m:r>
        <m:f>
          <m:fPr>
            <m:ctrlPr>
              <w:rPr>
                <w:rFonts w:ascii="Cambria Math" w:hAnsi="Cambria Math"/>
                <w:i/>
              </w:rPr>
            </m:ctrlPr>
          </m:fPr>
          <m:num>
            <m:r>
              <m:rPr>
                <m:sty m:val="i"/>
              </m:rPr>
              <w:rPr>
                <w:rFonts w:ascii="Cambria Math" w:hAnsi="Cambria Math"/>
                <w:i/>
              </w:rPr>
              <m:t xml:space="preserve">a</m:t>
            </m:r>
            <m:r>
              <m:rPr>
                <m:nor/>
              </m:rPr>
              <w:rPr>
                <w:rFonts w:ascii="Cambria Math" w:hAnsi="Cambria Math"/>
                <w:i w:val="0"/>
              </w:rPr>
              <m:t xml:space="preserve"> + </m:t>
            </m:r>
            <m:r>
              <m:rPr>
                <m:sty m:val="i"/>
              </m:rPr>
              <w:rPr>
                <w:rFonts w:ascii="Cambria Math" w:hAnsi="Cambria Math"/>
                <w:i/>
              </w:rPr>
              <m:t xml:space="preserve">b</m:t>
            </m:r>
            <m:r>
              <m:rPr>
                <m:sty m:val="i"/>
              </m:rPr>
              <w:rPr>
                <w:rFonts w:ascii="Cambria Math" w:hAnsi="Cambria Math"/>
                <w:i/>
              </w:rPr>
              <m:t xml:space="preserve">α</m:t>
            </m:r>
          </m:num>
          <m:den>
            <m:r>
              <m:rPr>
                <m:sty m:val="i"/>
              </m:rPr>
              <w:rPr>
                <w:rFonts w:ascii="Cambria Math" w:hAnsi="Cambria Math"/>
                <w:i/>
              </w:rPr>
              <m:t xml:space="preserve">a</m:t>
            </m:r>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sty m:val="i"/>
                  </m:rPr>
                  <w:rPr>
                    <w:rFonts w:ascii="Cambria Math" w:hAnsi="Cambria Math"/>
                    <w:i/>
                  </w:rPr>
                  <m:t xml:space="preserve">α</m:t>
                </m:r>
              </m:e>
            </m:d>
          </m:den>
        </m:f>
        <m:r>
          <m:rPr>
            <m:nor/>
          </m:rPr>
          <w:rPr>
            <w:rFonts w:ascii="Cambria Math" w:hAnsi="Cambria Math"/>
            <w:i w:val="0"/>
          </w:rPr>
          <m:t xml:space="preserve">.</m:t>
        </m:r>
      </m:oMath>
      <w:r>
        <w:tab/>
        <w:t xml:space="preserve">(7)</w:t>
      </w:r>
    </w:p>
    <w:p>
      <w:pPr>
        <w:keepNext w:val="0"/>
        <w:jc w:val="both"/>
      </w:pPr>
      <w:r>
        <w:rPr>
          <w:i/>
        </w:rPr>
        <w:t>Proof.</w:t>
      </w:r>
      <w:r>
        <w:t xml:space="preserve"> Partial fractions of 1/[(a + bx)(1 − x)] give (a + b)</w:t>
      </w:r>
      <w:r>
        <w:rPr>
          <w:vertAlign w:val="superscript"/>
        </w:rPr>
        <w:t>−1</w:t>
      </w:r>
      <w:r>
        <w:t>[b/(a + bx) + 1/(1 − x)], and integration gives the logarithm. ∎ For small α the factor (1 − x)</w:t>
      </w:r>
      <w:r>
        <w:rPr>
          <w:vertAlign w:val="superscript"/>
        </w:rPr>
        <w:t>n</w:t>
      </w:r>
      <w:r>
        <w:t xml:space="preserve"> is close to 1, so the induction time (α = 0.1) is almost independent of n; the late-time tail is not. For b ≫ a the exact n = 1 sharpness S = (t</w:t>
      </w:r>
      <w:r>
        <w:rPr>
          <w:vertAlign w:val="subscript"/>
        </w:rPr>
        <w:t>90</w:t>
      </w:r>
      <w:r>
        <w:t xml:space="preserve"> − t</w:t>
      </w:r>
      <w:r>
        <w:rPr>
          <w:vertAlign w:val="subscript"/>
        </w:rPr>
        <w:t>10</w:t>
      </w:r>
      <w:r>
        <w:t>)/t</w:t>
      </w:r>
      <w:r>
        <w:rPr>
          <w:vertAlign w:val="subscript"/>
        </w:rPr>
        <w:t>10</w:t>
      </w:r>
      <w:r>
        <w:t xml:space="preserve"> reduces to</w:t>
      </w:r>
    </w:p>
    <w:p>
      <w:pPr>
        <w:keepLines/>
        <w:tabs>
          <w:tab w:pos="4680" w:val="center"/>
          <w:tab w:pos="9360" w:val="right"/>
        </w:tabs>
        <w:spacing w:before="120" w:after="120"/>
      </w:pPr>
      <w:r>
        <w:tab/>
      </w:r>
      <m:oMath>
        <m:r>
          <m:rPr>
            <m:sty m:val="i"/>
          </m:rPr>
          <w:rPr>
            <w:rFonts w:ascii="Cambria Math" w:hAnsi="Cambria Math"/>
            <w:i/>
          </w:rPr>
          <m:t xml:space="preserve">S</m:t>
        </m:r>
        <m:r>
          <m:rPr>
            <m:nor/>
          </m:rPr>
          <w:rPr>
            <w:rFonts w:ascii="Cambria Math" w:hAnsi="Cambria Math"/>
            <w:i w:val="0"/>
          </w:rPr>
          <m:t xml:space="preserve">≈</m:t>
        </m:r>
        <m:f>
          <m:fPr>
            <m:ctrlPr>
              <w:rPr>
                <w:rFonts w:ascii="Cambria Math" w:hAnsi="Cambria Math"/>
                <w:i/>
              </w:rPr>
            </m:ctrlPr>
          </m:fPr>
          <m:num>
            <m:r>
              <m:rPr>
                <m:nor/>
              </m:rPr>
              <w:rPr>
                <w:rFonts w:ascii="Cambria Math" w:hAnsi="Cambria Math"/>
                <w:i w:val="0"/>
              </w:rPr>
              <m:t xml:space="preserve">2 ln 9</m:t>
            </m:r>
          </m:num>
          <m:den>
            <m:r>
              <m:rPr>
                <m:nor/>
              </m:rPr>
              <w:rPr>
                <w:rFonts w:ascii="Cambria Math" w:hAnsi="Cambria Math"/>
                <w:i w:val="0"/>
              </w:rPr>
              <m:t xml:space="preserve">ln</m:t>
            </m:r>
            <m:d>
              <m:dPr>
                <m:begChr m:val="("/>
                <m:endChr m:val=")"/>
                <m:ctrlPr>
                  <w:rPr>
                    <w:rFonts w:ascii="Cambria Math" w:hAnsi="Cambria Math"/>
                    <w:i/>
                  </w:rPr>
                </m:ctrlPr>
              </m:dPr>
              <m:e>
                <m:f>
                  <m:fPr>
                    <m:ctrlPr>
                      <w:rPr>
                        <w:rFonts w:ascii="Cambria Math" w:hAnsi="Cambria Math"/>
                        <w:i/>
                      </w:rPr>
                    </m:ctrlPr>
                  </m:fPr>
                  <m:num>
                    <m:r>
                      <m:rPr>
                        <m:sty m:val="i"/>
                      </m:rPr>
                      <w:rPr>
                        <w:rFonts w:ascii="Cambria Math" w:hAnsi="Cambria Math"/>
                        <w:i/>
                      </w:rPr>
                      <m:t xml:space="preserve">b</m:t>
                    </m:r>
                  </m:num>
                  <m:den>
                    <m:r>
                      <m:rPr>
                        <m:nor/>
                      </m:rPr>
                      <w:rPr>
                        <w:rFonts w:ascii="Cambria Math" w:hAnsi="Cambria Math"/>
                        <w:i w:val="0"/>
                      </w:rPr>
                      <m:t xml:space="preserve">9</m:t>
                    </m:r>
                    <m:r>
                      <m:rPr>
                        <m:sty m:val="i"/>
                      </m:rPr>
                      <w:rPr>
                        <w:rFonts w:ascii="Cambria Math" w:hAnsi="Cambria Math"/>
                        <w:i/>
                      </w:rPr>
                      <m:t xml:space="preserve">a</m:t>
                    </m:r>
                  </m:den>
                </m:f>
              </m:e>
            </m:d>
          </m:den>
        </m:f>
        <m:r>
          <m:rPr>
            <m:nor/>
          </m:rPr>
          <w:rPr>
            <w:rFonts w:ascii="Cambria Math" w:hAnsi="Cambria Math"/>
            <w:i w:val="0"/>
          </w:rPr>
          <m:t xml:space="preserve">.</m:t>
        </m:r>
      </m:oMath>
      <w:r>
        <w:tab/>
        <w:t xml:space="preserve">(8)</w:t>
      </w:r>
    </w:p>
    <w:p>
      <w:pPr>
        <w:keepNext w:val="0"/>
        <w:jc w:val="both"/>
      </w:pPr>
      <w:r>
        <w:t>Sharpness is therefore controlled by the rate-constant ratio alone, and only logarithmically: at 140 °C, b/a = 159 gives S = 1.48 exactly for n = 1 and 1.53 from Eq. (8), and a hundredfold change of the ratio changes S by a factor of about 1.3. The closed forms and the quadrature reproduce the integrated t</w:t>
      </w:r>
      <w:r>
        <w:rPr>
          <w:vertAlign w:val="subscript"/>
        </w:rPr>
        <w:t>10</w:t>
      </w:r>
      <w:r>
        <w:t xml:space="preserve"> and t</w:t>
      </w:r>
      <w:r>
        <w:rPr>
          <w:vertAlign w:val="subscript"/>
        </w:rPr>
        <w:t>90</w:t>
      </w:r>
      <w:r>
        <w:t xml:space="preserve"> for T = 110–155 °C and n = 1 and 1.5 to within 1.3e-07 (relative). The sharpness law is accurate to 5 % across that range for n = 1; for n = 1.5 the tail is longer and S rises from 1.48 to 2.40 at 140 °C, which the law does not capture (the quadrature does).</w:t>
      </w:r>
    </w:p>
    <w:p>
      <w:pPr>
        <w:keepNext/>
        <w:spacing w:before="160" w:after="40"/>
        <w:jc w:val="center"/>
      </w:pPr>
      <w:r>
        <w:drawing>
          <wp:inline xmlns:a="http://schemas.openxmlformats.org/drawingml/2006/main" xmlns:pic="http://schemas.openxmlformats.org/drawingml/2006/picture">
            <wp:extent cx="5852160" cy="2519680"/>
            <wp:docPr id="1" name="Picture 1"/>
            <wp:cNvGraphicFramePr>
              <a:graphicFrameLocks noChangeAspect="1"/>
            </wp:cNvGraphicFramePr>
            <a:graphic>
              <a:graphicData uri="http://schemas.openxmlformats.org/drawingml/2006/picture">
                <pic:pic>
                  <pic:nvPicPr>
                    <pic:cNvPr id="0" name="fig1_clock_sharpness.png"/>
                    <pic:cNvPicPr/>
                  </pic:nvPicPr>
                  <pic:blipFill>
                    <a:blip r:embed="rId10"/>
                    <a:stretch>
                      <a:fillRect/>
                    </a:stretch>
                  </pic:blipFill>
                  <pic:spPr>
                    <a:xfrm>
                      <a:off x="0" y="0"/>
                      <a:ext cx="5852160" cy="2519680"/>
                    </a:xfrm>
                    <a:prstGeom prst="rect"/>
                  </pic:spPr>
                </pic:pic>
              </a:graphicData>
            </a:graphic>
          </wp:inline>
        </w:drawing>
      </w:r>
    </w:p>
    <w:p>
      <w:pPr>
        <w:keepNext w:val="0"/>
        <w:spacing w:line="276" w:lineRule="auto" w:after="200"/>
      </w:pPr>
      <w:r>
        <w:rPr>
          <w:b/>
          <w:sz w:val="19"/>
        </w:rPr>
        <w:t>Fig. 1</w:t>
      </w:r>
      <w:r>
        <w:rPr>
          <w:sz w:val="19"/>
        </w:rPr>
        <w:t xml:space="preserve"> (a) Gated and ungated cure at constant temperature: the gated curve is the isothermal curve shifted by about τ</w:t>
      </w:r>
      <w:r>
        <w:rPr>
          <w:sz w:val="19"/>
          <w:vertAlign w:val="subscript"/>
        </w:rPr>
        <w:t>rel</w:t>
      </w:r>
      <w:r>
        <w:rPr>
          <w:sz w:val="19"/>
        </w:rPr>
        <w:t>, and the integrated ODE (circles) agrees with the availability-clock formula. (b) Sharpness as a function of the rate-constant ratio: exact n = 1, the logarithmic law, and integrated results for n = 1.5.</w:t>
      </w:r>
    </w:p>
    <w:p>
      <w:pPr>
        <w:pStyle w:val="Heading2"/>
      </w:pPr>
      <w:r>
        <w:rPr>
          <w:rFonts w:ascii="Times New Roman" w:hAnsi="Times New Roman"/>
        </w:rPr>
        <w:t>C. Proposition 3: storage conversion of a capsule population and a design rule</w:t>
      </w:r>
    </w:p>
    <w:p>
      <w:pPr>
        <w:keepNext w:val="0"/>
        <w:jc w:val="both"/>
      </w:pPr>
      <w:r>
        <w:t>A capsule that is open at the storage temperature T</w:t>
      </w:r>
      <w:r>
        <w:rPr>
          <w:vertAlign w:val="subscript"/>
        </w:rPr>
        <w:t>s</w:t>
      </w:r>
      <w:r>
        <w:t xml:space="preserve"> releases catalyst that then drives the autocatalytic cure at T</w:t>
      </w:r>
      <w:r>
        <w:rPr>
          <w:vertAlign w:val="subscript"/>
        </w:rPr>
        <w:t>s</w:t>
      </w:r>
      <w:r>
        <w:t xml:space="preserve">. For a Gaussian spread σ of melting temperatures and a logistic activation of width </w:t>
      </w:r>
      <w:r>
        <w:rPr>
          <w:i/>
        </w:rPr>
        <w:t>w</w:t>
      </w:r>
      <w:r>
        <w:rPr>
          <w:vertAlign w:val="subscript"/>
        </w:rPr>
        <w:t>0</w:t>
      </w:r>
      <w:r>
        <w:t>, the equilibrium open fraction at a margin Δ = T</w:t>
      </w:r>
      <w:r>
        <w:rPr>
          <w:vertAlign w:val="subscript"/>
        </w:rPr>
        <w:t>m</w:t>
      </w:r>
      <w:r>
        <w:t xml:space="preserve"> − T</w:t>
      </w:r>
      <w:r>
        <w:rPr>
          <w:vertAlign w:val="subscript"/>
        </w:rPr>
        <w:t>s</w:t>
      </w:r>
      <w:r>
        <w:t xml:space="preserve"> below the mean melting temperature is the Gaussian–logistic convolution, which the probit approximation (matching variances, π²w</w:t>
      </w:r>
      <w:r>
        <w:rPr>
          <w:vertAlign w:val="subscript"/>
        </w:rPr>
        <w:t>0</w:t>
      </w:r>
      <w:r>
        <w:t>²/3 for the logistic) writes as</w:t>
      </w:r>
    </w:p>
    <w:p>
      <w:pPr>
        <w:keepLines/>
        <w:tabs>
          <w:tab w:pos="4680" w:val="center"/>
          <w:tab w:pos="9360" w:val="right"/>
        </w:tabs>
        <w:spacing w:before="120" w:after="120"/>
      </w:pPr>
      <w:r>
        <w:tab/>
      </w:r>
      <m:oMath>
        <m:r>
          <m:rPr>
            <m:sty m:val="i"/>
          </m:rPr>
          <w:rPr>
            <w:rFonts w:ascii="Cambria Math" w:hAnsi="Cambria Math"/>
            <w:i/>
          </w:rPr>
          <m:t xml:space="preserve">f</m:t>
        </m:r>
        <m:r>
          <m:rPr>
            <m:nor/>
          </m:rPr>
          <w:rPr>
            <w:rFonts w:ascii="Cambria Math" w:hAnsi="Cambria Math"/>
            <w:i w:val="0"/>
          </w:rPr>
          <m:t xml:space="preserve"> = </m:t>
        </m:r>
        <m:r>
          <m:rPr>
            <m:nor/>
          </m:rPr>
          <w:rPr>
            <w:rFonts w:ascii="Cambria Math" w:hAnsi="Cambria Math"/>
            <w:i w:val="0"/>
          </w:rPr>
          <m:t xml:space="preserve">Φ</m:t>
        </m:r>
        <m:d>
          <m:dPr>
            <m:begChr m:val="("/>
            <m:endChr m:val=")"/>
            <m:ctrlPr>
              <w:rPr>
                <w:rFonts w:ascii="Cambria Math" w:hAnsi="Cambria Math"/>
                <w:i/>
              </w:rPr>
            </m:ctrlPr>
          </m:dPr>
          <m:e>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Δ</m:t>
                </m:r>
              </m:num>
              <m:den>
                <m:sSub>
                  <m:sSubPr>
                    <m:ctrlPr>
                      <w:rPr>
                        <w:rFonts w:ascii="Cambria Math" w:hAnsi="Cambria Math"/>
                        <w:i/>
                      </w:rPr>
                    </m:ctrlPr>
                  </m:sSubPr>
                  <m:e>
                    <m:r>
                      <m:rPr>
                        <m:sty m:val="i"/>
                      </m:rPr>
                      <w:rPr>
                        <w:rFonts w:ascii="Cambria Math" w:hAnsi="Cambria Math"/>
                        <w:i/>
                      </w:rPr>
                      <m:t xml:space="preserve">σ</m:t>
                    </m:r>
                  </m:e>
                  <m:sub>
                    <m:r>
                      <m:rPr>
                        <m:nor/>
                      </m:rPr>
                      <w:rPr>
                        <w:rFonts w:ascii="Cambria Math" w:hAnsi="Cambria Math"/>
                        <w:i w:val="0"/>
                      </w:rPr>
                      <m:t xml:space="preserve">eff</m:t>
                    </m:r>
                  </m:sub>
                </m:sSub>
              </m:den>
            </m:f>
          </m:e>
        </m:d>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σ</m:t>
            </m:r>
          </m:e>
          <m:sub>
            <m:r>
              <m:rPr>
                <m:nor/>
              </m:rPr>
              <w:rPr>
                <w:rFonts w:ascii="Cambria Math" w:hAnsi="Cambria Math"/>
                <w:i w:val="0"/>
              </w:rPr>
              <m:t xml:space="preserve">eff</m:t>
            </m:r>
          </m:sub>
        </m:sSub>
        <m:r>
          <m:rPr>
            <m:nor/>
          </m:rPr>
          <w:rPr>
            <w:rFonts w:ascii="Cambria Math" w:hAnsi="Cambria Math"/>
            <w:i w:val="0"/>
          </w:rPr>
          <m:t xml:space="preserve">²</m:t>
        </m:r>
        <m:r>
          <m:rPr>
            <m:nor/>
          </m:rPr>
          <w:rPr>
            <w:rFonts w:ascii="Cambria Math" w:hAnsi="Cambria Math"/>
            <w:i w:val="0"/>
          </w:rPr>
          <m:t xml:space="preserve"> = </m:t>
        </m:r>
        <m:sSup>
          <m:sSupPr>
            <m:ctrlPr>
              <w:rPr>
                <w:rFonts w:ascii="Cambria Math" w:hAnsi="Cambria Math"/>
                <w:i/>
              </w:rPr>
            </m:ctrlPr>
          </m:sSupPr>
          <m:e>
            <m:r>
              <m:rPr>
                <m:sty m:val="i"/>
              </m:rPr>
              <w:rPr>
                <w:rFonts w:ascii="Cambria Math" w:hAnsi="Cambria Math"/>
                <w:i/>
              </w:rPr>
              <m:t xml:space="preserve">σ</m:t>
            </m:r>
          </m:e>
          <m:sup>
            <m:r>
              <m:rPr>
                <m:nor/>
              </m:rPr>
              <w:rPr>
                <w:rFonts w:ascii="Cambria Math" w:hAnsi="Cambria Math"/>
                <w:i w:val="0"/>
              </w:rPr>
              <m:t xml:space="preserve">2</m:t>
            </m:r>
          </m:sup>
        </m:sSup>
        <m:r>
          <m:rPr>
            <m:nor/>
          </m:rPr>
          <w:rPr>
            <w:rFonts w:ascii="Cambria Math" w:hAnsi="Cambria Math"/>
            <w:i w:val="0"/>
          </w:rPr>
          <m:t xml:space="preserve"> + </m:t>
        </m:r>
        <m:f>
          <m:fPr>
            <m:ctrlPr>
              <w:rPr>
                <w:rFonts w:ascii="Cambria Math" w:hAnsi="Cambria Math"/>
                <w:i/>
              </w:rPr>
            </m:ctrlPr>
          </m:fPr>
          <m:num>
            <m:sSup>
              <m:sSupPr>
                <m:ctrlPr>
                  <w:rPr>
                    <w:rFonts w:ascii="Cambria Math" w:hAnsi="Cambria Math"/>
                    <w:i/>
                  </w:rPr>
                </m:ctrlPr>
              </m:sSupPr>
              <m:e>
                <m:r>
                  <m:rPr>
                    <m:nor/>
                  </m:rPr>
                  <w:rPr>
                    <w:rFonts w:ascii="Cambria Math" w:hAnsi="Cambria Math"/>
                    <w:i w:val="0"/>
                  </w:rPr>
                  <m:t xml:space="preserve">π</m:t>
                </m:r>
              </m:e>
              <m:sup>
                <m:r>
                  <m:rPr>
                    <m:nor/>
                  </m:rPr>
                  <w:rPr>
                    <w:rFonts w:ascii="Cambria Math" w:hAnsi="Cambria Math"/>
                    <w:i w:val="0"/>
                  </w:rPr>
                  <m:t xml:space="preserve">2</m:t>
                </m:r>
              </m:sup>
            </m:sSup>
            <m:sSup>
              <m:sSupPr>
                <m:ctrlPr>
                  <w:rPr>
                    <w:rFonts w:ascii="Cambria Math" w:hAnsi="Cambria Math"/>
                    <w:i/>
                  </w:rPr>
                </m:ctrlPr>
              </m:sSupPr>
              <m:e>
                <m:sSub>
                  <m:sSubPr>
                    <m:ctrlPr>
                      <w:rPr>
                        <w:rFonts w:ascii="Cambria Math" w:hAnsi="Cambria Math"/>
                        <w:i/>
                      </w:rPr>
                    </m:ctrlPr>
                  </m:sSubPr>
                  <m:e>
                    <m:r>
                      <m:rPr>
                        <m:sty m:val="i"/>
                      </m:rPr>
                      <w:rPr>
                        <w:rFonts w:ascii="Cambria Math" w:hAnsi="Cambria Math"/>
                        <w:i/>
                      </w:rPr>
                      <m:t xml:space="preserve">w</m:t>
                    </m:r>
                  </m:e>
                  <m:sub>
                    <m:r>
                      <m:rPr>
                        <m:nor/>
                      </m:rPr>
                      <w:rPr>
                        <w:rFonts w:ascii="Cambria Math" w:hAnsi="Cambria Math"/>
                        <w:i w:val="0"/>
                      </w:rPr>
                      <m:t xml:space="preserve">0</m:t>
                    </m:r>
                  </m:sub>
                </m:sSub>
              </m:e>
              <m:sup>
                <m:r>
                  <m:rPr>
                    <m:nor/>
                  </m:rPr>
                  <w:rPr>
                    <w:rFonts w:ascii="Cambria Math" w:hAnsi="Cambria Math"/>
                    <w:i w:val="0"/>
                  </w:rPr>
                  <m:t xml:space="preserve">2</m:t>
                </m:r>
              </m:sup>
            </m:sSup>
          </m:num>
          <m:den>
            <m:r>
              <m:rPr>
                <m:nor/>
              </m:rPr>
              <w:rPr>
                <w:rFonts w:ascii="Cambria Math" w:hAnsi="Cambria Math"/>
                <w:i w:val="0"/>
              </w:rPr>
              <m:t xml:space="preserve">3</m:t>
            </m:r>
          </m:den>
        </m:f>
        <m:r>
          <m:rPr>
            <m:nor/>
          </m:rPr>
          <w:rPr>
            <w:rFonts w:ascii="Cambria Math" w:hAnsi="Cambria Math"/>
            <w:i w:val="0"/>
          </w:rPr>
          <m:t xml:space="preserve">.</m:t>
        </m:r>
      </m:oMath>
      <w:r>
        <w:tab/>
        <w:t xml:space="preserve">(9)</w:t>
      </w:r>
    </w:p>
    <w:p>
      <w:pPr>
        <w:keepNext w:val="0"/>
        <w:jc w:val="both"/>
      </w:pPr>
      <w:r>
        <w:rPr>
          <w:b/>
        </w:rPr>
        <w:t>Proposition 3.</w:t>
      </w:r>
      <w:r>
        <w:t xml:space="preserve"> If every capsule relaxes toward its own activation with the common rate constant k</w:t>
      </w:r>
      <w:r>
        <w:rPr>
          <w:vertAlign w:val="subscript"/>
        </w:rPr>
        <w:t>rel</w:t>
      </w:r>
      <w:r>
        <w:t>(T</w:t>
      </w:r>
      <w:r>
        <w:rPr>
          <w:vertAlign w:val="subscript"/>
        </w:rPr>
        <w:t>s</w:t>
      </w:r>
      <w:r>
        <w:t>), then ⟨C⟩(t) = f(1 − exp(−k</w:t>
      </w:r>
      <w:r>
        <w:rPr>
          <w:vertAlign w:val="subscript"/>
        </w:rPr>
        <w:t>rel</w:t>
      </w:r>
      <w:r>
        <w:t>t)) and, for small conversion, the storage conversion after a time t is</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α</m:t>
            </m:r>
          </m:e>
          <m:sub>
            <m:r>
              <m:rPr>
                <m:nor/>
              </m:rPr>
              <w:rPr>
                <w:rFonts w:ascii="Cambria Math" w:hAnsi="Cambria Math"/>
                <w:i w:val="0"/>
              </w:rPr>
              <m:t xml:space="preserve">s</m:t>
            </m:r>
          </m:sub>
        </m:sSub>
        <m:d>
          <m:dPr>
            <m:begChr m:val="("/>
            <m:endChr m:val=")"/>
            <m:ctrlPr>
              <w:rPr>
                <w:rFonts w:ascii="Cambria Math" w:hAnsi="Cambria Math"/>
                <w:i/>
              </w:rPr>
            </m:ctrlPr>
          </m:dPr>
          <m:e>
            <m:r>
              <m:rPr>
                <m:sty m:val="i"/>
              </m:rPr>
              <w:rPr>
                <w:rFonts w:ascii="Cambria Math" w:hAnsi="Cambria Math"/>
                <w:i/>
              </w:rPr>
              <m:t xml:space="preserve">t</m:t>
            </m:r>
          </m:e>
        </m:d>
        <m:r>
          <m:rPr>
            <m:nor/>
          </m:rPr>
          <w:rPr>
            <w:rFonts w:ascii="Cambria Math" w:hAnsi="Cambria Math"/>
            <w:i w:val="0"/>
          </w:rPr>
          <m:t xml:space="preserve"> = </m:t>
        </m:r>
        <m:r>
          <m:rPr>
            <m:sty m:val="i"/>
          </m:rPr>
          <w:rPr>
            <w:rFonts w:ascii="Cambria Math" w:hAnsi="Cambria Math"/>
            <w:i/>
          </w:rPr>
          <m:t xml:space="preserve">a</m:t>
        </m:r>
        <m:sSubSup>
          <m:sSubSupPr>
            <m:ctrlPr>
              <w:rPr>
                <w:rFonts w:ascii="Cambria Math" w:hAnsi="Cambria Math"/>
                <w:i/>
              </w:rPr>
            </m:ctrlPr>
          </m:sSubSupPr>
          <m:e>
            <m:r>
              <m:rPr>
                <m:nor/>
              </m:rPr>
              <w:rPr>
                <w:rFonts w:ascii="Cambria Math" w:hAnsi="Cambria Math"/>
                <w:i w:val="0"/>
              </w:rPr>
              <m:t xml:space="preserve">∫</m:t>
            </m:r>
          </m:e>
          <m:sub>
            <m:r>
              <m:rPr>
                <m:nor/>
              </m:rPr>
              <w:rPr>
                <w:rFonts w:ascii="Cambria Math" w:hAnsi="Cambria Math"/>
                <w:i w:val="0"/>
              </w:rPr>
              <m:t xml:space="preserve">0</m:t>
            </m:r>
          </m:sub>
          <m:sup>
            <m:r>
              <m:rPr>
                <m:sty m:val="i"/>
              </m:rPr>
              <w:rPr>
                <w:rFonts w:ascii="Cambria Math" w:hAnsi="Cambria Math"/>
                <w:i/>
              </w:rPr>
              <m:t xml:space="preserve">t</m:t>
            </m:r>
          </m:sup>
        </m:sSubSup>
        <m:d>
          <m:dPr>
            <m:begChr m:val="⟨"/>
            <m:endChr m:val="⟩"/>
            <m:ctrlPr>
              <w:rPr>
                <w:rFonts w:ascii="Cambria Math" w:hAnsi="Cambria Math"/>
                <w:i/>
              </w:rPr>
            </m:ctrlPr>
          </m:dPr>
          <m:e>
            <m:r>
              <m:rPr>
                <m:sty m:val="i"/>
              </m:rPr>
              <w:rPr>
                <w:rFonts w:ascii="Cambria Math" w:hAnsi="Cambria Math"/>
                <w:i/>
              </w:rPr>
              <m:t xml:space="preserve">C</m:t>
            </m:r>
          </m:e>
        </m:d>
        <m:d>
          <m:dPr>
            <m:begChr m:val="("/>
            <m:endChr m:val=")"/>
            <m:ctrlPr>
              <w:rPr>
                <w:rFonts w:ascii="Cambria Math" w:hAnsi="Cambria Math"/>
                <w:i/>
              </w:rPr>
            </m:ctrlPr>
          </m:dPr>
          <m:e>
            <m:r>
              <m:rPr>
                <m:sty m:val="i"/>
              </m:rPr>
              <w:rPr>
                <w:rFonts w:ascii="Cambria Math" w:hAnsi="Cambria Math"/>
                <w:i/>
              </w:rPr>
              <m:t xml:space="preserve">s</m:t>
            </m:r>
          </m:e>
        </m:d>
        <m:r>
          <m:rPr>
            <m:nor/>
          </m:rPr>
          <w:rPr>
            <w:rFonts w:ascii="Cambria Math" w:hAnsi="Cambria Math"/>
            <w:i w:val="0"/>
          </w:rPr>
          <m:t xml:space="preserve">exp</m:t>
        </m:r>
        <m:d>
          <m:dPr>
            <m:begChr m:val="("/>
            <m:endChr m:val=")"/>
            <m:ctrlPr>
              <w:rPr>
                <w:rFonts w:ascii="Cambria Math" w:hAnsi="Cambria Math"/>
                <w:i/>
              </w:rPr>
            </m:ctrlPr>
          </m:dPr>
          <m:e>
            <m:r>
              <m:rPr>
                <m:sty m:val="i"/>
              </m:rPr>
              <w:rPr>
                <w:rFonts w:ascii="Cambria Math" w:hAnsi="Cambria Math"/>
                <w:i/>
              </w:rPr>
              <m:t xml:space="preserve">b</m:t>
            </m:r>
            <m:sSubSup>
              <m:sSubSupPr>
                <m:ctrlPr>
                  <w:rPr>
                    <w:rFonts w:ascii="Cambria Math" w:hAnsi="Cambria Math"/>
                    <w:i/>
                  </w:rPr>
                </m:ctrlPr>
              </m:sSubSupPr>
              <m:e>
                <m:r>
                  <m:rPr>
                    <m:nor/>
                  </m:rPr>
                  <w:rPr>
                    <w:rFonts w:ascii="Cambria Math" w:hAnsi="Cambria Math"/>
                    <w:i w:val="0"/>
                  </w:rPr>
                  <m:t xml:space="preserve">∫</m:t>
                </m:r>
              </m:e>
              <m:sub>
                <m:r>
                  <m:rPr>
                    <m:sty m:val="i"/>
                  </m:rPr>
                  <w:rPr>
                    <w:rFonts w:ascii="Cambria Math" w:hAnsi="Cambria Math"/>
                    <w:i/>
                  </w:rPr>
                  <m:t xml:space="preserve">s</m:t>
                </m:r>
              </m:sub>
              <m:sup>
                <m:r>
                  <m:rPr>
                    <m:sty m:val="i"/>
                  </m:rPr>
                  <w:rPr>
                    <w:rFonts w:ascii="Cambria Math" w:hAnsi="Cambria Math"/>
                    <w:i/>
                  </w:rPr>
                  <m:t xml:space="preserve">t</m:t>
                </m:r>
              </m:sup>
            </m:sSubSup>
            <m:d>
              <m:dPr>
                <m:begChr m:val="⟨"/>
                <m:endChr m:val="⟩"/>
                <m:ctrlPr>
                  <w:rPr>
                    <w:rFonts w:ascii="Cambria Math" w:hAnsi="Cambria Math"/>
                    <w:i/>
                  </w:rPr>
                </m:ctrlPr>
              </m:dPr>
              <m:e>
                <m:r>
                  <m:rPr>
                    <m:sty m:val="i"/>
                  </m:rPr>
                  <w:rPr>
                    <w:rFonts w:ascii="Cambria Math" w:hAnsi="Cambria Math"/>
                    <w:i/>
                  </w:rPr>
                  <m:t xml:space="preserve">C</m:t>
                </m:r>
              </m:e>
            </m:d>
            <m:d>
              <m:dPr>
                <m:begChr m:val="("/>
                <m:endChr m:val=")"/>
                <m:ctrlPr>
                  <w:rPr>
                    <w:rFonts w:ascii="Cambria Math" w:hAnsi="Cambria Math"/>
                    <w:i/>
                  </w:rPr>
                </m:ctrlPr>
              </m:dPr>
              <m:e>
                <m:r>
                  <m:rPr>
                    <m:sty m:val="i"/>
                  </m:rPr>
                  <w:rPr>
                    <w:rFonts w:ascii="Cambria Math" w:hAnsi="Cambria Math"/>
                    <w:i/>
                  </w:rPr>
                  <m:t xml:space="preserve">u</m:t>
                </m:r>
              </m:e>
            </m:d>
            <m:r>
              <m:rPr>
                <m:sty m:val="i"/>
              </m:rPr>
              <w:rPr>
                <w:rFonts w:ascii="Cambria Math" w:hAnsi="Cambria Math"/>
                <w:i/>
              </w:rPr>
              <m:t xml:space="preserve">du</m:t>
            </m:r>
          </m:e>
        </m:d>
        <m:r>
          <m:rPr>
            <m:sty m:val="i"/>
          </m:rPr>
          <w:rPr>
            <w:rFonts w:ascii="Cambria Math" w:hAnsi="Cambria Math"/>
            <w:i/>
          </w:rPr>
          <m:t xml:space="preserve">ds</m:t>
        </m:r>
        <m:r>
          <m:rPr>
            <m:nor/>
          </m:rPr>
          <w:rPr>
            <w:rFonts w:ascii="Cambria Math" w:hAnsi="Cambria Math"/>
            <w:i w:val="0"/>
          </w:rPr>
          <m:t xml:space="preserve">.</m:t>
        </m:r>
      </m:oMath>
      <w:r>
        <w:tab/>
        <w:t xml:space="preserve">(10)</w:t>
      </w:r>
    </w:p>
    <w:p>
      <w:pPr>
        <w:keepNext w:val="0"/>
        <w:jc w:val="both"/>
      </w:pPr>
      <w:r>
        <w:rPr>
          <w:i/>
        </w:rPr>
        <w:t>Proof.</w:t>
      </w:r>
      <w:r>
        <w:t xml:space="preserve"> For α ≪ 1 and (1 − α)</w:t>
      </w:r>
      <w:r>
        <w:rPr>
          <w:vertAlign w:val="superscript"/>
        </w:rPr>
        <w:t>n</w:t>
      </w:r>
      <w:r>
        <w:t xml:space="preserve"> ≈ 1 the rate law is linear, dα/dt = ⟨C⟩(a + bα), which is solved by the integrating factor exp(b∫⟨C⟩). ∎ The tolerance ε on the storage conversion fixes the largest admissible open fraction f</w:t>
      </w:r>
      <w:r>
        <w:rPr>
          <w:vertAlign w:val="superscript"/>
        </w:rPr>
        <w:t>*</w:t>
      </w:r>
      <w:r>
        <w:t xml:space="preserve"> by α</w:t>
      </w:r>
      <w:r>
        <w:rPr>
          <w:vertAlign w:val="subscript"/>
        </w:rPr>
        <w:t>s</w:t>
      </w:r>
      <w:r>
        <w:t>(t; f</w:t>
      </w:r>
      <w:r>
        <w:rPr>
          <w:vertAlign w:val="superscript"/>
        </w:rPr>
        <w:t>*</w:t>
      </w:r>
      <w:r>
        <w:t>) = ε (a monotone one-dimensional root), and the design rule follows by inverting the probit relation:</w:t>
      </w:r>
    </w:p>
    <w:p>
      <w:pPr>
        <w:keepLines/>
        <w:tabs>
          <w:tab w:pos="4680" w:val="center"/>
          <w:tab w:pos="9360" w:val="right"/>
        </w:tabs>
        <w:spacing w:before="120" w:after="120"/>
      </w:pPr>
      <w:r>
        <w:tab/>
      </w:r>
      <m:oMath>
        <m:r>
          <m:rPr>
            <m:sty m:val="i"/>
          </m:rPr>
          <w:rPr>
            <w:rFonts w:ascii="Cambria Math" w:hAnsi="Cambria Math"/>
            <w:i/>
          </w:rPr>
          <m:t xml:space="preserve">σ*</m:t>
        </m:r>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Δ</m:t>
            </m:r>
          </m:num>
          <m:den>
            <m:r>
              <m:rPr>
                <m:sty m:val="i"/>
              </m:rPr>
              <w:rPr>
                <w:rFonts w:ascii="Cambria Math" w:hAnsi="Cambria Math"/>
                <w:i/>
              </w:rPr>
              <m:t xml:space="preserve">z*</m:t>
            </m:r>
          </m:den>
        </m:f>
        <m:r>
          <m:rPr>
            <m:nor/>
          </m:rPr>
          <w:rPr>
            <w:rFonts w:ascii="Cambria Math" w:hAnsi="Cambria Math"/>
            <w:i w:val="0"/>
          </w:rPr>
          <m:t xml:space="preserve">,   </m:t>
        </m:r>
        <m:r>
          <m:rPr>
            <m:sty m:val="i"/>
          </m:rPr>
          <w:rPr>
            <w:rFonts w:ascii="Cambria Math" w:hAnsi="Cambria Math"/>
            <w:i/>
          </w:rPr>
          <m:t xml:space="preserve">z*</m:t>
        </m:r>
        <m:r>
          <m:rPr>
            <m:nor/>
          </m:rPr>
          <w:rPr>
            <w:rFonts w:ascii="Cambria Math" w:hAnsi="Cambria Math"/>
            <w:i w:val="0"/>
          </w:rPr>
          <m:t xml:space="preserve"> = </m:t>
        </m:r>
        <m:r>
          <m:rPr>
            <m:nor/>
          </m:rPr>
          <w:rPr>
            <w:rFonts w:ascii="Cambria Math" w:hAnsi="Cambria Math"/>
            <w:i w:val="0"/>
          </w:rPr>
          <m:t xml:space="preserve"> − </m:t>
        </m:r>
        <m:sSup>
          <m:sSupPr>
            <m:ctrlPr>
              <w:rPr>
                <w:rFonts w:ascii="Cambria Math" w:hAnsi="Cambria Math"/>
                <w:i/>
              </w:rPr>
            </m:ctrlPr>
          </m:sSupPr>
          <m:e>
            <m:r>
              <m:rPr>
                <m:nor/>
              </m:rPr>
              <w:rPr>
                <w:rFonts w:ascii="Cambria Math" w:hAnsi="Cambria Math"/>
                <w:i w:val="0"/>
              </w:rPr>
              <m:t xml:space="preserve">Φ</m:t>
            </m:r>
          </m:e>
          <m:sup>
            <m:r>
              <m:rPr>
                <m:nor/>
              </m:rPr>
              <w:rPr>
                <w:rFonts w:ascii="Cambria Math" w:hAnsi="Cambria Math"/>
                <w:i w:val="0"/>
              </w:rPr>
              <m:t xml:space="preserve">−1</m:t>
            </m:r>
          </m:sup>
        </m:sSup>
        <m:d>
          <m:dPr>
            <m:begChr m:val="("/>
            <m:endChr m:val=")"/>
            <m:ctrlPr>
              <w:rPr>
                <w:rFonts w:ascii="Cambria Math" w:hAnsi="Cambria Math"/>
                <w:i/>
              </w:rPr>
            </m:ctrlPr>
          </m:dPr>
          <m:e>
            <m:sSup>
              <m:sSupPr>
                <m:ctrlPr>
                  <w:rPr>
                    <w:rFonts w:ascii="Cambria Math" w:hAnsi="Cambria Math"/>
                    <w:i/>
                  </w:rPr>
                </m:ctrlPr>
              </m:sSupPr>
              <m:e>
                <m:r>
                  <m:rPr>
                    <m:sty m:val="i"/>
                  </m:rPr>
                  <w:rPr>
                    <w:rFonts w:ascii="Cambria Math" w:hAnsi="Cambria Math"/>
                    <w:i/>
                  </w:rPr>
                  <m:t xml:space="preserve">f</m:t>
                </m:r>
              </m:e>
              <m:sup>
                <m:r>
                  <m:rPr>
                    <m:nor/>
                  </m:rPr>
                  <w:rPr>
                    <w:rFonts w:ascii="Cambria Math" w:hAnsi="Cambria Math"/>
                    <w:i w:val="0"/>
                  </w:rPr>
                  <m:t xml:space="preserve">*</m:t>
                </m:r>
              </m:sup>
            </m:sSup>
          </m:e>
        </m:d>
        <m:r>
          <m:rPr>
            <m:nor/>
          </m:rPr>
          <w:rPr>
            <w:rFonts w:ascii="Cambria Math" w:hAnsi="Cambria Math"/>
            <w:i w:val="0"/>
          </w:rPr>
          <m:t xml:space="preserve">   (w₀ → 0).</m:t>
        </m:r>
      </m:oMath>
      <w:r>
        <w:tab/>
        <w:t xml:space="preserve">(11)</w:t>
      </w:r>
    </w:p>
    <w:p>
      <w:pPr>
        <w:keepNext w:val="0"/>
        <w:jc w:val="both"/>
      </w:pPr>
      <w:r>
        <w:t>For small ε, f</w:t>
      </w:r>
      <w:r>
        <w:rPr>
          <w:vertAlign w:val="superscript"/>
        </w:rPr>
        <w:t>*</w:t>
      </w:r>
      <w:r>
        <w:t xml:space="preserve"> ≈ ln(1 + εb/a)/(b t</w:t>
      </w:r>
      <w:r>
        <w:rPr>
          <w:vertAlign w:val="subscript"/>
        </w:rPr>
        <w:t>eff</w:t>
      </w:r>
      <w:r>
        <w:t>) with t</w:t>
      </w:r>
      <w:r>
        <w:rPr>
          <w:vertAlign w:val="subscript"/>
        </w:rPr>
        <w:t>eff</w:t>
      </w:r>
      <w:r>
        <w:t xml:space="preserve"> = t − (1 − exp(−k</w:t>
      </w:r>
      <w:r>
        <w:rPr>
          <w:vertAlign w:val="subscript"/>
        </w:rPr>
        <w:t>rel</w:t>
      </w:r>
      <w:r>
        <w:t>t))/k</w:t>
      </w:r>
      <w:r>
        <w:rPr>
          <w:vertAlign w:val="subscript"/>
        </w:rPr>
        <w:t>rel</w:t>
      </w:r>
      <w:r>
        <w:t>. We tested the closed form against the capsule-population equations (K = 801 deterministic Gaussian quantiles of the melting temperature, constant temperature, t = 150 min) for margins of 3, 6 and 10 °C and spreads of 2–10 °C: the storage conversions agree within 4 % (median ratio 0.992), and the spread σ</w:t>
      </w:r>
      <w:r>
        <w:rPr>
          <w:vertAlign w:val="superscript"/>
        </w:rPr>
        <w:t>*</w:t>
      </w:r>
      <w:r>
        <w:t xml:space="preserve"> that solves α</w:t>
      </w:r>
      <w:r>
        <w:rPr>
          <w:vertAlign w:val="subscript"/>
        </w:rPr>
        <w:t>s</w:t>
      </w:r>
      <w:r>
        <w:t xml:space="preserve"> = ε agrees with the root of the population equations within 3 % for all 8 cases for which the ODE reaches ε (Table 2). For ε = 0.01 and a 6 °C margin the rule gives σ</w:t>
      </w:r>
      <w:r>
        <w:rPr>
          <w:vertAlign w:val="superscript"/>
        </w:rPr>
        <w:t>*</w:t>
      </w:r>
      <w:r>
        <w:t xml:space="preserve"> = 5.9 °C.</w:t>
      </w:r>
    </w:p>
    <w:p>
      <w:pPr>
        <w:keepNext/>
        <w:spacing w:line="276" w:lineRule="auto" w:after="200"/>
      </w:pPr>
      <w:r>
        <w:rPr>
          <w:b/>
          <w:sz w:val="19"/>
        </w:rPr>
        <w:t>Table 2</w:t>
      </w:r>
      <w:r>
        <w:rPr>
          <w:sz w:val="19"/>
        </w:rPr>
        <w:t xml:space="preserve"> Largest admissible melting-temperature spread σ</w:t>
      </w:r>
      <w:r>
        <w:rPr>
          <w:sz w:val="19"/>
          <w:vertAlign w:val="superscript"/>
        </w:rPr>
        <w:t>*</w:t>
      </w:r>
      <w:r>
        <w:rPr>
          <w:sz w:val="19"/>
        </w:rPr>
        <w:t xml:space="preserve"> for a storage time of 150 min: closed form (Proposition 3) against root-finding on the population equations.</w:t>
      </w:r>
    </w:p>
    <w:tbl>
      <w:tblPr>
        <w:tblStyle w:val="TableGrid"/>
        <w:tblW w:type="auto" w:w="0"/>
        <w:jc w:val="center"/>
        <w:tblLayout w:type="fixed"/>
        <w:tblLook w:firstColumn="1" w:firstRow="1" w:lastColumn="0" w:lastRow="0" w:noHBand="0" w:noVBand="1" w:val="04A0"/>
      </w:tblPr>
      <w:tblGrid>
        <w:gridCol w:w="1728"/>
        <w:gridCol w:w="1584"/>
        <w:gridCol w:w="2304"/>
        <w:gridCol w:w="2592"/>
        <w:gridCol w:w="1440"/>
      </w:tblGrid>
      <w:tr>
        <w:trPr>
          <w:tblHeader w:val="true"/>
        </w:trPr>
        <w:tc>
          <w:tcPr>
            <w:tcW w:type="dxa" w:w="1728"/>
            <w:shd w:val="clear" w:color="auto" w:fill="E7ECF1"/>
          </w:tcPr>
          <w:p>
            <w:pPr>
              <w:spacing w:line="240" w:lineRule="auto" w:after="20"/>
            </w:pPr>
            <w:r/>
            <w:r>
              <w:rPr>
                <w:b/>
                <w:sz w:val="17"/>
              </w:rPr>
              <w:t>Margin Δ (°C)</w:t>
            </w:r>
          </w:p>
        </w:tc>
        <w:tc>
          <w:tcPr>
            <w:tcW w:type="dxa" w:w="1584"/>
            <w:shd w:val="clear" w:color="auto" w:fill="E7ECF1"/>
          </w:tcPr>
          <w:p>
            <w:pPr>
              <w:spacing w:line="240" w:lineRule="auto" w:after="20"/>
            </w:pPr>
            <w:r/>
            <w:r>
              <w:rPr>
                <w:b/>
                <w:sz w:val="17"/>
              </w:rPr>
              <w:t>Tolerance ε</w:t>
            </w:r>
          </w:p>
        </w:tc>
        <w:tc>
          <w:tcPr>
            <w:tcW w:type="dxa" w:w="2304"/>
            <w:shd w:val="clear" w:color="auto" w:fill="E7ECF1"/>
          </w:tcPr>
          <w:p>
            <w:pPr>
              <w:spacing w:line="240" w:lineRule="auto" w:after="20"/>
            </w:pPr>
            <w:r/>
            <w:r>
              <w:rPr>
                <w:b/>
                <w:sz w:val="17"/>
              </w:rPr>
              <w:t>σ</w:t>
            </w:r>
            <w:r>
              <w:rPr>
                <w:b/>
                <w:sz w:val="17"/>
                <w:vertAlign w:val="superscript"/>
              </w:rPr>
              <w:t>*</w:t>
            </w:r>
            <w:r>
              <w:rPr>
                <w:b/>
                <w:sz w:val="17"/>
              </w:rPr>
              <w:t xml:space="preserve"> closed form (°C)</w:t>
            </w:r>
          </w:p>
        </w:tc>
        <w:tc>
          <w:tcPr>
            <w:tcW w:type="dxa" w:w="2592"/>
            <w:shd w:val="clear" w:color="auto" w:fill="E7ECF1"/>
          </w:tcPr>
          <w:p>
            <w:pPr>
              <w:spacing w:line="240" w:lineRule="auto" w:after="20"/>
            </w:pPr>
            <w:r/>
            <w:r>
              <w:rPr>
                <w:b/>
                <w:sz w:val="17"/>
              </w:rPr>
              <w:t>σ</w:t>
            </w:r>
            <w:r>
              <w:rPr>
                <w:b/>
                <w:sz w:val="17"/>
                <w:vertAlign w:val="superscript"/>
              </w:rPr>
              <w:t>*</w:t>
            </w:r>
            <w:r>
              <w:rPr>
                <w:b/>
                <w:sz w:val="17"/>
              </w:rPr>
              <w:t xml:space="preserve"> population ODE (°C)</w:t>
            </w:r>
          </w:p>
        </w:tc>
        <w:tc>
          <w:tcPr>
            <w:tcW w:type="dxa" w:w="1440"/>
            <w:shd w:val="clear" w:color="auto" w:fill="E7ECF1"/>
          </w:tcPr>
          <w:p>
            <w:pPr>
              <w:spacing w:line="240" w:lineRule="auto" w:after="20"/>
            </w:pPr>
            <w:r/>
            <w:r>
              <w:rPr>
                <w:b/>
                <w:sz w:val="17"/>
              </w:rPr>
              <w:t>Difference</w:t>
            </w:r>
          </w:p>
        </w:tc>
      </w:tr>
      <w:tr>
        <w:tc>
          <w:tcPr>
            <w:tcW w:type="dxa" w:w="1728"/>
          </w:tcPr>
          <w:p>
            <w:pPr>
              <w:spacing w:line="240" w:lineRule="auto" w:after="20"/>
            </w:pPr>
            <w:r/>
            <w:r>
              <w:rPr>
                <w:sz w:val="17"/>
              </w:rPr>
              <w:t>3</w:t>
            </w:r>
          </w:p>
        </w:tc>
        <w:tc>
          <w:tcPr>
            <w:tcW w:type="dxa" w:w="1584"/>
          </w:tcPr>
          <w:p>
            <w:pPr>
              <w:spacing w:line="240" w:lineRule="auto" w:after="20"/>
            </w:pPr>
            <w:r/>
            <w:r>
              <w:rPr>
                <w:sz w:val="17"/>
              </w:rPr>
              <w:t>0.001</w:t>
            </w:r>
          </w:p>
        </w:tc>
        <w:tc>
          <w:tcPr>
            <w:tcW w:type="dxa" w:w="2304"/>
          </w:tcPr>
          <w:p>
            <w:pPr>
              <w:spacing w:line="240" w:lineRule="auto" w:after="20"/>
            </w:pPr>
            <w:r/>
            <w:r>
              <w:rPr>
                <w:sz w:val="17"/>
              </w:rPr>
              <w:t>1.13</w:t>
            </w:r>
          </w:p>
        </w:tc>
        <w:tc>
          <w:tcPr>
            <w:tcW w:type="dxa" w:w="2592"/>
          </w:tcPr>
          <w:p>
            <w:pPr>
              <w:spacing w:line="240" w:lineRule="auto" w:after="20"/>
            </w:pPr>
            <w:r/>
            <w:r>
              <w:rPr>
                <w:sz w:val="17"/>
              </w:rPr>
              <w:t>1.12</w:t>
            </w:r>
          </w:p>
        </w:tc>
        <w:tc>
          <w:tcPr>
            <w:tcW w:type="dxa" w:w="1440"/>
          </w:tcPr>
          <w:p>
            <w:pPr>
              <w:spacing w:line="240" w:lineRule="auto" w:after="20"/>
            </w:pPr>
            <w:r/>
            <w:r>
              <w:rPr>
                <w:sz w:val="17"/>
              </w:rPr>
              <w:t>+1.4 %</w:t>
            </w:r>
          </w:p>
        </w:tc>
      </w:tr>
      <w:tr>
        <w:tc>
          <w:tcPr>
            <w:tcW w:type="dxa" w:w="1728"/>
          </w:tcPr>
          <w:p>
            <w:pPr>
              <w:spacing w:line="240" w:lineRule="auto" w:after="20"/>
            </w:pPr>
            <w:r/>
            <w:r>
              <w:rPr>
                <w:sz w:val="17"/>
              </w:rPr>
              <w:t>3</w:t>
            </w:r>
          </w:p>
        </w:tc>
        <w:tc>
          <w:tcPr>
            <w:tcW w:type="dxa" w:w="1584"/>
          </w:tcPr>
          <w:p>
            <w:pPr>
              <w:spacing w:line="240" w:lineRule="auto" w:after="20"/>
            </w:pPr>
            <w:r/>
            <w:r>
              <w:rPr>
                <w:sz w:val="17"/>
              </w:rPr>
              <w:t>0.01</w:t>
            </w:r>
          </w:p>
        </w:tc>
        <w:tc>
          <w:tcPr>
            <w:tcW w:type="dxa" w:w="2304"/>
          </w:tcPr>
          <w:p>
            <w:pPr>
              <w:spacing w:line="240" w:lineRule="auto" w:after="20"/>
            </w:pPr>
            <w:r/>
            <w:r>
              <w:rPr>
                <w:sz w:val="17"/>
              </w:rPr>
              <w:t>2.55</w:t>
            </w:r>
          </w:p>
        </w:tc>
        <w:tc>
          <w:tcPr>
            <w:tcW w:type="dxa" w:w="2592"/>
          </w:tcPr>
          <w:p>
            <w:pPr>
              <w:spacing w:line="240" w:lineRule="auto" w:after="20"/>
            </w:pPr>
            <w:r/>
            <w:r>
              <w:rPr>
                <w:sz w:val="17"/>
              </w:rPr>
              <w:t>2.52</w:t>
            </w:r>
          </w:p>
        </w:tc>
        <w:tc>
          <w:tcPr>
            <w:tcW w:type="dxa" w:w="1440"/>
          </w:tcPr>
          <w:p>
            <w:pPr>
              <w:spacing w:line="240" w:lineRule="auto" w:after="20"/>
            </w:pPr>
            <w:r/>
            <w:r>
              <w:rPr>
                <w:sz w:val="17"/>
              </w:rPr>
              <w:t>+1.1 %</w:t>
            </w:r>
          </w:p>
        </w:tc>
      </w:tr>
      <w:tr>
        <w:tc>
          <w:tcPr>
            <w:tcW w:type="dxa" w:w="1728"/>
          </w:tcPr>
          <w:p>
            <w:pPr>
              <w:spacing w:line="240" w:lineRule="auto" w:after="20"/>
            </w:pPr>
            <w:r/>
            <w:r>
              <w:rPr>
                <w:sz w:val="17"/>
              </w:rPr>
              <w:t>3</w:t>
            </w:r>
          </w:p>
        </w:tc>
        <w:tc>
          <w:tcPr>
            <w:tcW w:type="dxa" w:w="1584"/>
          </w:tcPr>
          <w:p>
            <w:pPr>
              <w:spacing w:line="240" w:lineRule="auto" w:after="20"/>
            </w:pPr>
            <w:r/>
            <w:r>
              <w:rPr>
                <w:sz w:val="17"/>
              </w:rPr>
              <w:t>0.05</w:t>
            </w:r>
          </w:p>
        </w:tc>
        <w:tc>
          <w:tcPr>
            <w:tcW w:type="dxa" w:w="2304"/>
          </w:tcPr>
          <w:p>
            <w:pPr>
              <w:spacing w:line="240" w:lineRule="auto" w:after="20"/>
            </w:pPr>
            <w:r/>
            <w:r>
              <w:rPr>
                <w:sz w:val="17"/>
              </w:rPr>
              <w:t>6.79</w:t>
            </w:r>
          </w:p>
        </w:tc>
        <w:tc>
          <w:tcPr>
            <w:tcW w:type="dxa" w:w="2592"/>
          </w:tcPr>
          <w:p>
            <w:pPr>
              <w:spacing w:line="240" w:lineRule="auto" w:after="20"/>
            </w:pPr>
            <w:r/>
            <w:r>
              <w:rPr>
                <w:sz w:val="17"/>
              </w:rPr>
              <w:t>6.59</w:t>
            </w:r>
          </w:p>
        </w:tc>
        <w:tc>
          <w:tcPr>
            <w:tcW w:type="dxa" w:w="1440"/>
          </w:tcPr>
          <w:p>
            <w:pPr>
              <w:spacing w:line="240" w:lineRule="auto" w:after="20"/>
            </w:pPr>
            <w:r/>
            <w:r>
              <w:rPr>
                <w:sz w:val="17"/>
              </w:rPr>
              <w:t>+3.0 %</w:t>
            </w:r>
          </w:p>
        </w:tc>
      </w:tr>
      <w:tr>
        <w:tc>
          <w:tcPr>
            <w:tcW w:type="dxa" w:w="1728"/>
          </w:tcPr>
          <w:p>
            <w:pPr>
              <w:spacing w:line="240" w:lineRule="auto" w:after="20"/>
            </w:pPr>
            <w:r/>
            <w:r>
              <w:rPr>
                <w:sz w:val="17"/>
              </w:rPr>
              <w:t>6</w:t>
            </w:r>
          </w:p>
        </w:tc>
        <w:tc>
          <w:tcPr>
            <w:tcW w:type="dxa" w:w="1584"/>
          </w:tcPr>
          <w:p>
            <w:pPr>
              <w:spacing w:line="240" w:lineRule="auto" w:after="20"/>
            </w:pPr>
            <w:r/>
            <w:r>
              <w:rPr>
                <w:sz w:val="17"/>
              </w:rPr>
              <w:t>0.001</w:t>
            </w:r>
          </w:p>
        </w:tc>
        <w:tc>
          <w:tcPr>
            <w:tcW w:type="dxa" w:w="2304"/>
          </w:tcPr>
          <w:p>
            <w:pPr>
              <w:spacing w:line="240" w:lineRule="auto" w:after="20"/>
            </w:pPr>
            <w:r/>
            <w:r>
              <w:rPr>
                <w:sz w:val="17"/>
              </w:rPr>
              <w:t>2.84</w:t>
            </w:r>
          </w:p>
        </w:tc>
        <w:tc>
          <w:tcPr>
            <w:tcW w:type="dxa" w:w="2592"/>
          </w:tcPr>
          <w:p>
            <w:pPr>
              <w:spacing w:line="240" w:lineRule="auto" w:after="20"/>
            </w:pPr>
            <w:r/>
            <w:r>
              <w:rPr>
                <w:sz w:val="17"/>
              </w:rPr>
              <w:t>2.84</w:t>
            </w:r>
          </w:p>
        </w:tc>
        <w:tc>
          <w:tcPr>
            <w:tcW w:type="dxa" w:w="1440"/>
          </w:tcPr>
          <w:p>
            <w:pPr>
              <w:spacing w:line="240" w:lineRule="auto" w:after="20"/>
            </w:pPr>
            <w:r/>
            <w:r>
              <w:rPr>
                <w:sz w:val="17"/>
              </w:rPr>
              <w:t>+0.1 %</w:t>
            </w:r>
          </w:p>
        </w:tc>
      </w:tr>
      <w:tr>
        <w:tc>
          <w:tcPr>
            <w:tcW w:type="dxa" w:w="1728"/>
          </w:tcPr>
          <w:p>
            <w:pPr>
              <w:spacing w:line="240" w:lineRule="auto" w:after="20"/>
            </w:pPr>
            <w:r/>
            <w:r>
              <w:rPr>
                <w:sz w:val="17"/>
              </w:rPr>
              <w:t>6</w:t>
            </w:r>
          </w:p>
        </w:tc>
        <w:tc>
          <w:tcPr>
            <w:tcW w:type="dxa" w:w="1584"/>
          </w:tcPr>
          <w:p>
            <w:pPr>
              <w:spacing w:line="240" w:lineRule="auto" w:after="20"/>
            </w:pPr>
            <w:r/>
            <w:r>
              <w:rPr>
                <w:sz w:val="17"/>
              </w:rPr>
              <w:t>0.01</w:t>
            </w:r>
          </w:p>
        </w:tc>
        <w:tc>
          <w:tcPr>
            <w:tcW w:type="dxa" w:w="2304"/>
          </w:tcPr>
          <w:p>
            <w:pPr>
              <w:spacing w:line="240" w:lineRule="auto" w:after="20"/>
            </w:pPr>
            <w:r/>
            <w:r>
              <w:rPr>
                <w:sz w:val="17"/>
              </w:rPr>
              <w:t>5.87</w:t>
            </w:r>
          </w:p>
        </w:tc>
        <w:tc>
          <w:tcPr>
            <w:tcW w:type="dxa" w:w="2592"/>
          </w:tcPr>
          <w:p>
            <w:pPr>
              <w:spacing w:line="240" w:lineRule="auto" w:after="20"/>
            </w:pPr>
            <w:r/>
            <w:r>
              <w:rPr>
                <w:sz w:val="17"/>
              </w:rPr>
              <w:t>5.85</w:t>
            </w:r>
          </w:p>
        </w:tc>
        <w:tc>
          <w:tcPr>
            <w:tcW w:type="dxa" w:w="1440"/>
          </w:tcPr>
          <w:p>
            <w:pPr>
              <w:spacing w:line="240" w:lineRule="auto" w:after="20"/>
            </w:pPr>
            <w:r/>
            <w:r>
              <w:rPr>
                <w:sz w:val="17"/>
              </w:rPr>
              <w:t>+0.4 %</w:t>
            </w:r>
          </w:p>
        </w:tc>
      </w:tr>
      <w:tr>
        <w:tc>
          <w:tcPr>
            <w:tcW w:type="dxa" w:w="1728"/>
          </w:tcPr>
          <w:p>
            <w:pPr>
              <w:spacing w:line="240" w:lineRule="auto" w:after="20"/>
            </w:pPr>
            <w:r/>
            <w:r>
              <w:rPr>
                <w:sz w:val="17"/>
              </w:rPr>
              <w:t>6</w:t>
            </w:r>
          </w:p>
        </w:tc>
        <w:tc>
          <w:tcPr>
            <w:tcW w:type="dxa" w:w="1584"/>
          </w:tcPr>
          <w:p>
            <w:pPr>
              <w:spacing w:line="240" w:lineRule="auto" w:after="20"/>
            </w:pPr>
            <w:r/>
            <w:r>
              <w:rPr>
                <w:sz w:val="17"/>
              </w:rPr>
              <w:t>0.05</w:t>
            </w:r>
          </w:p>
        </w:tc>
        <w:tc>
          <w:tcPr>
            <w:tcW w:type="dxa" w:w="2304"/>
          </w:tcPr>
          <w:p>
            <w:pPr>
              <w:spacing w:line="240" w:lineRule="auto" w:after="20"/>
            </w:pPr>
            <w:r/>
            <w:r>
              <w:rPr>
                <w:sz w:val="17"/>
              </w:rPr>
              <w:t>21.34</w:t>
            </w:r>
          </w:p>
        </w:tc>
        <w:tc>
          <w:tcPr>
            <w:tcW w:type="dxa" w:w="2592"/>
          </w:tcPr>
          <w:p>
            <w:pPr>
              <w:spacing w:line="240" w:lineRule="auto" w:after="20"/>
            </w:pPr>
            <w:r/>
            <w:r>
              <w:rPr>
                <w:sz w:val="17"/>
              </w:rPr>
              <w:t>21.90</w:t>
            </w:r>
          </w:p>
        </w:tc>
        <w:tc>
          <w:tcPr>
            <w:tcW w:type="dxa" w:w="1440"/>
          </w:tcPr>
          <w:p>
            <w:pPr>
              <w:spacing w:line="240" w:lineRule="auto" w:after="20"/>
            </w:pPr>
            <w:r/>
            <w:r>
              <w:rPr>
                <w:sz w:val="17"/>
              </w:rPr>
              <w:t>-2.5 %</w:t>
            </w:r>
          </w:p>
        </w:tc>
      </w:tr>
      <w:tr>
        <w:tc>
          <w:tcPr>
            <w:tcW w:type="dxa" w:w="1728"/>
          </w:tcPr>
          <w:p>
            <w:pPr>
              <w:spacing w:line="240" w:lineRule="auto" w:after="20"/>
            </w:pPr>
            <w:r/>
            <w:r>
              <w:rPr>
                <w:sz w:val="17"/>
              </w:rPr>
              <w:t>10</w:t>
            </w:r>
          </w:p>
        </w:tc>
        <w:tc>
          <w:tcPr>
            <w:tcW w:type="dxa" w:w="1584"/>
          </w:tcPr>
          <w:p>
            <w:pPr>
              <w:spacing w:line="240" w:lineRule="auto" w:after="20"/>
            </w:pPr>
            <w:r/>
            <w:r>
              <w:rPr>
                <w:sz w:val="17"/>
              </w:rPr>
              <w:t>0.001</w:t>
            </w:r>
          </w:p>
        </w:tc>
        <w:tc>
          <w:tcPr>
            <w:tcW w:type="dxa" w:w="2304"/>
          </w:tcPr>
          <w:p>
            <w:pPr>
              <w:spacing w:line="240" w:lineRule="auto" w:after="20"/>
            </w:pPr>
            <w:r/>
            <w:r>
              <w:rPr>
                <w:sz w:val="17"/>
              </w:rPr>
              <w:t>5.12</w:t>
            </w:r>
          </w:p>
        </w:tc>
        <w:tc>
          <w:tcPr>
            <w:tcW w:type="dxa" w:w="2592"/>
          </w:tcPr>
          <w:p>
            <w:pPr>
              <w:spacing w:line="240" w:lineRule="auto" w:after="20"/>
            </w:pPr>
            <w:r/>
            <w:r>
              <w:rPr>
                <w:sz w:val="17"/>
              </w:rPr>
              <w:t>5.12</w:t>
            </w:r>
          </w:p>
        </w:tc>
        <w:tc>
          <w:tcPr>
            <w:tcW w:type="dxa" w:w="1440"/>
          </w:tcPr>
          <w:p>
            <w:pPr>
              <w:spacing w:line="240" w:lineRule="auto" w:after="20"/>
            </w:pPr>
            <w:r/>
            <w:r>
              <w:rPr>
                <w:sz w:val="17"/>
              </w:rPr>
              <w:t>+0.0 %</w:t>
            </w:r>
          </w:p>
        </w:tc>
      </w:tr>
      <w:tr>
        <w:tc>
          <w:tcPr>
            <w:tcW w:type="dxa" w:w="1728"/>
          </w:tcPr>
          <w:p>
            <w:pPr>
              <w:spacing w:line="240" w:lineRule="auto" w:after="20"/>
            </w:pPr>
            <w:r/>
            <w:r>
              <w:rPr>
                <w:sz w:val="17"/>
              </w:rPr>
              <w:t>10</w:t>
            </w:r>
          </w:p>
        </w:tc>
        <w:tc>
          <w:tcPr>
            <w:tcW w:type="dxa" w:w="1584"/>
          </w:tcPr>
          <w:p>
            <w:pPr>
              <w:spacing w:line="240" w:lineRule="auto" w:after="20"/>
            </w:pPr>
            <w:r/>
            <w:r>
              <w:rPr>
                <w:sz w:val="17"/>
              </w:rPr>
              <w:t>0.01</w:t>
            </w:r>
          </w:p>
        </w:tc>
        <w:tc>
          <w:tcPr>
            <w:tcW w:type="dxa" w:w="2304"/>
          </w:tcPr>
          <w:p>
            <w:pPr>
              <w:spacing w:line="240" w:lineRule="auto" w:after="20"/>
            </w:pPr>
            <w:r/>
            <w:r>
              <w:rPr>
                <w:sz w:val="17"/>
              </w:rPr>
              <w:t>11.53</w:t>
            </w:r>
          </w:p>
        </w:tc>
        <w:tc>
          <w:tcPr>
            <w:tcW w:type="dxa" w:w="2592"/>
          </w:tcPr>
          <w:p>
            <w:pPr>
              <w:spacing w:line="240" w:lineRule="auto" w:after="20"/>
            </w:pPr>
            <w:r/>
            <w:r>
              <w:rPr>
                <w:sz w:val="17"/>
              </w:rPr>
              <w:t>11.53</w:t>
            </w:r>
          </w:p>
        </w:tc>
        <w:tc>
          <w:tcPr>
            <w:tcW w:type="dxa" w:w="1440"/>
          </w:tcPr>
          <w:p>
            <w:pPr>
              <w:spacing w:line="240" w:lineRule="auto" w:after="20"/>
            </w:pPr>
            <w:r/>
            <w:r>
              <w:rPr>
                <w:sz w:val="17"/>
              </w:rPr>
              <w:t>+0.0 %</w:t>
            </w:r>
          </w:p>
        </w:tc>
      </w:tr>
      <w:tr>
        <w:tc>
          <w:tcPr>
            <w:tcW w:type="dxa" w:w="1728"/>
          </w:tcPr>
          <w:p>
            <w:pPr>
              <w:spacing w:line="240" w:lineRule="auto" w:after="20"/>
            </w:pPr>
            <w:r/>
            <w:r>
              <w:rPr>
                <w:sz w:val="17"/>
              </w:rPr>
              <w:t>10</w:t>
            </w:r>
          </w:p>
        </w:tc>
        <w:tc>
          <w:tcPr>
            <w:tcW w:type="dxa" w:w="1584"/>
          </w:tcPr>
          <w:p>
            <w:pPr>
              <w:spacing w:line="240" w:lineRule="auto" w:after="20"/>
            </w:pPr>
            <w:r/>
            <w:r>
              <w:rPr>
                <w:sz w:val="17"/>
              </w:rPr>
              <w:t>0.05</w:t>
            </w:r>
          </w:p>
        </w:tc>
        <w:tc>
          <w:tcPr>
            <w:tcW w:type="dxa" w:w="2304"/>
          </w:tcPr>
          <w:p>
            <w:pPr>
              <w:spacing w:line="240" w:lineRule="auto" w:after="20"/>
            </w:pPr>
            <w:r/>
            <w:r>
              <w:rPr>
                <w:sz w:val="17"/>
              </w:rPr>
              <w:t>&gt; 40</w:t>
            </w:r>
          </w:p>
        </w:tc>
        <w:tc>
          <w:tcPr>
            <w:tcW w:type="dxa" w:w="2592"/>
          </w:tcPr>
          <w:p>
            <w:pPr>
              <w:spacing w:line="240" w:lineRule="auto" w:after="20"/>
            </w:pPr>
            <w:r/>
            <w:r>
              <w:rPr>
                <w:sz w:val="17"/>
              </w:rPr>
              <w:t>&gt; 40</w:t>
            </w:r>
          </w:p>
        </w:tc>
        <w:tc>
          <w:tcPr>
            <w:tcW w:type="dxa" w:w="1440"/>
          </w:tcPr>
          <w:p>
            <w:pPr>
              <w:spacing w:line="240" w:lineRule="auto" w:after="20"/>
            </w:pPr>
            <w:r/>
            <w:r>
              <w:rPr>
                <w:sz w:val="17"/>
              </w:rPr>
              <w:t>–</w:t>
            </w:r>
          </w:p>
        </w:tc>
      </w:tr>
    </w:tbl>
    <w:p>
      <w:pPr>
        <w:spacing w:after="40"/>
      </w:pPr>
    </w:p>
    <w:p>
      <w:pPr>
        <w:keepNext/>
        <w:spacing w:before="160" w:after="40"/>
        <w:jc w:val="center"/>
      </w:pPr>
      <w:r>
        <w:drawing>
          <wp:inline xmlns:a="http://schemas.openxmlformats.org/drawingml/2006/main" xmlns:pic="http://schemas.openxmlformats.org/drawingml/2006/picture">
            <wp:extent cx="5852160" cy="2519680"/>
            <wp:docPr id="2" name="Picture 2"/>
            <wp:cNvGraphicFramePr>
              <a:graphicFrameLocks noChangeAspect="1"/>
            </wp:cNvGraphicFramePr>
            <a:graphic>
              <a:graphicData uri="http://schemas.openxmlformats.org/drawingml/2006/picture">
                <pic:pic>
                  <pic:nvPicPr>
                    <pic:cNvPr id="0" name="fig2_storage.png"/>
                    <pic:cNvPicPr/>
                  </pic:nvPicPr>
                  <pic:blipFill>
                    <a:blip r:embed="rId11"/>
                    <a:stretch>
                      <a:fillRect/>
                    </a:stretch>
                  </pic:blipFill>
                  <pic:spPr>
                    <a:xfrm>
                      <a:off x="0" y="0"/>
                      <a:ext cx="5852160" cy="2519680"/>
                    </a:xfrm>
                    <a:prstGeom prst="rect"/>
                  </pic:spPr>
                </pic:pic>
              </a:graphicData>
            </a:graphic>
          </wp:inline>
        </w:drawing>
      </w:r>
    </w:p>
    <w:p>
      <w:pPr>
        <w:keepNext w:val="0"/>
        <w:spacing w:line="276" w:lineRule="auto" w:after="200"/>
      </w:pPr>
      <w:r>
        <w:rPr>
          <w:b/>
          <w:sz w:val="19"/>
        </w:rPr>
        <w:t>Fig. 2</w:t>
      </w:r>
      <w:r>
        <w:rPr>
          <w:sz w:val="19"/>
        </w:rPr>
        <w:t xml:space="preserve"> (a) Closed-form storage conversion against the population ODE for margins of 3, 6 and 10 °C. (b) Largest admissible spread σ</w:t>
      </w:r>
      <w:r>
        <w:rPr>
          <w:sz w:val="19"/>
          <w:vertAlign w:val="superscript"/>
        </w:rPr>
        <w:t>*</w:t>
      </w:r>
      <w:r>
        <w:rPr>
          <w:sz w:val="19"/>
        </w:rPr>
        <w:t xml:space="preserve"> as a function of the tolerance ε; open symbols are roots of the population ODE.</w:t>
      </w:r>
    </w:p>
    <w:p>
      <w:pPr>
        <w:pStyle w:val="Heading2"/>
      </w:pPr>
      <w:r>
        <w:rPr>
          <w:rFonts w:ascii="Times New Roman" w:hAnsi="Times New Roman"/>
        </w:rPr>
        <w:t>D. Proposition 4: thermal-feedback criticality, overshoot, and Arrhenius correction</w:t>
      </w:r>
    </w:p>
    <w:p>
      <w:pPr>
        <w:keepNext w:val="0"/>
        <w:jc w:val="both"/>
      </w:pPr>
      <w:r>
        <w:t>When the thermal time constant is short compared with the reaction time (Θ ≪ 1) the temperature rise θ = (T − T</w:t>
      </w:r>
      <w:r>
        <w:rPr>
          <w:vertAlign w:val="subscript"/>
        </w:rPr>
        <w:t>∞</w:t>
      </w:r>
      <w:r>
        <w:t>)/ΔT</w:t>
      </w:r>
      <w:r>
        <w:rPr>
          <w:vertAlign w:val="subscript"/>
        </w:rPr>
        <w:t>ad</w:t>
      </w:r>
      <w:r>
        <w:t xml:space="preserve"> follows the reaction quasi-statically, θ = Θ r(α) exp(ψθ), where r(α) = (ε + α)(1 − α)</w:t>
      </w:r>
      <w:r>
        <w:rPr>
          <w:vertAlign w:val="superscript"/>
        </w:rPr>
        <w:t>n</w:t>
      </w:r>
      <w:r>
        <w:t xml:space="preserve"> is the isothermal rate in units of k</w:t>
      </w:r>
      <w:r>
        <w:rPr>
          <w:vertAlign w:val="subscript"/>
        </w:rPr>
        <w:t>2</w:t>
      </w:r>
      <w:r>
        <w:t xml:space="preserve"> and the exponential is the Frank-Kamenetskii linearization of the Arrhenius law (valid at the fold, where the temperature rise is of order RT²/E</w:t>
      </w:r>
      <w:r>
        <w:rPr>
          <w:vertAlign w:val="subscript"/>
        </w:rPr>
        <w:t>2</w:t>
      </w:r>
      <w:r>
        <w:t>). Multiplying by ψ gives ψθ exp(−ψθ) = Πr, whose solution, if Πr ≤ 1/e, is</w:t>
      </w:r>
    </w:p>
    <w:p>
      <w:pPr>
        <w:keepLines/>
        <w:tabs>
          <w:tab w:pos="4680" w:val="center"/>
          <w:tab w:pos="9360" w:val="right"/>
        </w:tabs>
        <w:spacing w:before="120" w:after="120"/>
      </w:pPr>
      <w:r>
        <w:tab/>
      </w:r>
      <m:oMath>
        <m:r>
          <m:rPr>
            <m:sty m:val="i"/>
          </m:rPr>
          <w:rPr>
            <w:rFonts w:ascii="Cambria Math" w:hAnsi="Cambria Math"/>
            <w:i/>
          </w:rPr>
          <m:t xml:space="preserve">ψθ</m:t>
        </m:r>
        <m:r>
          <m:rPr>
            <m:nor/>
          </m:rPr>
          <w:rPr>
            <w:rFonts w:ascii="Cambria Math" w:hAnsi="Cambria Math"/>
            <w:i w:val="0"/>
          </w:rPr>
          <m:t xml:space="preserve"> = </m:t>
        </m:r>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W</m:t>
            </m:r>
          </m:e>
          <m:sub>
            <m:r>
              <m:rPr>
                <m:nor/>
              </m:rPr>
              <w:rPr>
                <w:rFonts w:ascii="Cambria Math" w:hAnsi="Cambria Math"/>
                <w:i w:val="0"/>
              </w:rPr>
              <m:t xml:space="preserve">0</m:t>
            </m:r>
          </m:sub>
        </m:sSub>
        <m:d>
          <m:dPr>
            <m:begChr m:val="("/>
            <m:endChr m:val=")"/>
            <m:ctrlPr>
              <w:rPr>
                <w:rFonts w:ascii="Cambria Math" w:hAnsi="Cambria Math"/>
                <w:i/>
              </w:rPr>
            </m:ctrlPr>
          </m:dPr>
          <m:e>
            <m:r>
              <m:rPr>
                <m:nor/>
              </m:rPr>
              <w:rPr>
                <w:rFonts w:ascii="Cambria Math" w:hAnsi="Cambria Math"/>
                <w:i w:val="0"/>
              </w:rPr>
              <m:t xml:space="preserve"> − </m:t>
            </m:r>
            <m:r>
              <m:rPr>
                <m:nor/>
              </m:rPr>
              <w:rPr>
                <w:rFonts w:ascii="Cambria Math" w:hAnsi="Cambria Math"/>
                <w:i w:val="0"/>
              </w:rPr>
              <m:t xml:space="preserve">Π</m:t>
            </m:r>
            <m:r>
              <m:rPr>
                <m:sty m:val="i"/>
              </m:rPr>
              <w:rPr>
                <w:rFonts w:ascii="Cambria Math" w:hAnsi="Cambria Math"/>
                <w:i/>
              </w:rPr>
              <m:t xml:space="preserve">r</m:t>
            </m:r>
            <m:d>
              <m:dPr>
                <m:begChr m:val="("/>
                <m:endChr m:val=")"/>
                <m:ctrlPr>
                  <w:rPr>
                    <w:rFonts w:ascii="Cambria Math" w:hAnsi="Cambria Math"/>
                    <w:i/>
                  </w:rPr>
                </m:ctrlPr>
              </m:dPr>
              <m:e>
                <m:r>
                  <m:rPr>
                    <m:sty m:val="i"/>
                  </m:rPr>
                  <w:rPr>
                    <w:rFonts w:ascii="Cambria Math" w:hAnsi="Cambria Math"/>
                    <w:i/>
                  </w:rPr>
                  <m:t xml:space="preserve">α</m:t>
                </m:r>
              </m:e>
            </m:d>
          </m:e>
        </m:d>
        <m:r>
          <m:rPr>
            <m:nor/>
          </m:rPr>
          <w:rPr>
            <w:rFonts w:ascii="Cambria Math" w:hAnsi="Cambria Math"/>
            <w:i w:val="0"/>
          </w:rPr>
          <m:t xml:space="preserve">.</m:t>
        </m:r>
      </m:oMath>
      <w:r>
        <w:tab/>
        <w:t xml:space="preserve">(12)</w:t>
      </w:r>
    </w:p>
    <w:p>
      <w:pPr>
        <w:keepNext w:val="0"/>
        <w:jc w:val="both"/>
      </w:pPr>
      <w:r>
        <w:rPr>
          <w:b/>
        </w:rPr>
        <w:t>Proposition 4.</w:t>
      </w:r>
      <w:r>
        <w:t xml:space="preserve"> The quasi-steady temperature rise ceases to exist, and the system ignites, when Πr(α) = 1/e is reached at the maximum of r. Hence</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Π</m:t>
            </m:r>
          </m:e>
          <m:sub>
            <m:r>
              <m:rPr>
                <m:nor/>
              </m:rPr>
              <w:rPr>
                <w:rFonts w:ascii="Cambria Math" w:hAnsi="Cambria Math"/>
                <w:i w:val="0"/>
              </w:rPr>
              <m:t xml:space="preserve">c</m:t>
            </m:r>
          </m:sub>
        </m:sSub>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1</m:t>
            </m:r>
          </m:num>
          <m:den>
            <m:r>
              <m:rPr>
                <m:nor/>
              </m:rPr>
              <w:rPr>
                <w:rFonts w:ascii="Cambria Math" w:hAnsi="Cambria Math"/>
                <w:i w:val="0"/>
              </w:rPr>
              <m:t xml:space="preserve">e</m:t>
            </m:r>
            <m:sSub>
              <m:sSubPr>
                <m:ctrlPr>
                  <w:rPr>
                    <w:rFonts w:ascii="Cambria Math" w:hAnsi="Cambria Math"/>
                    <w:i/>
                  </w:rPr>
                </m:ctrlPr>
              </m:sSubPr>
              <m:e>
                <m:r>
                  <m:rPr>
                    <m:sty m:val="i"/>
                  </m:rPr>
                  <w:rPr>
                    <w:rFonts w:ascii="Cambria Math" w:hAnsi="Cambria Math"/>
                    <w:i/>
                  </w:rPr>
                  <m:t xml:space="preserve">r</m:t>
                </m:r>
              </m:e>
              <m:sub>
                <m:r>
                  <m:rPr>
                    <m:nor/>
                  </m:rPr>
                  <w:rPr>
                    <w:rFonts w:ascii="Cambria Math" w:hAnsi="Cambria Math"/>
                    <w:i w:val="0"/>
                  </w:rPr>
                  <m:t xml:space="preserve">max</m:t>
                </m:r>
              </m:sub>
            </m:sSub>
          </m:den>
        </m:f>
        <m:r>
          <m:rPr>
            <m:nor/>
          </m:rPr>
          <w:rPr>
            <w:rFonts w:ascii="Cambria Math" w:hAnsi="Cambria Math"/>
            <w:i w:val="0"/>
          </w:rPr>
          <m:t xml:space="preserve"> = </m:t>
        </m:r>
        <m:sSup>
          <m:sSupPr>
            <m:ctrlPr>
              <w:rPr>
                <w:rFonts w:ascii="Cambria Math" w:hAnsi="Cambria Math"/>
                <w:i/>
              </w:rPr>
            </m:ctrlPr>
          </m:sSupPr>
          <m:e>
            <m:r>
              <m:rPr>
                <m:nor/>
              </m:rPr>
              <w:rPr>
                <w:rFonts w:ascii="Cambria Math" w:hAnsi="Cambria Math"/>
                <w:i w:val="0"/>
              </w:rPr>
              <m:t xml:space="preserve">e</m:t>
            </m:r>
          </m:e>
          <m:sup>
            <m:r>
              <m:rPr>
                <m:nor/>
              </m:rPr>
              <w:rPr>
                <w:rFonts w:ascii="Cambria Math" w:hAnsi="Cambria Math"/>
                <w:i w:val="0"/>
              </w:rPr>
              <m:t xml:space="preserve">−1</m:t>
            </m:r>
          </m:sup>
        </m:sSup>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sty m:val="i"/>
                      </m:rPr>
                      <w:rPr>
                        <w:rFonts w:ascii="Cambria Math" w:hAnsi="Cambria Math"/>
                        <w:i/>
                      </w:rPr>
                      <m:t xml:space="preserve">n</m:t>
                    </m:r>
                  </m:e>
                </m:d>
              </m:e>
              <m:sup>
                <m:r>
                  <m:rPr>
                    <m:nor/>
                  </m:rPr>
                  <w:rPr>
                    <w:rFonts w:ascii="Cambria Math" w:hAnsi="Cambria Math"/>
                    <w:i w:val="0"/>
                  </w:rPr>
                  <m:t xml:space="preserve">1+n</m:t>
                </m:r>
              </m:sup>
            </m:sSup>
          </m:num>
          <m:den>
            <m:sSup>
              <m:sSupPr>
                <m:ctrlPr>
                  <w:rPr>
                    <w:rFonts w:ascii="Cambria Math" w:hAnsi="Cambria Math"/>
                    <w:i/>
                  </w:rPr>
                </m:ctrlPr>
              </m:sSupPr>
              <m:e>
                <m:r>
                  <m:rPr>
                    <m:sty m:val="i"/>
                  </m:rPr>
                  <w:rPr>
                    <w:rFonts w:ascii="Cambria Math" w:hAnsi="Cambria Math"/>
                    <w:i/>
                  </w:rPr>
                  <m:t xml:space="preserve">n</m:t>
                </m:r>
              </m:e>
              <m:sup>
                <m:r>
                  <m:rPr>
                    <m:sty m:val="i"/>
                  </m:rPr>
                  <w:rPr>
                    <w:rFonts w:ascii="Cambria Math" w:hAnsi="Cambria Math"/>
                    <w:i/>
                  </w:rPr>
                  <m:t xml:space="preserve">n</m:t>
                </m:r>
              </m:sup>
            </m:sSup>
          </m:den>
        </m:f>
        <m:r>
          <m:rPr>
            <m:nor/>
          </m:rPr>
          <w:rPr>
            <w:rFonts w:ascii="Cambria Math" w:hAnsi="Cambria Math"/>
            <w:i w:val="0"/>
          </w:rPr>
          <m:t xml:space="preserve">   (ε → 0),</m:t>
        </m:r>
      </m:oMath>
      <w:r>
        <w:tab/>
        <w:t xml:space="preserve">(13)</w:t>
      </w:r>
    </w:p>
    <w:p>
      <w:pPr>
        <w:keepNext w:val="0"/>
        <w:jc w:val="both"/>
      </w:pPr>
      <w:r>
        <w:t>which is 1.472, 1.979 and 2.483 for n = 1, 3/2 and 2. Below Π</w:t>
      </w:r>
      <w:r>
        <w:rPr>
          <w:vertAlign w:val="subscript"/>
        </w:rPr>
        <w:t>c</w:t>
      </w:r>
      <w:r>
        <w:t xml:space="preserve"> the peak overshoot is ψθ</w:t>
      </w:r>
      <w:r>
        <w:rPr>
          <w:vertAlign w:val="subscript"/>
        </w:rPr>
        <w:t>peak</w:t>
      </w:r>
      <w:r>
        <w:t xml:space="preserve"> = −W</w:t>
      </w:r>
      <w:r>
        <w:rPr>
          <w:vertAlign w:val="subscript"/>
        </w:rPr>
        <w:t>0</w:t>
      </w:r>
      <w:r>
        <w:t>(−Π/(eΠ</w:t>
      </w:r>
      <w:r>
        <w:rPr>
          <w:vertAlign w:val="subscript"/>
        </w:rPr>
        <w:t>c</w:t>
      </w:r>
      <w:r>
        <w:t>)), and near the fold ψθ</w:t>
      </w:r>
      <w:r>
        <w:rPr>
          <w:vertAlign w:val="subscript"/>
        </w:rPr>
        <w:t>peak</w:t>
      </w:r>
      <w:r>
        <w:t xml:space="preserve"> ≈ 1 − [2(1 − Π/Π</w:t>
      </w:r>
      <w:r>
        <w:rPr>
          <w:vertAlign w:val="subscript"/>
        </w:rPr>
        <w:t>c</w:t>
      </w:r>
      <w:r>
        <w:t>)]</w:t>
      </w:r>
      <w:r>
        <w:rPr>
          <w:vertAlign w:val="superscript"/>
        </w:rPr>
        <w:t>1/2</w:t>
      </w:r>
      <w:r>
        <w:t xml:space="preserve"> (the normal form of a saddle-node bifurcation [13, 14]), so the overshoot jumps from O(Θ) to O(1) as Π crosses Π</w:t>
      </w:r>
      <w:r>
        <w:rPr>
          <w:vertAlign w:val="subscript"/>
        </w:rPr>
        <w:t>c</w:t>
      </w:r>
      <w:r>
        <w:t>. For comparison, the classical Semenov criterion for a source without consumption, r = 1 in the same units, gives 1/e = 0.37; consumption and autocatalysis raise the critical number by the factor 1/r</w:t>
      </w:r>
      <w:r>
        <w:rPr>
          <w:vertAlign w:val="subscript"/>
        </w:rPr>
        <w:t>max</w:t>
      </w:r>
      <w:r>
        <w:t xml:space="preserve"> ≈ 5.4 for n = 3/2.</w:t>
      </w:r>
    </w:p>
    <w:p>
      <w:pPr>
        <w:keepNext w:val="0"/>
        <w:jc w:val="both"/>
      </w:pPr>
      <w:r>
        <w:rPr>
          <w:i/>
        </w:rPr>
        <w:t>Verification.</w:t>
      </w:r>
      <w:r>
        <w:t xml:space="preserve"> We integrated the exponential-form equations with isothermal start and bisected the threshold at which the peak temperature rise exceeds 0.3ΔT</w:t>
      </w:r>
      <w:r>
        <w:rPr>
          <w:vertAlign w:val="subscript"/>
        </w:rPr>
        <w:t>ad</w:t>
      </w:r>
      <w:r>
        <w:t xml:space="preserve"> (ε = 3 × 10</w:t>
      </w:r>
      <w:r>
        <w:rPr>
          <w:vertAlign w:val="superscript"/>
        </w:rPr>
        <w:t>−3</w:t>
      </w:r>
      <w:r>
        <w:t>; Table 3). As Θ → 0 the numerical Π</w:t>
      </w:r>
      <w:r>
        <w:rPr>
          <w:vertAlign w:val="subscript"/>
        </w:rPr>
        <w:t>c</w:t>
      </w:r>
      <w:r>
        <w:t xml:space="preserve"> converges to Eq. (13): at Θ = 0.003 the values are 1.471, 1.974 and 2.472 against 1.463, 1.964 and 2.461 (differences 0.4–0.6 %); the threshold criterion matters little (Π</w:t>
      </w:r>
      <w:r>
        <w:rPr>
          <w:vertAlign w:val="subscript"/>
        </w:rPr>
        <w:t>c</w:t>
      </w:r>
      <w:r>
        <w:t xml:space="preserve"> = 1.974, 1.974, 1.992 for 0.15, 0.3 and 0.6). The finite-Θ shift is upward (Π</w:t>
      </w:r>
      <w:r>
        <w:rPr>
          <w:vertAlign w:val="subscript"/>
        </w:rPr>
        <w:t>c</w:t>
      </w:r>
      <w:r>
        <w:t xml:space="preserve"> = 2.33 at Θ = 0.1 for n = 3/2). At Θ = 0.002 the overshoot at 0.5–0.98 Π</w:t>
      </w:r>
      <w:r>
        <w:rPr>
          <w:vertAlign w:val="subscript"/>
        </w:rPr>
        <w:t>c</w:t>
      </w:r>
      <w:r>
        <w:t xml:space="preserve"> follows the Lambert-W formula and approaches the square-root form (Fig. 3b).</w:t>
      </w:r>
    </w:p>
    <w:p>
      <w:pPr>
        <w:keepNext/>
        <w:spacing w:line="276" w:lineRule="auto" w:after="200"/>
      </w:pPr>
      <w:r>
        <w:rPr>
          <w:b/>
          <w:sz w:val="19"/>
        </w:rPr>
        <w:t>Table 3</w:t>
      </w:r>
      <w:r>
        <w:rPr>
          <w:sz w:val="19"/>
        </w:rPr>
        <w:t xml:space="preserve"> Critical thermal-feedback number in the exponential (Frank-Kamenetskii) form: bisected integrations against the closed form for Θ → 0 (ε = 3 × 10</w:t>
      </w:r>
      <w:r>
        <w:rPr>
          <w:sz w:val="19"/>
          <w:vertAlign w:val="superscript"/>
        </w:rPr>
        <w:t>−3</w:t>
      </w:r>
      <w:r>
        <w:rPr>
          <w:sz w:val="19"/>
        </w:rPr>
        <w:t>, threshold 0.3).</w:t>
      </w:r>
    </w:p>
    <w:tbl>
      <w:tblPr>
        <w:tblStyle w:val="TableGrid"/>
        <w:tblW w:type="auto" w:w="0"/>
        <w:jc w:val="center"/>
        <w:tblLayout w:type="fixed"/>
        <w:tblLook w:firstColumn="1" w:firstRow="1" w:lastColumn="0" w:lastRow="0" w:noHBand="0" w:noVBand="1" w:val="04A0"/>
      </w:tblPr>
      <w:tblGrid>
        <w:gridCol w:w="1008"/>
        <w:gridCol w:w="1296"/>
        <w:gridCol w:w="3168"/>
        <w:gridCol w:w="3744"/>
      </w:tblGrid>
      <w:tr>
        <w:trPr>
          <w:tblHeader w:val="true"/>
        </w:trPr>
        <w:tc>
          <w:tcPr>
            <w:tcW w:type="dxa" w:w="1008"/>
            <w:shd w:val="clear" w:color="auto" w:fill="E7ECF1"/>
          </w:tcPr>
          <w:p>
            <w:pPr>
              <w:spacing w:line="240" w:lineRule="auto" w:after="20"/>
            </w:pPr>
            <w:r/>
            <w:r>
              <w:rPr>
                <w:b/>
                <w:sz w:val="17"/>
              </w:rPr>
              <w:t>n</w:t>
            </w:r>
          </w:p>
        </w:tc>
        <w:tc>
          <w:tcPr>
            <w:tcW w:type="dxa" w:w="1296"/>
            <w:shd w:val="clear" w:color="auto" w:fill="E7ECF1"/>
          </w:tcPr>
          <w:p>
            <w:pPr>
              <w:spacing w:line="240" w:lineRule="auto" w:after="20"/>
            </w:pPr>
            <w:r/>
            <w:r>
              <w:rPr>
                <w:b/>
                <w:sz w:val="17"/>
              </w:rPr>
              <w:t>Θ</w:t>
            </w:r>
          </w:p>
        </w:tc>
        <w:tc>
          <w:tcPr>
            <w:tcW w:type="dxa" w:w="3168"/>
            <w:shd w:val="clear" w:color="auto" w:fill="E7ECF1"/>
          </w:tcPr>
          <w:p>
            <w:pPr>
              <w:spacing w:line="240" w:lineRule="auto" w:after="20"/>
            </w:pPr>
            <w:r/>
            <w:r>
              <w:rPr>
                <w:b/>
                <w:sz w:val="17"/>
              </w:rPr>
              <w:t>Π</w:t>
            </w:r>
            <w:r>
              <w:rPr>
                <w:b/>
                <w:sz w:val="17"/>
                <w:vertAlign w:val="subscript"/>
              </w:rPr>
              <w:t>c</w:t>
            </w:r>
            <w:r>
              <w:rPr>
                <w:b/>
                <w:sz w:val="17"/>
              </w:rPr>
              <w:t xml:space="preserve"> (integrated)</w:t>
            </w:r>
          </w:p>
        </w:tc>
        <w:tc>
          <w:tcPr>
            <w:tcW w:type="dxa" w:w="3744"/>
            <w:shd w:val="clear" w:color="auto" w:fill="E7ECF1"/>
          </w:tcPr>
          <w:p>
            <w:pPr>
              <w:spacing w:line="240" w:lineRule="auto" w:after="20"/>
            </w:pPr>
            <w:r/>
            <w:r>
              <w:rPr>
                <w:b/>
                <w:sz w:val="17"/>
              </w:rPr>
              <w:t>Π</w:t>
            </w:r>
            <w:r>
              <w:rPr>
                <w:b/>
                <w:sz w:val="17"/>
                <w:vertAlign w:val="subscript"/>
              </w:rPr>
              <w:t>c</w:t>
            </w:r>
            <w:r>
              <w:rPr>
                <w:b/>
                <w:sz w:val="17"/>
              </w:rPr>
              <w:t xml:space="preserve"> (Θ → 0, Eq. above)</w:t>
            </w:r>
          </w:p>
        </w:tc>
      </w:tr>
      <w:tr>
        <w:tc>
          <w:tcPr>
            <w:tcW w:type="dxa" w:w="1008"/>
          </w:tcPr>
          <w:p>
            <w:pPr>
              <w:spacing w:line="240" w:lineRule="auto" w:after="20"/>
            </w:pPr>
            <w:r/>
            <w:r>
              <w:rPr>
                <w:sz w:val="17"/>
              </w:rPr>
              <w:t>1.0</w:t>
            </w:r>
          </w:p>
        </w:tc>
        <w:tc>
          <w:tcPr>
            <w:tcW w:type="dxa" w:w="1296"/>
          </w:tcPr>
          <w:p>
            <w:pPr>
              <w:spacing w:line="240" w:lineRule="auto" w:after="20"/>
            </w:pPr>
            <w:r/>
            <w:r>
              <w:rPr>
                <w:sz w:val="17"/>
              </w:rPr>
              <w:t>0.1</w:t>
            </w:r>
          </w:p>
        </w:tc>
        <w:tc>
          <w:tcPr>
            <w:tcW w:type="dxa" w:w="3168"/>
          </w:tcPr>
          <w:p>
            <w:pPr>
              <w:spacing w:line="240" w:lineRule="auto" w:after="20"/>
            </w:pPr>
            <w:r/>
            <w:r>
              <w:rPr>
                <w:sz w:val="17"/>
              </w:rPr>
              <w:t>1.826</w:t>
            </w:r>
          </w:p>
        </w:tc>
        <w:tc>
          <w:tcPr>
            <w:tcW w:type="dxa" w:w="3744"/>
          </w:tcPr>
          <w:p>
            <w:pPr>
              <w:spacing w:line="240" w:lineRule="auto" w:after="20"/>
            </w:pPr>
            <w:r/>
            <w:r>
              <w:rPr>
                <w:sz w:val="17"/>
              </w:rPr>
              <w:t>1.463</w:t>
            </w:r>
          </w:p>
        </w:tc>
      </w:tr>
      <w:tr>
        <w:tc>
          <w:tcPr>
            <w:tcW w:type="dxa" w:w="1008"/>
          </w:tcPr>
          <w:p>
            <w:pPr>
              <w:spacing w:line="240" w:lineRule="auto" w:after="20"/>
            </w:pPr>
            <w:r/>
            <w:r>
              <w:rPr>
                <w:sz w:val="17"/>
              </w:rPr>
              <w:t>1.0</w:t>
            </w:r>
          </w:p>
        </w:tc>
        <w:tc>
          <w:tcPr>
            <w:tcW w:type="dxa" w:w="1296"/>
          </w:tcPr>
          <w:p>
            <w:pPr>
              <w:spacing w:line="240" w:lineRule="auto" w:after="20"/>
            </w:pPr>
            <w:r/>
            <w:r>
              <w:rPr>
                <w:sz w:val="17"/>
              </w:rPr>
              <w:t>0.03</w:t>
            </w:r>
          </w:p>
        </w:tc>
        <w:tc>
          <w:tcPr>
            <w:tcW w:type="dxa" w:w="3168"/>
          </w:tcPr>
          <w:p>
            <w:pPr>
              <w:spacing w:line="240" w:lineRule="auto" w:after="20"/>
            </w:pPr>
            <w:r/>
            <w:r>
              <w:rPr>
                <w:sz w:val="17"/>
              </w:rPr>
              <w:t>1.555</w:t>
            </w:r>
          </w:p>
        </w:tc>
        <w:tc>
          <w:tcPr>
            <w:tcW w:type="dxa" w:w="3744"/>
          </w:tcPr>
          <w:p>
            <w:pPr>
              <w:spacing w:line="240" w:lineRule="auto" w:after="20"/>
            </w:pPr>
            <w:r/>
            <w:r>
              <w:rPr>
                <w:sz w:val="17"/>
              </w:rPr>
              <w:t>1.463</w:t>
            </w:r>
          </w:p>
        </w:tc>
      </w:tr>
      <w:tr>
        <w:tc>
          <w:tcPr>
            <w:tcW w:type="dxa" w:w="1008"/>
          </w:tcPr>
          <w:p>
            <w:pPr>
              <w:spacing w:line="240" w:lineRule="auto" w:after="20"/>
            </w:pPr>
            <w:r/>
            <w:r>
              <w:rPr>
                <w:sz w:val="17"/>
              </w:rPr>
              <w:t>1.0</w:t>
            </w:r>
          </w:p>
        </w:tc>
        <w:tc>
          <w:tcPr>
            <w:tcW w:type="dxa" w:w="1296"/>
          </w:tcPr>
          <w:p>
            <w:pPr>
              <w:spacing w:line="240" w:lineRule="auto" w:after="20"/>
            </w:pPr>
            <w:r/>
            <w:r>
              <w:rPr>
                <w:sz w:val="17"/>
              </w:rPr>
              <w:t>0.01</w:t>
            </w:r>
          </w:p>
        </w:tc>
        <w:tc>
          <w:tcPr>
            <w:tcW w:type="dxa" w:w="3168"/>
          </w:tcPr>
          <w:p>
            <w:pPr>
              <w:spacing w:line="240" w:lineRule="auto" w:after="20"/>
            </w:pPr>
            <w:r/>
            <w:r>
              <w:rPr>
                <w:sz w:val="17"/>
              </w:rPr>
              <w:t>1.491</w:t>
            </w:r>
          </w:p>
        </w:tc>
        <w:tc>
          <w:tcPr>
            <w:tcW w:type="dxa" w:w="3744"/>
          </w:tcPr>
          <w:p>
            <w:pPr>
              <w:spacing w:line="240" w:lineRule="auto" w:after="20"/>
            </w:pPr>
            <w:r/>
            <w:r>
              <w:rPr>
                <w:sz w:val="17"/>
              </w:rPr>
              <w:t>1.463</w:t>
            </w:r>
          </w:p>
        </w:tc>
      </w:tr>
      <w:tr>
        <w:tc>
          <w:tcPr>
            <w:tcW w:type="dxa" w:w="1008"/>
          </w:tcPr>
          <w:p>
            <w:pPr>
              <w:spacing w:line="240" w:lineRule="auto" w:after="20"/>
            </w:pPr>
            <w:r/>
            <w:r>
              <w:rPr>
                <w:sz w:val="17"/>
              </w:rPr>
              <w:t>1.0</w:t>
            </w:r>
          </w:p>
        </w:tc>
        <w:tc>
          <w:tcPr>
            <w:tcW w:type="dxa" w:w="1296"/>
          </w:tcPr>
          <w:p>
            <w:pPr>
              <w:spacing w:line="240" w:lineRule="auto" w:after="20"/>
            </w:pPr>
            <w:r/>
            <w:r>
              <w:rPr>
                <w:sz w:val="17"/>
              </w:rPr>
              <w:t>0.003</w:t>
            </w:r>
          </w:p>
        </w:tc>
        <w:tc>
          <w:tcPr>
            <w:tcW w:type="dxa" w:w="3168"/>
          </w:tcPr>
          <w:p>
            <w:pPr>
              <w:spacing w:line="240" w:lineRule="auto" w:after="20"/>
            </w:pPr>
            <w:r/>
            <w:r>
              <w:rPr>
                <w:sz w:val="17"/>
              </w:rPr>
              <w:t>1.471</w:t>
            </w:r>
          </w:p>
        </w:tc>
        <w:tc>
          <w:tcPr>
            <w:tcW w:type="dxa" w:w="3744"/>
          </w:tcPr>
          <w:p>
            <w:pPr>
              <w:spacing w:line="240" w:lineRule="auto" w:after="20"/>
            </w:pPr>
            <w:r/>
            <w:r>
              <w:rPr>
                <w:sz w:val="17"/>
              </w:rPr>
              <w:t>1.463</w:t>
            </w:r>
          </w:p>
        </w:tc>
      </w:tr>
      <w:tr>
        <w:tc>
          <w:tcPr>
            <w:tcW w:type="dxa" w:w="1008"/>
          </w:tcPr>
          <w:p>
            <w:pPr>
              <w:spacing w:line="240" w:lineRule="auto" w:after="20"/>
            </w:pPr>
            <w:r/>
            <w:r>
              <w:rPr>
                <w:sz w:val="17"/>
              </w:rPr>
              <w:t>1.5</w:t>
            </w:r>
          </w:p>
        </w:tc>
        <w:tc>
          <w:tcPr>
            <w:tcW w:type="dxa" w:w="1296"/>
          </w:tcPr>
          <w:p>
            <w:pPr>
              <w:spacing w:line="240" w:lineRule="auto" w:after="20"/>
            </w:pPr>
            <w:r/>
            <w:r>
              <w:rPr>
                <w:sz w:val="17"/>
              </w:rPr>
              <w:t>0.1</w:t>
            </w:r>
          </w:p>
        </w:tc>
        <w:tc>
          <w:tcPr>
            <w:tcW w:type="dxa" w:w="3168"/>
          </w:tcPr>
          <w:p>
            <w:pPr>
              <w:spacing w:line="240" w:lineRule="auto" w:after="20"/>
            </w:pPr>
            <w:r/>
            <w:r>
              <w:rPr>
                <w:sz w:val="17"/>
              </w:rPr>
              <w:t>2.333</w:t>
            </w:r>
          </w:p>
        </w:tc>
        <w:tc>
          <w:tcPr>
            <w:tcW w:type="dxa" w:w="3744"/>
          </w:tcPr>
          <w:p>
            <w:pPr>
              <w:spacing w:line="240" w:lineRule="auto" w:after="20"/>
            </w:pPr>
            <w:r/>
            <w:r>
              <w:rPr>
                <w:sz w:val="17"/>
              </w:rPr>
              <w:t>1.964</w:t>
            </w:r>
          </w:p>
        </w:tc>
      </w:tr>
      <w:tr>
        <w:tc>
          <w:tcPr>
            <w:tcW w:type="dxa" w:w="1008"/>
          </w:tcPr>
          <w:p>
            <w:pPr>
              <w:spacing w:line="240" w:lineRule="auto" w:after="20"/>
            </w:pPr>
            <w:r/>
            <w:r>
              <w:rPr>
                <w:sz w:val="17"/>
              </w:rPr>
              <w:t>1.5</w:t>
            </w:r>
          </w:p>
        </w:tc>
        <w:tc>
          <w:tcPr>
            <w:tcW w:type="dxa" w:w="1296"/>
          </w:tcPr>
          <w:p>
            <w:pPr>
              <w:spacing w:line="240" w:lineRule="auto" w:after="20"/>
            </w:pPr>
            <w:r/>
            <w:r>
              <w:rPr>
                <w:sz w:val="17"/>
              </w:rPr>
              <w:t>0.03</w:t>
            </w:r>
          </w:p>
        </w:tc>
        <w:tc>
          <w:tcPr>
            <w:tcW w:type="dxa" w:w="3168"/>
          </w:tcPr>
          <w:p>
            <w:pPr>
              <w:spacing w:line="240" w:lineRule="auto" w:after="20"/>
            </w:pPr>
            <w:r/>
            <w:r>
              <w:rPr>
                <w:sz w:val="17"/>
              </w:rPr>
              <w:t>2.063</w:t>
            </w:r>
          </w:p>
        </w:tc>
        <w:tc>
          <w:tcPr>
            <w:tcW w:type="dxa" w:w="3744"/>
          </w:tcPr>
          <w:p>
            <w:pPr>
              <w:spacing w:line="240" w:lineRule="auto" w:after="20"/>
            </w:pPr>
            <w:r/>
            <w:r>
              <w:rPr>
                <w:sz w:val="17"/>
              </w:rPr>
              <w:t>1.964</w:t>
            </w:r>
          </w:p>
        </w:tc>
      </w:tr>
      <w:tr>
        <w:tc>
          <w:tcPr>
            <w:tcW w:type="dxa" w:w="1008"/>
          </w:tcPr>
          <w:p>
            <w:pPr>
              <w:spacing w:line="240" w:lineRule="auto" w:after="20"/>
            </w:pPr>
            <w:r/>
            <w:r>
              <w:rPr>
                <w:sz w:val="17"/>
              </w:rPr>
              <w:t>1.5</w:t>
            </w:r>
          </w:p>
        </w:tc>
        <w:tc>
          <w:tcPr>
            <w:tcW w:type="dxa" w:w="1296"/>
          </w:tcPr>
          <w:p>
            <w:pPr>
              <w:spacing w:line="240" w:lineRule="auto" w:after="20"/>
            </w:pPr>
            <w:r/>
            <w:r>
              <w:rPr>
                <w:sz w:val="17"/>
              </w:rPr>
              <w:t>0.01</w:t>
            </w:r>
          </w:p>
        </w:tc>
        <w:tc>
          <w:tcPr>
            <w:tcW w:type="dxa" w:w="3168"/>
          </w:tcPr>
          <w:p>
            <w:pPr>
              <w:spacing w:line="240" w:lineRule="auto" w:after="20"/>
            </w:pPr>
            <w:r/>
            <w:r>
              <w:rPr>
                <w:sz w:val="17"/>
              </w:rPr>
              <w:t>1.997</w:t>
            </w:r>
          </w:p>
        </w:tc>
        <w:tc>
          <w:tcPr>
            <w:tcW w:type="dxa" w:w="3744"/>
          </w:tcPr>
          <w:p>
            <w:pPr>
              <w:spacing w:line="240" w:lineRule="auto" w:after="20"/>
            </w:pPr>
            <w:r/>
            <w:r>
              <w:rPr>
                <w:sz w:val="17"/>
              </w:rPr>
              <w:t>1.964</w:t>
            </w:r>
          </w:p>
        </w:tc>
      </w:tr>
      <w:tr>
        <w:tc>
          <w:tcPr>
            <w:tcW w:type="dxa" w:w="1008"/>
          </w:tcPr>
          <w:p>
            <w:pPr>
              <w:spacing w:line="240" w:lineRule="auto" w:after="20"/>
            </w:pPr>
            <w:r/>
            <w:r>
              <w:rPr>
                <w:sz w:val="17"/>
              </w:rPr>
              <w:t>1.5</w:t>
            </w:r>
          </w:p>
        </w:tc>
        <w:tc>
          <w:tcPr>
            <w:tcW w:type="dxa" w:w="1296"/>
          </w:tcPr>
          <w:p>
            <w:pPr>
              <w:spacing w:line="240" w:lineRule="auto" w:after="20"/>
            </w:pPr>
            <w:r/>
            <w:r>
              <w:rPr>
                <w:sz w:val="17"/>
              </w:rPr>
              <w:t>0.003</w:t>
            </w:r>
          </w:p>
        </w:tc>
        <w:tc>
          <w:tcPr>
            <w:tcW w:type="dxa" w:w="3168"/>
          </w:tcPr>
          <w:p>
            <w:pPr>
              <w:spacing w:line="240" w:lineRule="auto" w:after="20"/>
            </w:pPr>
            <w:r/>
            <w:r>
              <w:rPr>
                <w:sz w:val="17"/>
              </w:rPr>
              <w:t>1.974</w:t>
            </w:r>
          </w:p>
        </w:tc>
        <w:tc>
          <w:tcPr>
            <w:tcW w:type="dxa" w:w="3744"/>
          </w:tcPr>
          <w:p>
            <w:pPr>
              <w:spacing w:line="240" w:lineRule="auto" w:after="20"/>
            </w:pPr>
            <w:r/>
            <w:r>
              <w:rPr>
                <w:sz w:val="17"/>
              </w:rPr>
              <w:t>1.964</w:t>
            </w:r>
          </w:p>
        </w:tc>
      </w:tr>
      <w:tr>
        <w:tc>
          <w:tcPr>
            <w:tcW w:type="dxa" w:w="1008"/>
          </w:tcPr>
          <w:p>
            <w:pPr>
              <w:spacing w:line="240" w:lineRule="auto" w:after="20"/>
            </w:pPr>
            <w:r/>
            <w:r>
              <w:rPr>
                <w:sz w:val="17"/>
              </w:rPr>
              <w:t>2.0</w:t>
            </w:r>
          </w:p>
        </w:tc>
        <w:tc>
          <w:tcPr>
            <w:tcW w:type="dxa" w:w="1296"/>
          </w:tcPr>
          <w:p>
            <w:pPr>
              <w:spacing w:line="240" w:lineRule="auto" w:after="20"/>
            </w:pPr>
            <w:r/>
            <w:r>
              <w:rPr>
                <w:sz w:val="17"/>
              </w:rPr>
              <w:t>0.1</w:t>
            </w:r>
          </w:p>
        </w:tc>
        <w:tc>
          <w:tcPr>
            <w:tcW w:type="dxa" w:w="3168"/>
          </w:tcPr>
          <w:p>
            <w:pPr>
              <w:spacing w:line="240" w:lineRule="auto" w:after="20"/>
            </w:pPr>
            <w:r/>
            <w:r>
              <w:rPr>
                <w:sz w:val="17"/>
              </w:rPr>
              <w:t>2.857</w:t>
            </w:r>
          </w:p>
        </w:tc>
        <w:tc>
          <w:tcPr>
            <w:tcW w:type="dxa" w:w="3744"/>
          </w:tcPr>
          <w:p>
            <w:pPr>
              <w:spacing w:line="240" w:lineRule="auto" w:after="20"/>
            </w:pPr>
            <w:r/>
            <w:r>
              <w:rPr>
                <w:sz w:val="17"/>
              </w:rPr>
              <w:t>2.461</w:t>
            </w:r>
          </w:p>
        </w:tc>
      </w:tr>
      <w:tr>
        <w:tc>
          <w:tcPr>
            <w:tcW w:type="dxa" w:w="1008"/>
          </w:tcPr>
          <w:p>
            <w:pPr>
              <w:spacing w:line="240" w:lineRule="auto" w:after="20"/>
            </w:pPr>
            <w:r/>
            <w:r>
              <w:rPr>
                <w:sz w:val="17"/>
              </w:rPr>
              <w:t>2.0</w:t>
            </w:r>
          </w:p>
        </w:tc>
        <w:tc>
          <w:tcPr>
            <w:tcW w:type="dxa" w:w="1296"/>
          </w:tcPr>
          <w:p>
            <w:pPr>
              <w:spacing w:line="240" w:lineRule="auto" w:after="20"/>
            </w:pPr>
            <w:r/>
            <w:r>
              <w:rPr>
                <w:sz w:val="17"/>
              </w:rPr>
              <w:t>0.03</w:t>
            </w:r>
          </w:p>
        </w:tc>
        <w:tc>
          <w:tcPr>
            <w:tcW w:type="dxa" w:w="3168"/>
          </w:tcPr>
          <w:p>
            <w:pPr>
              <w:spacing w:line="240" w:lineRule="auto" w:after="20"/>
            </w:pPr>
            <w:r/>
            <w:r>
              <w:rPr>
                <w:sz w:val="17"/>
              </w:rPr>
              <w:t>2.573</w:t>
            </w:r>
          </w:p>
        </w:tc>
        <w:tc>
          <w:tcPr>
            <w:tcW w:type="dxa" w:w="3744"/>
          </w:tcPr>
          <w:p>
            <w:pPr>
              <w:spacing w:line="240" w:lineRule="auto" w:after="20"/>
            </w:pPr>
            <w:r/>
            <w:r>
              <w:rPr>
                <w:sz w:val="17"/>
              </w:rPr>
              <w:t>2.461</w:t>
            </w:r>
          </w:p>
        </w:tc>
      </w:tr>
      <w:tr>
        <w:tc>
          <w:tcPr>
            <w:tcW w:type="dxa" w:w="1008"/>
          </w:tcPr>
          <w:p>
            <w:pPr>
              <w:spacing w:line="240" w:lineRule="auto" w:after="20"/>
            </w:pPr>
            <w:r/>
            <w:r>
              <w:rPr>
                <w:sz w:val="17"/>
              </w:rPr>
              <w:t>2.0</w:t>
            </w:r>
          </w:p>
        </w:tc>
        <w:tc>
          <w:tcPr>
            <w:tcW w:type="dxa" w:w="1296"/>
          </w:tcPr>
          <w:p>
            <w:pPr>
              <w:spacing w:line="240" w:lineRule="auto" w:after="20"/>
            </w:pPr>
            <w:r/>
            <w:r>
              <w:rPr>
                <w:sz w:val="17"/>
              </w:rPr>
              <w:t>0.01</w:t>
            </w:r>
          </w:p>
        </w:tc>
        <w:tc>
          <w:tcPr>
            <w:tcW w:type="dxa" w:w="3168"/>
          </w:tcPr>
          <w:p>
            <w:pPr>
              <w:spacing w:line="240" w:lineRule="auto" w:after="20"/>
            </w:pPr>
            <w:r/>
            <w:r>
              <w:rPr>
                <w:sz w:val="17"/>
              </w:rPr>
              <w:t>2.498</w:t>
            </w:r>
          </w:p>
        </w:tc>
        <w:tc>
          <w:tcPr>
            <w:tcW w:type="dxa" w:w="3744"/>
          </w:tcPr>
          <w:p>
            <w:pPr>
              <w:spacing w:line="240" w:lineRule="auto" w:after="20"/>
            </w:pPr>
            <w:r/>
            <w:r>
              <w:rPr>
                <w:sz w:val="17"/>
              </w:rPr>
              <w:t>2.461</w:t>
            </w:r>
          </w:p>
        </w:tc>
      </w:tr>
      <w:tr>
        <w:tc>
          <w:tcPr>
            <w:tcW w:type="dxa" w:w="1008"/>
          </w:tcPr>
          <w:p>
            <w:pPr>
              <w:spacing w:line="240" w:lineRule="auto" w:after="20"/>
            </w:pPr>
            <w:r/>
            <w:r>
              <w:rPr>
                <w:sz w:val="17"/>
              </w:rPr>
              <w:t>2.0</w:t>
            </w:r>
          </w:p>
        </w:tc>
        <w:tc>
          <w:tcPr>
            <w:tcW w:type="dxa" w:w="1296"/>
          </w:tcPr>
          <w:p>
            <w:pPr>
              <w:spacing w:line="240" w:lineRule="auto" w:after="20"/>
            </w:pPr>
            <w:r/>
            <w:r>
              <w:rPr>
                <w:sz w:val="17"/>
              </w:rPr>
              <w:t>0.003</w:t>
            </w:r>
          </w:p>
        </w:tc>
        <w:tc>
          <w:tcPr>
            <w:tcW w:type="dxa" w:w="3168"/>
          </w:tcPr>
          <w:p>
            <w:pPr>
              <w:spacing w:line="240" w:lineRule="auto" w:after="20"/>
            </w:pPr>
            <w:r/>
            <w:r>
              <w:rPr>
                <w:sz w:val="17"/>
              </w:rPr>
              <w:t>2.472</w:t>
            </w:r>
          </w:p>
        </w:tc>
        <w:tc>
          <w:tcPr>
            <w:tcW w:type="dxa" w:w="3744"/>
          </w:tcPr>
          <w:p>
            <w:pPr>
              <w:spacing w:line="240" w:lineRule="auto" w:after="20"/>
            </w:pPr>
            <w:r/>
            <w:r>
              <w:rPr>
                <w:sz w:val="17"/>
              </w:rPr>
              <w:t>2.461</w:t>
            </w:r>
          </w:p>
        </w:tc>
      </w:tr>
    </w:tbl>
    <w:p>
      <w:pPr>
        <w:spacing w:after="40"/>
      </w:pPr>
    </w:p>
    <w:p>
      <w:pPr>
        <w:keepNext w:val="0"/>
        <w:jc w:val="both"/>
      </w:pPr>
      <w:r>
        <w:rPr>
          <w:i/>
        </w:rPr>
        <w:t>Arrhenius kinetics.</w:t>
      </w:r>
      <w:r>
        <w:t xml:space="preserve"> The Arrhenius law is slower than its exponential linearization at a temperature rise x = ΔT/T</w:t>
      </w:r>
      <w:r>
        <w:rPr>
          <w:vertAlign w:val="subscript"/>
        </w:rPr>
        <w:t>∞</w:t>
      </w:r>
      <w:r>
        <w:t>: exp[Ar x/(1 + x)] ≈ exp(Ar x) exp(−Ar x²). At the fold ψθ = 1, i.e. x = 1/Ar, so the rate is reduced by exp(−1/Ar) and the critical number is raised by</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Π</m:t>
            </m:r>
          </m:e>
          <m:sub>
            <m:r>
              <m:rPr>
                <m:nor/>
              </m:rPr>
              <w:rPr>
                <w:rFonts w:ascii="Cambria Math" w:hAnsi="Cambria Math"/>
                <w:i w:val="0"/>
              </w:rPr>
              <m:t xml:space="preserve">c</m:t>
            </m:r>
          </m:sub>
        </m:sSub>
        <m:sSup>
          <m:sSupPr>
            <m:ctrlPr>
              <w:rPr>
                <w:rFonts w:ascii="Cambria Math" w:hAnsi="Cambria Math"/>
                <w:i/>
              </w:rPr>
            </m:ctrlPr>
          </m:sSupPr>
          <m:e>
            <m:r>
              <m:rPr>
                <m:nor/>
              </m:rPr>
              <w:rPr>
                <w:rFonts w:ascii="Cambria Math" w:hAnsi="Cambria Math"/>
                <w:i w:val="0"/>
              </w:rPr>
              <m:t xml:space="preserve"/>
            </m:r>
          </m:e>
          <m:sup>
            <m:r>
              <m:rPr>
                <m:nor/>
              </m:rPr>
              <w:rPr>
                <w:rFonts w:ascii="Cambria Math" w:hAnsi="Cambria Math"/>
                <w:i w:val="0"/>
              </w:rPr>
              <m:t xml:space="preserve">Arr</m:t>
            </m:r>
          </m:sup>
        </m:sSup>
        <m:r>
          <m:rPr>
            <m:nor/>
          </m:rPr>
          <w:rPr>
            <w:rFonts w:ascii="Cambria Math" w:hAnsi="Cambria Math"/>
            <w:i w:val="0"/>
          </w:rPr>
          <m:t xml:space="preserve">≈</m:t>
        </m:r>
        <m:sSub>
          <m:sSubPr>
            <m:ctrlPr>
              <w:rPr>
                <w:rFonts w:ascii="Cambria Math" w:hAnsi="Cambria Math"/>
                <w:i/>
              </w:rPr>
            </m:ctrlPr>
          </m:sSubPr>
          <m:e>
            <m:r>
              <m:rPr>
                <m:sty m:val="i"/>
              </m:rPr>
              <w:rPr>
                <w:rFonts w:ascii="Cambria Math" w:hAnsi="Cambria Math"/>
                <w:i/>
              </w:rPr>
              <m:t xml:space="preserve">Π</m:t>
            </m:r>
          </m:e>
          <m:sub>
            <m:r>
              <m:rPr>
                <m:nor/>
              </m:rPr>
              <w:rPr>
                <w:rFonts w:ascii="Cambria Math" w:hAnsi="Cambria Math"/>
                <w:i w:val="0"/>
              </w:rPr>
              <m:t xml:space="preserve">c</m:t>
            </m:r>
          </m:sub>
        </m:sSub>
        <m:sSup>
          <m:sSupPr>
            <m:ctrlPr>
              <w:rPr>
                <w:rFonts w:ascii="Cambria Math" w:hAnsi="Cambria Math"/>
                <w:i/>
              </w:rPr>
            </m:ctrlPr>
          </m:sSupPr>
          <m:e>
            <m:r>
              <m:rPr>
                <m:nor/>
              </m:rPr>
              <w:rPr>
                <w:rFonts w:ascii="Cambria Math" w:hAnsi="Cambria Math"/>
                <w:i w:val="0"/>
              </w:rPr>
              <m:t xml:space="preserve"/>
            </m:r>
          </m:e>
          <m:sup>
            <m:r>
              <m:rPr>
                <m:nor/>
              </m:rPr>
              <w:rPr>
                <w:rFonts w:ascii="Cambria Math" w:hAnsi="Cambria Math"/>
                <w:i w:val="0"/>
              </w:rPr>
              <m:t xml:space="preserve">FK</m:t>
            </m:r>
          </m:sup>
        </m:sSup>
        <m:d>
          <m:dPr>
            <m:begChr m:val="("/>
            <m:endChr m:val=")"/>
            <m:ctrlPr>
              <w:rPr>
                <w:rFonts w:ascii="Cambria Math" w:hAnsi="Cambria Math"/>
                <w:i/>
              </w:rPr>
            </m:ctrlPr>
          </m:dPr>
          <m:e>
            <m:r>
              <m:rPr>
                <m:sty m:val="i"/>
              </m:rPr>
              <w:rPr>
                <w:rFonts w:ascii="Cambria Math" w:hAnsi="Cambria Math"/>
                <w:i/>
              </w:rPr>
              <m:t xml:space="preserve">Θ</m:t>
            </m:r>
          </m:e>
        </m:d>
        <m:r>
          <m:rPr>
            <m:nor/>
          </m:rPr>
          <w:rPr>
            <w:rFonts w:ascii="Cambria Math" w:hAnsi="Cambria Math"/>
            <w:i w:val="0"/>
          </w:rPr>
          <m:t xml:space="preserve">exp</m:t>
        </m:r>
        <m:d>
          <m:dPr>
            <m:begChr m:val="("/>
            <m:endChr m:val=")"/>
            <m:ctrlPr>
              <w:rPr>
                <w:rFonts w:ascii="Cambria Math" w:hAnsi="Cambria Math"/>
                <w:i/>
              </w:rPr>
            </m:ctrlPr>
          </m:dPr>
          <m:e>
            <m:f>
              <m:fPr>
                <m:ctrlPr>
                  <w:rPr>
                    <w:rFonts w:ascii="Cambria Math" w:hAnsi="Cambria Math"/>
                    <w:i/>
                  </w:rPr>
                </m:ctrlPr>
              </m:fPr>
              <m:num>
                <m:r>
                  <m:rPr>
                    <m:nor/>
                  </m:rPr>
                  <w:rPr>
                    <w:rFonts w:ascii="Cambria Math" w:hAnsi="Cambria Math"/>
                    <w:i w:val="0"/>
                  </w:rPr>
                  <m:t xml:space="preserve">1</m:t>
                </m:r>
              </m:num>
              <m:den>
                <m:r>
                  <m:rPr>
                    <m:nor/>
                  </m:rPr>
                  <w:rPr>
                    <w:rFonts w:ascii="Cambria Math" w:hAnsi="Cambria Math"/>
                    <w:i w:val="0"/>
                  </w:rPr>
                  <m:t xml:space="preserve">Ar</m:t>
                </m:r>
              </m:den>
            </m:f>
          </m:e>
        </m:d>
        <m:r>
          <m:rPr>
            <m:nor/>
          </m:rPr>
          <w:rPr>
            <w:rFonts w:ascii="Cambria Math" w:hAnsi="Cambria Math"/>
            <w:i w:val="0"/>
          </w:rPr>
          <m:t xml:space="preserve">.</m:t>
        </m:r>
      </m:oMath>
      <w:r>
        <w:tab/>
        <w:t xml:space="preserve">(14)</w:t>
      </w:r>
    </w:p>
    <w:p>
      <w:pPr>
        <w:keepNext w:val="0"/>
        <w:jc w:val="both"/>
      </w:pPr>
      <w:r>
        <w:t>We tested this with the true Arrhenius model (ungated, isothermal start) at 120, 140 and 160 °C and Θ = 0.01, 0.03, 0.1, bisecting the adiabatic rise (Table 4). The prediction Π</w:t>
      </w:r>
      <w:r>
        <w:rPr>
          <w:vertAlign w:val="subscript"/>
        </w:rPr>
        <w:t>c</w:t>
      </w:r>
      <w:r>
        <w:rPr>
          <w:vertAlign w:val="superscript"/>
        </w:rPr>
        <w:t>FK</w:t>
      </w:r>
      <w:r>
        <w:t>(Θ)exp(1/Ar) is within 5.4 % of the Arrhenius threshold in every case (the uncorrected exponential form is off by 6–11 %). A catalyst that is released with a time constant τ</w:t>
      </w:r>
      <w:r>
        <w:rPr>
          <w:vertAlign w:val="subscript"/>
        </w:rPr>
        <w:t>rel</w:t>
      </w:r>
      <w:r>
        <w:t xml:space="preserve"> can only lower the heat production rate at a given conversion, since ⟨C⟩ ≤ 1, so the gated threshold cannot be below the ungated one. The effect is small here because the catalyst is fully released (τ</w:t>
      </w:r>
      <w:r>
        <w:rPr>
          <w:vertAlign w:val="subscript"/>
        </w:rPr>
        <w:t>rel</w:t>
      </w:r>
      <w:r>
        <w:t xml:space="preserve"> = 6 min) long before the rate peaks: at 140 °C and Θ = 0.03 the release lag raised Π</w:t>
      </w:r>
      <w:r>
        <w:rPr>
          <w:vertAlign w:val="subscript"/>
        </w:rPr>
        <w:t>c</w:t>
      </w:r>
      <w:r>
        <w:t xml:space="preserve"> from 2.188 to 2.199.</w:t>
      </w:r>
    </w:p>
    <w:p>
      <w:pPr>
        <w:keepNext/>
        <w:spacing w:line="276" w:lineRule="auto" w:after="200"/>
      </w:pPr>
      <w:r>
        <w:rPr>
          <w:b/>
          <w:sz w:val="19"/>
        </w:rPr>
        <w:t>Table 4</w:t>
      </w:r>
      <w:r>
        <w:rPr>
          <w:sz w:val="19"/>
        </w:rPr>
        <w:t xml:space="preserve"> Critical number of the Arrhenius model (ungated, isothermal start; threshold 0.3) against the exponential-form critical number multiplied by exp(1/Ar), and the effect of a release lag.</w:t>
      </w:r>
    </w:p>
    <w:tbl>
      <w:tblPr>
        <w:tblStyle w:val="TableGrid"/>
        <w:tblW w:type="auto" w:w="0"/>
        <w:jc w:val="center"/>
        <w:tblLayout w:type="fixed"/>
        <w:tblLook w:firstColumn="1" w:firstRow="1" w:lastColumn="0" w:lastRow="0" w:noHBand="0" w:noVBand="1" w:val="04A0"/>
      </w:tblPr>
      <w:tblGrid>
        <w:gridCol w:w="864"/>
        <w:gridCol w:w="720"/>
        <w:gridCol w:w="720"/>
        <w:gridCol w:w="1440"/>
        <w:gridCol w:w="1296"/>
        <w:gridCol w:w="1440"/>
        <w:gridCol w:w="1152"/>
        <w:gridCol w:w="1728"/>
      </w:tblGrid>
      <w:tr>
        <w:trPr>
          <w:tblHeader w:val="true"/>
        </w:trPr>
        <w:tc>
          <w:tcPr>
            <w:tcW w:type="dxa" w:w="864"/>
            <w:shd w:val="clear" w:color="auto" w:fill="E7ECF1"/>
          </w:tcPr>
          <w:p>
            <w:pPr>
              <w:spacing w:line="240" w:lineRule="auto" w:after="20"/>
            </w:pPr>
            <w:r/>
            <w:r>
              <w:rPr>
                <w:b/>
                <w:sz w:val="16"/>
              </w:rPr>
              <w:t>T (°C)</w:t>
            </w:r>
          </w:p>
        </w:tc>
        <w:tc>
          <w:tcPr>
            <w:tcW w:type="dxa" w:w="720"/>
            <w:shd w:val="clear" w:color="auto" w:fill="E7ECF1"/>
          </w:tcPr>
          <w:p>
            <w:pPr>
              <w:spacing w:line="240" w:lineRule="auto" w:after="20"/>
            </w:pPr>
            <w:r/>
            <w:r>
              <w:rPr>
                <w:b/>
                <w:sz w:val="16"/>
              </w:rPr>
              <w:t>Θ</w:t>
            </w:r>
          </w:p>
        </w:tc>
        <w:tc>
          <w:tcPr>
            <w:tcW w:type="dxa" w:w="720"/>
            <w:shd w:val="clear" w:color="auto" w:fill="E7ECF1"/>
          </w:tcPr>
          <w:p>
            <w:pPr>
              <w:spacing w:line="240" w:lineRule="auto" w:after="20"/>
            </w:pPr>
            <w:r/>
            <w:r>
              <w:rPr>
                <w:b/>
                <w:sz w:val="16"/>
              </w:rPr>
              <w:t>Ar</w:t>
            </w:r>
          </w:p>
        </w:tc>
        <w:tc>
          <w:tcPr>
            <w:tcW w:type="dxa" w:w="1440"/>
            <w:shd w:val="clear" w:color="auto" w:fill="E7ECF1"/>
          </w:tcPr>
          <w:p>
            <w:pPr>
              <w:spacing w:line="240" w:lineRule="auto" w:after="20"/>
            </w:pPr>
            <w:r/>
            <w:r>
              <w:rPr>
                <w:b/>
                <w:sz w:val="16"/>
              </w:rPr>
              <w:t>Π</w:t>
            </w:r>
            <w:r>
              <w:rPr>
                <w:b/>
                <w:sz w:val="16"/>
                <w:vertAlign w:val="subscript"/>
              </w:rPr>
              <w:t>c</w:t>
            </w:r>
            <w:r>
              <w:rPr>
                <w:b/>
                <w:sz w:val="16"/>
              </w:rPr>
              <w:t xml:space="preserve"> Arrhenius</w:t>
            </w:r>
          </w:p>
        </w:tc>
        <w:tc>
          <w:tcPr>
            <w:tcW w:type="dxa" w:w="1296"/>
            <w:shd w:val="clear" w:color="auto" w:fill="E7ECF1"/>
          </w:tcPr>
          <w:p>
            <w:pPr>
              <w:spacing w:line="240" w:lineRule="auto" w:after="20"/>
            </w:pPr>
            <w:r/>
            <w:r>
              <w:rPr>
                <w:b/>
                <w:sz w:val="16"/>
              </w:rPr>
              <w:t>Π</w:t>
            </w:r>
            <w:r>
              <w:rPr>
                <w:b/>
                <w:sz w:val="16"/>
                <w:vertAlign w:val="subscript"/>
              </w:rPr>
              <w:t>c</w:t>
            </w:r>
            <w:r>
              <w:rPr>
                <w:b/>
                <w:sz w:val="16"/>
              </w:rPr>
              <w:t xml:space="preserve"> FK(Θ)</w:t>
            </w:r>
          </w:p>
        </w:tc>
        <w:tc>
          <w:tcPr>
            <w:tcW w:type="dxa" w:w="1440"/>
            <w:shd w:val="clear" w:color="auto" w:fill="E7ECF1"/>
          </w:tcPr>
          <w:p>
            <w:pPr>
              <w:spacing w:line="240" w:lineRule="auto" w:after="20"/>
            </w:pPr>
            <w:r/>
            <w:r>
              <w:rPr>
                <w:b/>
                <w:sz w:val="16"/>
              </w:rPr>
              <w:t>FK(Θ) exp(1/Ar)</w:t>
            </w:r>
          </w:p>
        </w:tc>
        <w:tc>
          <w:tcPr>
            <w:tcW w:type="dxa" w:w="1152"/>
            <w:shd w:val="clear" w:color="auto" w:fill="E7ECF1"/>
          </w:tcPr>
          <w:p>
            <w:pPr>
              <w:spacing w:line="240" w:lineRule="auto" w:after="20"/>
            </w:pPr>
            <w:r/>
            <w:r>
              <w:rPr>
                <w:b/>
                <w:sz w:val="16"/>
              </w:rPr>
              <w:t>Difference</w:t>
            </w:r>
          </w:p>
        </w:tc>
        <w:tc>
          <w:tcPr>
            <w:tcW w:type="dxa" w:w="1728"/>
            <w:shd w:val="clear" w:color="auto" w:fill="E7ECF1"/>
          </w:tcPr>
          <w:p>
            <w:pPr>
              <w:spacing w:line="240" w:lineRule="auto" w:after="20"/>
            </w:pPr>
            <w:r/>
            <w:r>
              <w:rPr>
                <w:b/>
                <w:sz w:val="16"/>
              </w:rPr>
              <w:t>Π</w:t>
            </w:r>
            <w:r>
              <w:rPr>
                <w:b/>
                <w:sz w:val="16"/>
                <w:vertAlign w:val="subscript"/>
              </w:rPr>
              <w:t>c</w:t>
            </w:r>
            <w:r>
              <w:rPr>
                <w:b/>
                <w:sz w:val="16"/>
              </w:rPr>
              <w:t xml:space="preserve"> with release lag</w:t>
            </w:r>
          </w:p>
        </w:tc>
      </w:tr>
      <w:tr>
        <w:tc>
          <w:tcPr>
            <w:tcW w:type="dxa" w:w="864"/>
          </w:tcPr>
          <w:p>
            <w:pPr>
              <w:spacing w:line="240" w:lineRule="auto" w:after="20"/>
            </w:pPr>
            <w:r/>
            <w:r>
              <w:rPr>
                <w:sz w:val="16"/>
              </w:rPr>
              <w:t>120</w:t>
            </w:r>
          </w:p>
        </w:tc>
        <w:tc>
          <w:tcPr>
            <w:tcW w:type="dxa" w:w="720"/>
          </w:tcPr>
          <w:p>
            <w:pPr>
              <w:spacing w:line="240" w:lineRule="auto" w:after="20"/>
            </w:pPr>
            <w:r/>
            <w:r>
              <w:rPr>
                <w:sz w:val="16"/>
              </w:rPr>
              <w:t>0.01</w:t>
            </w:r>
          </w:p>
        </w:tc>
        <w:tc>
          <w:tcPr>
            <w:tcW w:type="dxa" w:w="720"/>
          </w:tcPr>
          <w:p>
            <w:pPr>
              <w:spacing w:line="240" w:lineRule="auto" w:after="20"/>
            </w:pPr>
            <w:r/>
            <w:r>
              <w:rPr>
                <w:sz w:val="16"/>
              </w:rPr>
              <w:t>19.9</w:t>
            </w:r>
          </w:p>
        </w:tc>
        <w:tc>
          <w:tcPr>
            <w:tcW w:type="dxa" w:w="1440"/>
          </w:tcPr>
          <w:p>
            <w:pPr>
              <w:spacing w:line="240" w:lineRule="auto" w:after="20"/>
            </w:pPr>
            <w:r/>
            <w:r>
              <w:rPr>
                <w:sz w:val="16"/>
              </w:rPr>
              <w:t>2.093</w:t>
            </w:r>
          </w:p>
        </w:tc>
        <w:tc>
          <w:tcPr>
            <w:tcW w:type="dxa" w:w="1296"/>
          </w:tcPr>
          <w:p>
            <w:pPr>
              <w:spacing w:line="240" w:lineRule="auto" w:after="20"/>
            </w:pPr>
            <w:r/>
            <w:r>
              <w:rPr>
                <w:sz w:val="16"/>
              </w:rPr>
              <w:t>1.973</w:t>
            </w:r>
          </w:p>
        </w:tc>
        <w:tc>
          <w:tcPr>
            <w:tcW w:type="dxa" w:w="1440"/>
          </w:tcPr>
          <w:p>
            <w:pPr>
              <w:spacing w:line="240" w:lineRule="auto" w:after="20"/>
            </w:pPr>
            <w:r/>
            <w:r>
              <w:rPr>
                <w:sz w:val="16"/>
              </w:rPr>
              <w:t>2.074</w:t>
            </w:r>
          </w:p>
        </w:tc>
        <w:tc>
          <w:tcPr>
            <w:tcW w:type="dxa" w:w="1152"/>
          </w:tcPr>
          <w:p>
            <w:pPr>
              <w:spacing w:line="240" w:lineRule="auto" w:after="20"/>
            </w:pPr>
            <w:r/>
            <w:r>
              <w:rPr>
                <w:sz w:val="16"/>
              </w:rPr>
              <w:t>+0.9 %</w:t>
            </w:r>
          </w:p>
        </w:tc>
        <w:tc>
          <w:tcPr>
            <w:tcW w:type="dxa" w:w="1728"/>
          </w:tcPr>
          <w:p>
            <w:pPr>
              <w:spacing w:line="240" w:lineRule="auto" w:after="20"/>
            </w:pPr>
            <w:r/>
            <w:r>
              <w:rPr>
                <w:sz w:val="16"/>
              </w:rPr>
              <w:t>–</w:t>
            </w:r>
          </w:p>
        </w:tc>
      </w:tr>
      <w:tr>
        <w:tc>
          <w:tcPr>
            <w:tcW w:type="dxa" w:w="864"/>
          </w:tcPr>
          <w:p>
            <w:pPr>
              <w:spacing w:line="240" w:lineRule="auto" w:after="20"/>
            </w:pPr>
            <w:r/>
            <w:r>
              <w:rPr>
                <w:sz w:val="16"/>
              </w:rPr>
              <w:t>120</w:t>
            </w:r>
          </w:p>
        </w:tc>
        <w:tc>
          <w:tcPr>
            <w:tcW w:type="dxa" w:w="720"/>
          </w:tcPr>
          <w:p>
            <w:pPr>
              <w:spacing w:line="240" w:lineRule="auto" w:after="20"/>
            </w:pPr>
            <w:r/>
            <w:r>
              <w:rPr>
                <w:sz w:val="16"/>
              </w:rPr>
              <w:t>0.03</w:t>
            </w:r>
          </w:p>
        </w:tc>
        <w:tc>
          <w:tcPr>
            <w:tcW w:type="dxa" w:w="720"/>
          </w:tcPr>
          <w:p>
            <w:pPr>
              <w:spacing w:line="240" w:lineRule="auto" w:after="20"/>
            </w:pPr>
            <w:r/>
            <w:r>
              <w:rPr>
                <w:sz w:val="16"/>
              </w:rPr>
              <w:t>19.9</w:t>
            </w:r>
          </w:p>
        </w:tc>
        <w:tc>
          <w:tcPr>
            <w:tcW w:type="dxa" w:w="1440"/>
          </w:tcPr>
          <w:p>
            <w:pPr>
              <w:spacing w:line="240" w:lineRule="auto" w:after="20"/>
            </w:pPr>
            <w:r/>
            <w:r>
              <w:rPr>
                <w:sz w:val="16"/>
              </w:rPr>
              <w:t>2.174</w:t>
            </w:r>
          </w:p>
        </w:tc>
        <w:tc>
          <w:tcPr>
            <w:tcW w:type="dxa" w:w="1296"/>
          </w:tcPr>
          <w:p>
            <w:pPr>
              <w:spacing w:line="240" w:lineRule="auto" w:after="20"/>
            </w:pPr>
            <w:r/>
            <w:r>
              <w:rPr>
                <w:sz w:val="16"/>
              </w:rPr>
              <w:t>2.039</w:t>
            </w:r>
          </w:p>
        </w:tc>
        <w:tc>
          <w:tcPr>
            <w:tcW w:type="dxa" w:w="1440"/>
          </w:tcPr>
          <w:p>
            <w:pPr>
              <w:spacing w:line="240" w:lineRule="auto" w:after="20"/>
            </w:pPr>
            <w:r/>
            <w:r>
              <w:rPr>
                <w:sz w:val="16"/>
              </w:rPr>
              <w:t>2.144</w:t>
            </w:r>
          </w:p>
        </w:tc>
        <w:tc>
          <w:tcPr>
            <w:tcW w:type="dxa" w:w="1152"/>
          </w:tcPr>
          <w:p>
            <w:pPr>
              <w:spacing w:line="240" w:lineRule="auto" w:after="20"/>
            </w:pPr>
            <w:r/>
            <w:r>
              <w:rPr>
                <w:sz w:val="16"/>
              </w:rPr>
              <w:t>+1.4 %</w:t>
            </w:r>
          </w:p>
        </w:tc>
        <w:tc>
          <w:tcPr>
            <w:tcW w:type="dxa" w:w="1728"/>
          </w:tcPr>
          <w:p>
            <w:pPr>
              <w:spacing w:line="240" w:lineRule="auto" w:after="20"/>
            </w:pPr>
            <w:r/>
            <w:r>
              <w:rPr>
                <w:sz w:val="16"/>
              </w:rPr>
              <w:t>2.184</w:t>
            </w:r>
          </w:p>
        </w:tc>
      </w:tr>
      <w:tr>
        <w:tc>
          <w:tcPr>
            <w:tcW w:type="dxa" w:w="864"/>
          </w:tcPr>
          <w:p>
            <w:pPr>
              <w:spacing w:line="240" w:lineRule="auto" w:after="20"/>
            </w:pPr>
            <w:r/>
            <w:r>
              <w:rPr>
                <w:sz w:val="16"/>
              </w:rPr>
              <w:t>120</w:t>
            </w:r>
          </w:p>
        </w:tc>
        <w:tc>
          <w:tcPr>
            <w:tcW w:type="dxa" w:w="720"/>
          </w:tcPr>
          <w:p>
            <w:pPr>
              <w:spacing w:line="240" w:lineRule="auto" w:after="20"/>
            </w:pPr>
            <w:r/>
            <w:r>
              <w:rPr>
                <w:sz w:val="16"/>
              </w:rPr>
              <w:t>0.1</w:t>
            </w:r>
          </w:p>
        </w:tc>
        <w:tc>
          <w:tcPr>
            <w:tcW w:type="dxa" w:w="720"/>
          </w:tcPr>
          <w:p>
            <w:pPr>
              <w:spacing w:line="240" w:lineRule="auto" w:after="20"/>
            </w:pPr>
            <w:r/>
            <w:r>
              <w:rPr>
                <w:sz w:val="16"/>
              </w:rPr>
              <w:t>19.9</w:t>
            </w:r>
          </w:p>
        </w:tc>
        <w:tc>
          <w:tcPr>
            <w:tcW w:type="dxa" w:w="1440"/>
          </w:tcPr>
          <w:p>
            <w:pPr>
              <w:spacing w:line="240" w:lineRule="auto" w:after="20"/>
            </w:pPr>
            <w:r/>
            <w:r>
              <w:rPr>
                <w:sz w:val="16"/>
              </w:rPr>
              <w:t>2.545</w:t>
            </w:r>
          </w:p>
        </w:tc>
        <w:tc>
          <w:tcPr>
            <w:tcW w:type="dxa" w:w="1296"/>
          </w:tcPr>
          <w:p>
            <w:pPr>
              <w:spacing w:line="240" w:lineRule="auto" w:after="20"/>
            </w:pPr>
            <w:r/>
            <w:r>
              <w:rPr>
                <w:sz w:val="16"/>
              </w:rPr>
              <w:t>2.308</w:t>
            </w:r>
          </w:p>
        </w:tc>
        <w:tc>
          <w:tcPr>
            <w:tcW w:type="dxa" w:w="1440"/>
          </w:tcPr>
          <w:p>
            <w:pPr>
              <w:spacing w:line="240" w:lineRule="auto" w:after="20"/>
            </w:pPr>
            <w:r/>
            <w:r>
              <w:rPr>
                <w:sz w:val="16"/>
              </w:rPr>
              <w:t>2.427</w:t>
            </w:r>
          </w:p>
        </w:tc>
        <w:tc>
          <w:tcPr>
            <w:tcW w:type="dxa" w:w="1152"/>
          </w:tcPr>
          <w:p>
            <w:pPr>
              <w:spacing w:line="240" w:lineRule="auto" w:after="20"/>
            </w:pPr>
            <w:r/>
            <w:r>
              <w:rPr>
                <w:sz w:val="16"/>
              </w:rPr>
              <w:t>+4.9 %</w:t>
            </w:r>
          </w:p>
        </w:tc>
        <w:tc>
          <w:tcPr>
            <w:tcW w:type="dxa" w:w="1728"/>
          </w:tcPr>
          <w:p>
            <w:pPr>
              <w:spacing w:line="240" w:lineRule="auto" w:after="20"/>
            </w:pPr>
            <w:r/>
            <w:r>
              <w:rPr>
                <w:sz w:val="16"/>
              </w:rPr>
              <w:t>–</w:t>
            </w:r>
          </w:p>
        </w:tc>
      </w:tr>
      <w:tr>
        <w:tc>
          <w:tcPr>
            <w:tcW w:type="dxa" w:w="864"/>
          </w:tcPr>
          <w:p>
            <w:pPr>
              <w:spacing w:line="240" w:lineRule="auto" w:after="20"/>
            </w:pPr>
            <w:r/>
            <w:r>
              <w:rPr>
                <w:sz w:val="16"/>
              </w:rPr>
              <w:t>140</w:t>
            </w:r>
          </w:p>
        </w:tc>
        <w:tc>
          <w:tcPr>
            <w:tcW w:type="dxa" w:w="720"/>
          </w:tcPr>
          <w:p>
            <w:pPr>
              <w:spacing w:line="240" w:lineRule="auto" w:after="20"/>
            </w:pPr>
            <w:r/>
            <w:r>
              <w:rPr>
                <w:sz w:val="16"/>
              </w:rPr>
              <w:t>0.01</w:t>
            </w:r>
          </w:p>
        </w:tc>
        <w:tc>
          <w:tcPr>
            <w:tcW w:type="dxa" w:w="720"/>
          </w:tcPr>
          <w:p>
            <w:pPr>
              <w:spacing w:line="240" w:lineRule="auto" w:after="20"/>
            </w:pPr>
            <w:r/>
            <w:r>
              <w:rPr>
                <w:sz w:val="16"/>
              </w:rPr>
              <w:t>18.9</w:t>
            </w:r>
          </w:p>
        </w:tc>
        <w:tc>
          <w:tcPr>
            <w:tcW w:type="dxa" w:w="1440"/>
          </w:tcPr>
          <w:p>
            <w:pPr>
              <w:spacing w:line="240" w:lineRule="auto" w:after="20"/>
            </w:pPr>
            <w:r/>
            <w:r>
              <w:rPr>
                <w:sz w:val="16"/>
              </w:rPr>
              <w:t>2.106</w:t>
            </w:r>
          </w:p>
        </w:tc>
        <w:tc>
          <w:tcPr>
            <w:tcW w:type="dxa" w:w="1296"/>
          </w:tcPr>
          <w:p>
            <w:pPr>
              <w:spacing w:line="240" w:lineRule="auto" w:after="20"/>
            </w:pPr>
            <w:r/>
            <w:r>
              <w:rPr>
                <w:sz w:val="16"/>
              </w:rPr>
              <w:t>1.980</w:t>
            </w:r>
          </w:p>
        </w:tc>
        <w:tc>
          <w:tcPr>
            <w:tcW w:type="dxa" w:w="1440"/>
          </w:tcPr>
          <w:p>
            <w:pPr>
              <w:spacing w:line="240" w:lineRule="auto" w:after="20"/>
            </w:pPr>
            <w:r/>
            <w:r>
              <w:rPr>
                <w:sz w:val="16"/>
              </w:rPr>
              <w:t>2.088</w:t>
            </w:r>
          </w:p>
        </w:tc>
        <w:tc>
          <w:tcPr>
            <w:tcW w:type="dxa" w:w="1152"/>
          </w:tcPr>
          <w:p>
            <w:pPr>
              <w:spacing w:line="240" w:lineRule="auto" w:after="20"/>
            </w:pPr>
            <w:r/>
            <w:r>
              <w:rPr>
                <w:sz w:val="16"/>
              </w:rPr>
              <w:t>+0.9 %</w:t>
            </w:r>
          </w:p>
        </w:tc>
        <w:tc>
          <w:tcPr>
            <w:tcW w:type="dxa" w:w="1728"/>
          </w:tcPr>
          <w:p>
            <w:pPr>
              <w:spacing w:line="240" w:lineRule="auto" w:after="20"/>
            </w:pPr>
            <w:r/>
            <w:r>
              <w:rPr>
                <w:sz w:val="16"/>
              </w:rPr>
              <w:t>–</w:t>
            </w:r>
          </w:p>
        </w:tc>
      </w:tr>
      <w:tr>
        <w:tc>
          <w:tcPr>
            <w:tcW w:type="dxa" w:w="864"/>
          </w:tcPr>
          <w:p>
            <w:pPr>
              <w:spacing w:line="240" w:lineRule="auto" w:after="20"/>
            </w:pPr>
            <w:r/>
            <w:r>
              <w:rPr>
                <w:sz w:val="16"/>
              </w:rPr>
              <w:t>140</w:t>
            </w:r>
          </w:p>
        </w:tc>
        <w:tc>
          <w:tcPr>
            <w:tcW w:type="dxa" w:w="720"/>
          </w:tcPr>
          <w:p>
            <w:pPr>
              <w:spacing w:line="240" w:lineRule="auto" w:after="20"/>
            </w:pPr>
            <w:r/>
            <w:r>
              <w:rPr>
                <w:sz w:val="16"/>
              </w:rPr>
              <w:t>0.03</w:t>
            </w:r>
          </w:p>
        </w:tc>
        <w:tc>
          <w:tcPr>
            <w:tcW w:type="dxa" w:w="720"/>
          </w:tcPr>
          <w:p>
            <w:pPr>
              <w:spacing w:line="240" w:lineRule="auto" w:after="20"/>
            </w:pPr>
            <w:r/>
            <w:r>
              <w:rPr>
                <w:sz w:val="16"/>
              </w:rPr>
              <w:t>18.9</w:t>
            </w:r>
          </w:p>
        </w:tc>
        <w:tc>
          <w:tcPr>
            <w:tcW w:type="dxa" w:w="1440"/>
          </w:tcPr>
          <w:p>
            <w:pPr>
              <w:spacing w:line="240" w:lineRule="auto" w:after="20"/>
            </w:pPr>
            <w:r/>
            <w:r>
              <w:rPr>
                <w:sz w:val="16"/>
              </w:rPr>
              <w:t>2.188</w:t>
            </w:r>
          </w:p>
        </w:tc>
        <w:tc>
          <w:tcPr>
            <w:tcW w:type="dxa" w:w="1296"/>
          </w:tcPr>
          <w:p>
            <w:pPr>
              <w:spacing w:line="240" w:lineRule="auto" w:after="20"/>
            </w:pPr>
            <w:r/>
            <w:r>
              <w:rPr>
                <w:sz w:val="16"/>
              </w:rPr>
              <w:t>2.047</w:t>
            </w:r>
          </w:p>
        </w:tc>
        <w:tc>
          <w:tcPr>
            <w:tcW w:type="dxa" w:w="1440"/>
          </w:tcPr>
          <w:p>
            <w:pPr>
              <w:spacing w:line="240" w:lineRule="auto" w:after="20"/>
            </w:pPr>
            <w:r/>
            <w:r>
              <w:rPr>
                <w:sz w:val="16"/>
              </w:rPr>
              <w:t>2.158</w:t>
            </w:r>
          </w:p>
        </w:tc>
        <w:tc>
          <w:tcPr>
            <w:tcW w:type="dxa" w:w="1152"/>
          </w:tcPr>
          <w:p>
            <w:pPr>
              <w:spacing w:line="240" w:lineRule="auto" w:after="20"/>
            </w:pPr>
            <w:r/>
            <w:r>
              <w:rPr>
                <w:sz w:val="16"/>
              </w:rPr>
              <w:t>+1.4 %</w:t>
            </w:r>
          </w:p>
        </w:tc>
        <w:tc>
          <w:tcPr>
            <w:tcW w:type="dxa" w:w="1728"/>
          </w:tcPr>
          <w:p>
            <w:pPr>
              <w:spacing w:line="240" w:lineRule="auto" w:after="20"/>
            </w:pPr>
            <w:r/>
            <w:r>
              <w:rPr>
                <w:sz w:val="16"/>
              </w:rPr>
              <w:t>2.199</w:t>
            </w:r>
          </w:p>
        </w:tc>
      </w:tr>
      <w:tr>
        <w:tc>
          <w:tcPr>
            <w:tcW w:type="dxa" w:w="864"/>
          </w:tcPr>
          <w:p>
            <w:pPr>
              <w:spacing w:line="240" w:lineRule="auto" w:after="20"/>
            </w:pPr>
            <w:r/>
            <w:r>
              <w:rPr>
                <w:sz w:val="16"/>
              </w:rPr>
              <w:t>140</w:t>
            </w:r>
          </w:p>
        </w:tc>
        <w:tc>
          <w:tcPr>
            <w:tcW w:type="dxa" w:w="720"/>
          </w:tcPr>
          <w:p>
            <w:pPr>
              <w:spacing w:line="240" w:lineRule="auto" w:after="20"/>
            </w:pPr>
            <w:r/>
            <w:r>
              <w:rPr>
                <w:sz w:val="16"/>
              </w:rPr>
              <w:t>0.1</w:t>
            </w:r>
          </w:p>
        </w:tc>
        <w:tc>
          <w:tcPr>
            <w:tcW w:type="dxa" w:w="720"/>
          </w:tcPr>
          <w:p>
            <w:pPr>
              <w:spacing w:line="240" w:lineRule="auto" w:after="20"/>
            </w:pPr>
            <w:r/>
            <w:r>
              <w:rPr>
                <w:sz w:val="16"/>
              </w:rPr>
              <w:t>18.9</w:t>
            </w:r>
          </w:p>
        </w:tc>
        <w:tc>
          <w:tcPr>
            <w:tcW w:type="dxa" w:w="1440"/>
          </w:tcPr>
          <w:p>
            <w:pPr>
              <w:spacing w:line="240" w:lineRule="auto" w:after="20"/>
            </w:pPr>
            <w:r/>
            <w:r>
              <w:rPr>
                <w:sz w:val="16"/>
              </w:rPr>
              <w:t>2.566</w:t>
            </w:r>
          </w:p>
        </w:tc>
        <w:tc>
          <w:tcPr>
            <w:tcW w:type="dxa" w:w="1296"/>
          </w:tcPr>
          <w:p>
            <w:pPr>
              <w:spacing w:line="240" w:lineRule="auto" w:after="20"/>
            </w:pPr>
            <w:r/>
            <w:r>
              <w:rPr>
                <w:sz w:val="16"/>
              </w:rPr>
              <w:t>2.316</w:t>
            </w:r>
          </w:p>
        </w:tc>
        <w:tc>
          <w:tcPr>
            <w:tcW w:type="dxa" w:w="1440"/>
          </w:tcPr>
          <w:p>
            <w:pPr>
              <w:spacing w:line="240" w:lineRule="auto" w:after="20"/>
            </w:pPr>
            <w:r/>
            <w:r>
              <w:rPr>
                <w:sz w:val="16"/>
              </w:rPr>
              <w:t>2.441</w:t>
            </w:r>
          </w:p>
        </w:tc>
        <w:tc>
          <w:tcPr>
            <w:tcW w:type="dxa" w:w="1152"/>
          </w:tcPr>
          <w:p>
            <w:pPr>
              <w:spacing w:line="240" w:lineRule="auto" w:after="20"/>
            </w:pPr>
            <w:r/>
            <w:r>
              <w:rPr>
                <w:sz w:val="16"/>
              </w:rPr>
              <w:t>+5.1 %</w:t>
            </w:r>
          </w:p>
        </w:tc>
        <w:tc>
          <w:tcPr>
            <w:tcW w:type="dxa" w:w="1728"/>
          </w:tcPr>
          <w:p>
            <w:pPr>
              <w:spacing w:line="240" w:lineRule="auto" w:after="20"/>
            </w:pPr>
            <w:r/>
            <w:r>
              <w:rPr>
                <w:sz w:val="16"/>
              </w:rPr>
              <w:t>–</w:t>
            </w:r>
          </w:p>
        </w:tc>
      </w:tr>
      <w:tr>
        <w:tc>
          <w:tcPr>
            <w:tcW w:type="dxa" w:w="864"/>
          </w:tcPr>
          <w:p>
            <w:pPr>
              <w:spacing w:line="240" w:lineRule="auto" w:after="20"/>
            </w:pPr>
            <w:r/>
            <w:r>
              <w:rPr>
                <w:sz w:val="16"/>
              </w:rPr>
              <w:t>160</w:t>
            </w:r>
          </w:p>
        </w:tc>
        <w:tc>
          <w:tcPr>
            <w:tcW w:type="dxa" w:w="720"/>
          </w:tcPr>
          <w:p>
            <w:pPr>
              <w:spacing w:line="240" w:lineRule="auto" w:after="20"/>
            </w:pPr>
            <w:r/>
            <w:r>
              <w:rPr>
                <w:sz w:val="16"/>
              </w:rPr>
              <w:t>0.01</w:t>
            </w:r>
          </w:p>
        </w:tc>
        <w:tc>
          <w:tcPr>
            <w:tcW w:type="dxa" w:w="720"/>
          </w:tcPr>
          <w:p>
            <w:pPr>
              <w:spacing w:line="240" w:lineRule="auto" w:after="20"/>
            </w:pPr>
            <w:r/>
            <w:r>
              <w:rPr>
                <w:sz w:val="16"/>
              </w:rPr>
              <w:t>18.0</w:t>
            </w:r>
          </w:p>
        </w:tc>
        <w:tc>
          <w:tcPr>
            <w:tcW w:type="dxa" w:w="1440"/>
          </w:tcPr>
          <w:p>
            <w:pPr>
              <w:spacing w:line="240" w:lineRule="auto" w:after="20"/>
            </w:pPr>
            <w:r/>
            <w:r>
              <w:rPr>
                <w:sz w:val="16"/>
              </w:rPr>
              <w:t>2.117</w:t>
            </w:r>
          </w:p>
        </w:tc>
        <w:tc>
          <w:tcPr>
            <w:tcW w:type="dxa" w:w="1296"/>
          </w:tcPr>
          <w:p>
            <w:pPr>
              <w:spacing w:line="240" w:lineRule="auto" w:after="20"/>
            </w:pPr>
            <w:r/>
            <w:r>
              <w:rPr>
                <w:sz w:val="16"/>
              </w:rPr>
              <w:t>1.986</w:t>
            </w:r>
          </w:p>
        </w:tc>
        <w:tc>
          <w:tcPr>
            <w:tcW w:type="dxa" w:w="1440"/>
          </w:tcPr>
          <w:p>
            <w:pPr>
              <w:spacing w:line="240" w:lineRule="auto" w:after="20"/>
            </w:pPr>
            <w:r/>
            <w:r>
              <w:rPr>
                <w:sz w:val="16"/>
              </w:rPr>
              <w:t>2.099</w:t>
            </w:r>
          </w:p>
        </w:tc>
        <w:tc>
          <w:tcPr>
            <w:tcW w:type="dxa" w:w="1152"/>
          </w:tcPr>
          <w:p>
            <w:pPr>
              <w:spacing w:line="240" w:lineRule="auto" w:after="20"/>
            </w:pPr>
            <w:r/>
            <w:r>
              <w:rPr>
                <w:sz w:val="16"/>
              </w:rPr>
              <w:t>+0.8 %</w:t>
            </w:r>
          </w:p>
        </w:tc>
        <w:tc>
          <w:tcPr>
            <w:tcW w:type="dxa" w:w="1728"/>
          </w:tcPr>
          <w:p>
            <w:pPr>
              <w:spacing w:line="240" w:lineRule="auto" w:after="20"/>
            </w:pPr>
            <w:r/>
            <w:r>
              <w:rPr>
                <w:sz w:val="16"/>
              </w:rPr>
              <w:t>–</w:t>
            </w:r>
          </w:p>
        </w:tc>
      </w:tr>
      <w:tr>
        <w:tc>
          <w:tcPr>
            <w:tcW w:type="dxa" w:w="864"/>
          </w:tcPr>
          <w:p>
            <w:pPr>
              <w:spacing w:line="240" w:lineRule="auto" w:after="20"/>
            </w:pPr>
            <w:r/>
            <w:r>
              <w:rPr>
                <w:sz w:val="16"/>
              </w:rPr>
              <w:t>160</w:t>
            </w:r>
          </w:p>
        </w:tc>
        <w:tc>
          <w:tcPr>
            <w:tcW w:type="dxa" w:w="720"/>
          </w:tcPr>
          <w:p>
            <w:pPr>
              <w:spacing w:line="240" w:lineRule="auto" w:after="20"/>
            </w:pPr>
            <w:r/>
            <w:r>
              <w:rPr>
                <w:sz w:val="16"/>
              </w:rPr>
              <w:t>0.03</w:t>
            </w:r>
          </w:p>
        </w:tc>
        <w:tc>
          <w:tcPr>
            <w:tcW w:type="dxa" w:w="720"/>
          </w:tcPr>
          <w:p>
            <w:pPr>
              <w:spacing w:line="240" w:lineRule="auto" w:after="20"/>
            </w:pPr>
            <w:r/>
            <w:r>
              <w:rPr>
                <w:sz w:val="16"/>
              </w:rPr>
              <w:t>18.0</w:t>
            </w:r>
          </w:p>
        </w:tc>
        <w:tc>
          <w:tcPr>
            <w:tcW w:type="dxa" w:w="1440"/>
          </w:tcPr>
          <w:p>
            <w:pPr>
              <w:spacing w:line="240" w:lineRule="auto" w:after="20"/>
            </w:pPr>
            <w:r/>
            <w:r>
              <w:rPr>
                <w:sz w:val="16"/>
              </w:rPr>
              <w:t>2.200</w:t>
            </w:r>
          </w:p>
        </w:tc>
        <w:tc>
          <w:tcPr>
            <w:tcW w:type="dxa" w:w="1296"/>
          </w:tcPr>
          <w:p>
            <w:pPr>
              <w:spacing w:line="240" w:lineRule="auto" w:after="20"/>
            </w:pPr>
            <w:r/>
            <w:r>
              <w:rPr>
                <w:sz w:val="16"/>
              </w:rPr>
              <w:t>2.053</w:t>
            </w:r>
          </w:p>
        </w:tc>
        <w:tc>
          <w:tcPr>
            <w:tcW w:type="dxa" w:w="1440"/>
          </w:tcPr>
          <w:p>
            <w:pPr>
              <w:spacing w:line="240" w:lineRule="auto" w:after="20"/>
            </w:pPr>
            <w:r/>
            <w:r>
              <w:rPr>
                <w:sz w:val="16"/>
              </w:rPr>
              <w:t>2.169</w:t>
            </w:r>
          </w:p>
        </w:tc>
        <w:tc>
          <w:tcPr>
            <w:tcW w:type="dxa" w:w="1152"/>
          </w:tcPr>
          <w:p>
            <w:pPr>
              <w:spacing w:line="240" w:lineRule="auto" w:after="20"/>
            </w:pPr>
            <w:r/>
            <w:r>
              <w:rPr>
                <w:sz w:val="16"/>
              </w:rPr>
              <w:t>+1.4 %</w:t>
            </w:r>
          </w:p>
        </w:tc>
        <w:tc>
          <w:tcPr>
            <w:tcW w:type="dxa" w:w="1728"/>
          </w:tcPr>
          <w:p>
            <w:pPr>
              <w:spacing w:line="240" w:lineRule="auto" w:after="20"/>
            </w:pPr>
            <w:r/>
            <w:r>
              <w:rPr>
                <w:sz w:val="16"/>
              </w:rPr>
              <w:t>2.212</w:t>
            </w:r>
          </w:p>
        </w:tc>
      </w:tr>
      <w:tr>
        <w:tc>
          <w:tcPr>
            <w:tcW w:type="dxa" w:w="864"/>
          </w:tcPr>
          <w:p>
            <w:pPr>
              <w:spacing w:line="240" w:lineRule="auto" w:after="20"/>
            </w:pPr>
            <w:r/>
            <w:r>
              <w:rPr>
                <w:sz w:val="16"/>
              </w:rPr>
              <w:t>160</w:t>
            </w:r>
          </w:p>
        </w:tc>
        <w:tc>
          <w:tcPr>
            <w:tcW w:type="dxa" w:w="720"/>
          </w:tcPr>
          <w:p>
            <w:pPr>
              <w:spacing w:line="240" w:lineRule="auto" w:after="20"/>
            </w:pPr>
            <w:r/>
            <w:r>
              <w:rPr>
                <w:sz w:val="16"/>
              </w:rPr>
              <w:t>0.1</w:t>
            </w:r>
          </w:p>
        </w:tc>
        <w:tc>
          <w:tcPr>
            <w:tcW w:type="dxa" w:w="720"/>
          </w:tcPr>
          <w:p>
            <w:pPr>
              <w:spacing w:line="240" w:lineRule="auto" w:after="20"/>
            </w:pPr>
            <w:r/>
            <w:r>
              <w:rPr>
                <w:sz w:val="16"/>
              </w:rPr>
              <w:t>18.0</w:t>
            </w:r>
          </w:p>
        </w:tc>
        <w:tc>
          <w:tcPr>
            <w:tcW w:type="dxa" w:w="1440"/>
          </w:tcPr>
          <w:p>
            <w:pPr>
              <w:spacing w:line="240" w:lineRule="auto" w:after="20"/>
            </w:pPr>
            <w:r/>
            <w:r>
              <w:rPr>
                <w:sz w:val="16"/>
              </w:rPr>
              <w:t>2.586</w:t>
            </w:r>
          </w:p>
        </w:tc>
        <w:tc>
          <w:tcPr>
            <w:tcW w:type="dxa" w:w="1296"/>
          </w:tcPr>
          <w:p>
            <w:pPr>
              <w:spacing w:line="240" w:lineRule="auto" w:after="20"/>
            </w:pPr>
            <w:r/>
            <w:r>
              <w:rPr>
                <w:sz w:val="16"/>
              </w:rPr>
              <w:t>2.322</w:t>
            </w:r>
          </w:p>
        </w:tc>
        <w:tc>
          <w:tcPr>
            <w:tcW w:type="dxa" w:w="1440"/>
          </w:tcPr>
          <w:p>
            <w:pPr>
              <w:spacing w:line="240" w:lineRule="auto" w:after="20"/>
            </w:pPr>
            <w:r/>
            <w:r>
              <w:rPr>
                <w:sz w:val="16"/>
              </w:rPr>
              <w:t>2.454</w:t>
            </w:r>
          </w:p>
        </w:tc>
        <w:tc>
          <w:tcPr>
            <w:tcW w:type="dxa" w:w="1152"/>
          </w:tcPr>
          <w:p>
            <w:pPr>
              <w:spacing w:line="240" w:lineRule="auto" w:after="20"/>
            </w:pPr>
            <w:r/>
            <w:r>
              <w:rPr>
                <w:sz w:val="16"/>
              </w:rPr>
              <w:t>+5.4 %</w:t>
            </w:r>
          </w:p>
        </w:tc>
        <w:tc>
          <w:tcPr>
            <w:tcW w:type="dxa" w:w="1728"/>
          </w:tcPr>
          <w:p>
            <w:pPr>
              <w:spacing w:line="240" w:lineRule="auto" w:after="20"/>
            </w:pPr>
            <w:r/>
            <w:r>
              <w:rPr>
                <w:sz w:val="16"/>
              </w:rPr>
              <w:t>–</w:t>
            </w:r>
          </w:p>
        </w:tc>
      </w:tr>
    </w:tbl>
    <w:p>
      <w:pPr>
        <w:spacing w:after="40"/>
      </w:pPr>
    </w:p>
    <w:p>
      <w:pPr>
        <w:keepNext/>
        <w:spacing w:before="160" w:after="40"/>
        <w:jc w:val="center"/>
      </w:pPr>
      <w:r>
        <w:drawing>
          <wp:inline xmlns:a="http://schemas.openxmlformats.org/drawingml/2006/main" xmlns:pic="http://schemas.openxmlformats.org/drawingml/2006/picture">
            <wp:extent cx="6035040" cy="1834179"/>
            <wp:docPr id="3" name="Picture 3"/>
            <wp:cNvGraphicFramePr>
              <a:graphicFrameLocks noChangeAspect="1"/>
            </wp:cNvGraphicFramePr>
            <a:graphic>
              <a:graphicData uri="http://schemas.openxmlformats.org/drawingml/2006/picture">
                <pic:pic>
                  <pic:nvPicPr>
                    <pic:cNvPr id="0" name="fig3_criticality.png"/>
                    <pic:cNvPicPr/>
                  </pic:nvPicPr>
                  <pic:blipFill>
                    <a:blip r:embed="rId12"/>
                    <a:stretch>
                      <a:fillRect/>
                    </a:stretch>
                  </pic:blipFill>
                  <pic:spPr>
                    <a:xfrm>
                      <a:off x="0" y="0"/>
                      <a:ext cx="6035040" cy="1834179"/>
                    </a:xfrm>
                    <a:prstGeom prst="rect"/>
                  </pic:spPr>
                </pic:pic>
              </a:graphicData>
            </a:graphic>
          </wp:inline>
        </w:drawing>
      </w:r>
    </w:p>
    <w:p>
      <w:pPr>
        <w:keepNext w:val="0"/>
        <w:spacing w:line="276" w:lineRule="auto" w:after="200"/>
      </w:pPr>
      <w:r>
        <w:rPr>
          <w:b/>
          <w:sz w:val="19"/>
        </w:rPr>
        <w:t>Fig. 3</w:t>
      </w:r>
      <w:r>
        <w:rPr>
          <w:sz w:val="19"/>
        </w:rPr>
        <w:t xml:space="preserve"> (a) Critical number against Θ for n = 1, 3/2 and 2 (points: integrations; dashed: Eq. above). (b) Quasi-steady overshoot below Π</w:t>
      </w:r>
      <w:r>
        <w:rPr>
          <w:sz w:val="19"/>
          <w:vertAlign w:val="subscript"/>
        </w:rPr>
        <w:t>c</w:t>
      </w:r>
      <w:r>
        <w:rPr>
          <w:sz w:val="19"/>
        </w:rPr>
        <w:t>: Lambert-W formula, fold normal form, and integrations. (c) Arrhenius critical number against the prediction FK(Θ)exp(1/Ar).</w:t>
      </w:r>
    </w:p>
    <w:p>
      <w:pPr>
        <w:pStyle w:val="Heading2"/>
      </w:pPr>
      <w:r>
        <w:rPr>
          <w:rFonts w:ascii="Times New Roman" w:hAnsi="Times New Roman"/>
        </w:rPr>
        <w:t>E. Proposition 5: continuous-flow reactor, bistability, and ignition–extinction hysteresis</w:t>
      </w:r>
    </w:p>
    <w:p>
      <w:pPr>
        <w:keepNext w:val="0"/>
        <w:jc w:val="both"/>
      </w:pPr>
      <w:r>
        <w:t>The same fold has a hysteretic counterpart in a continuously fed reactor, as for any thermally coupled flow reactor [8, 9]. Let fresh resin of conversion 0 enter at the wall temperature with residence time τ</w:t>
      </w:r>
      <w:r>
        <w:rPr>
          <w:vertAlign w:val="subscript"/>
        </w:rPr>
        <w:t>res</w:t>
      </w:r>
      <w:r>
        <w:t>, and let ϑ = τ</w:t>
      </w:r>
      <w:r>
        <w:rPr>
          <w:vertAlign w:val="subscript"/>
        </w:rPr>
        <w:t>th</w:t>
      </w:r>
      <w:r>
        <w:t>/τ</w:t>
      </w:r>
      <w:r>
        <w:rPr>
          <w:vertAlign w:val="subscript"/>
        </w:rPr>
        <w:t>res</w:t>
      </w:r>
      <w:r>
        <w:t xml:space="preserve"> and D = k</w:t>
      </w:r>
      <w:r>
        <w:rPr>
          <w:vertAlign w:val="subscript"/>
        </w:rPr>
        <w:t>2</w:t>
      </w:r>
      <w:r>
        <w:t>τ</w:t>
      </w:r>
      <w:r>
        <w:rPr>
          <w:vertAlign w:val="subscript"/>
        </w:rPr>
        <w:t>res</w:t>
      </w:r>
      <w:r>
        <w:t>. In units of τ</w:t>
      </w:r>
      <w:r>
        <w:rPr>
          <w:vertAlign w:val="subscript"/>
        </w:rPr>
        <w:t>res</w:t>
      </w:r>
      <w:r>
        <w:t xml:space="preserve"> and in the exponential form,</w:t>
      </w:r>
    </w:p>
    <w:p>
      <w:pPr>
        <w:keepLines/>
        <w:tabs>
          <w:tab w:pos="4680" w:val="center"/>
          <w:tab w:pos="9360" w:val="right"/>
        </w:tabs>
        <w:spacing w:before="120" w:after="120"/>
      </w:pPr>
      <w:r>
        <w:tab/>
      </w:r>
      <m:oMath>
        <m:f>
          <m:fPr>
            <m:ctrlPr>
              <w:rPr>
                <w:rFonts w:ascii="Cambria Math" w:hAnsi="Cambria Math"/>
                <w:i/>
              </w:rPr>
            </m:ctrlPr>
          </m:fPr>
          <m:num>
            <m:r>
              <m:rPr>
                <m:sty m:val="i"/>
              </m:rPr>
              <w:rPr>
                <w:rFonts w:ascii="Cambria Math" w:hAnsi="Cambria Math"/>
                <w:i/>
              </w:rPr>
              <m:t xml:space="preserve">dα</m:t>
            </m:r>
          </m:num>
          <m:den>
            <m:r>
              <m:rPr>
                <m:nor/>
              </m:rPr>
              <w:rPr>
                <w:rFonts w:ascii="Cambria Math" w:hAnsi="Cambria Math"/>
                <w:i w:val="0"/>
              </w:rPr>
              <m:t xml:space="preserve">dt′</m:t>
            </m:r>
          </m:den>
        </m:f>
        <m:r>
          <m:rPr>
            <m:nor/>
          </m:rPr>
          <w:rPr>
            <w:rFonts w:ascii="Cambria Math" w:hAnsi="Cambria Math"/>
            <w:i w:val="0"/>
          </w:rPr>
          <m:t xml:space="preserve"> = </m:t>
        </m:r>
        <m:r>
          <m:rPr>
            <m:sty m:val="i"/>
          </m:rPr>
          <w:rPr>
            <w:rFonts w:ascii="Cambria Math" w:hAnsi="Cambria Math"/>
            <w:i/>
          </w:rPr>
          <m:t xml:space="preserve">D</m:t>
        </m:r>
        <m:r>
          <m:rPr>
            <m:sty m:val="i"/>
          </m:rPr>
          <w:rPr>
            <w:rFonts w:ascii="Cambria Math" w:hAnsi="Cambria Math"/>
            <w:i/>
          </w:rPr>
          <m:t xml:space="preserve">r</m:t>
        </m:r>
        <m:r>
          <m:rPr>
            <m:nor/>
          </m:rPr>
          <w:rPr>
            <w:rFonts w:ascii="Cambria Math" w:hAnsi="Cambria Math"/>
            <w:i w:val="0"/>
          </w:rPr>
          <m:t xml:space="preserve"> − </m:t>
        </m:r>
        <m:r>
          <m:rPr>
            <m:sty m:val="i"/>
          </m:rPr>
          <w:rPr>
            <w:rFonts w:ascii="Cambria Math" w:hAnsi="Cambria Math"/>
            <w:i/>
          </w:rPr>
          <m:t xml:space="preserve">α</m:t>
        </m:r>
        <m:r>
          <m:rPr>
            <m:nor/>
          </m:rPr>
          <w:rPr>
            <w:rFonts w:ascii="Cambria Math" w:hAnsi="Cambria Math"/>
            <w:i w:val="0"/>
          </w:rPr>
          <m:t xml:space="preserve">,   </m:t>
        </m:r>
        <m:f>
          <m:fPr>
            <m:ctrlPr>
              <w:rPr>
                <w:rFonts w:ascii="Cambria Math" w:hAnsi="Cambria Math"/>
                <w:i/>
              </w:rPr>
            </m:ctrlPr>
          </m:fPr>
          <m:num>
            <m:r>
              <m:rPr>
                <m:sty m:val="i"/>
              </m:rPr>
              <w:rPr>
                <w:rFonts w:ascii="Cambria Math" w:hAnsi="Cambria Math"/>
                <w:i/>
              </w:rPr>
              <m:t xml:space="preserve">dθ</m:t>
            </m:r>
          </m:num>
          <m:den>
            <m:r>
              <m:rPr>
                <m:nor/>
              </m:rPr>
              <w:rPr>
                <w:rFonts w:ascii="Cambria Math" w:hAnsi="Cambria Math"/>
                <w:i w:val="0"/>
              </w:rPr>
              <m:t xml:space="preserve">dt′</m:t>
            </m:r>
          </m:den>
        </m:f>
        <m:r>
          <m:rPr>
            <m:nor/>
          </m:rPr>
          <w:rPr>
            <w:rFonts w:ascii="Cambria Math" w:hAnsi="Cambria Math"/>
            <w:i w:val="0"/>
          </w:rPr>
          <m:t xml:space="preserve"> = </m:t>
        </m:r>
        <m:r>
          <m:rPr>
            <m:sty m:val="i"/>
          </m:rPr>
          <w:rPr>
            <w:rFonts w:ascii="Cambria Math" w:hAnsi="Cambria Math"/>
            <w:i/>
          </w:rPr>
          <m:t xml:space="preserve">D</m:t>
        </m:r>
        <m:r>
          <m:rPr>
            <m:sty m:val="i"/>
          </m:rPr>
          <w:rPr>
            <w:rFonts w:ascii="Cambria Math" w:hAnsi="Cambria Math"/>
            <w:i/>
          </w:rPr>
          <m:t xml:space="preserve">r</m:t>
        </m:r>
        <m:r>
          <m:rPr>
            <m:nor/>
          </m:rPr>
          <w:rPr>
            <w:rFonts w:ascii="Cambria Math" w:hAnsi="Cambria Math"/>
            <w:i w:val="0"/>
          </w:rPr>
          <m:t xml:space="preserve"> − </m:t>
        </m:r>
        <m:r>
          <m:rPr>
            <m:sty m:val="i"/>
          </m:rPr>
          <w:rPr>
            <w:rFonts w:ascii="Cambria Math" w:hAnsi="Cambria Math"/>
            <w:i/>
          </w:rPr>
          <m:t xml:space="preserve">θ</m:t>
        </m:r>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1</m:t>
                </m:r>
              </m:num>
              <m:den>
                <m:r>
                  <m:rPr>
                    <m:nor/>
                  </m:rPr>
                  <w:rPr>
                    <w:rFonts w:ascii="Cambria Math" w:hAnsi="Cambria Math"/>
                    <w:i w:val="0"/>
                  </w:rPr>
                  <m:t xml:space="preserve">ϑ</m:t>
                </m:r>
              </m:den>
            </m:f>
          </m:e>
        </m:d>
        <m:r>
          <m:rPr>
            <m:nor/>
          </m:rPr>
          <w:rPr>
            <w:rFonts w:ascii="Cambria Math" w:hAnsi="Cambria Math"/>
            <w:i w:val="0"/>
          </w:rPr>
          <m:t xml:space="preserve">,   </m:t>
        </m:r>
        <m:r>
          <m:rPr>
            <m:sty m:val="i"/>
          </m:rPr>
          <w:rPr>
            <w:rFonts w:ascii="Cambria Math" w:hAnsi="Cambria Math"/>
            <w:i/>
          </w:rPr>
          <m:t xml:space="preserve">r</m:t>
        </m:r>
        <m:r>
          <m:rPr>
            <m:nor/>
          </m:rPr>
          <w:rPr>
            <w:rFonts w:ascii="Cambria Math" w:hAnsi="Cambria Math"/>
            <w:i w:val="0"/>
          </w:rPr>
          <m:t xml:space="preserve"> = </m:t>
        </m:r>
        <m:d>
          <m:dPr>
            <m:begChr m:val="("/>
            <m:endChr m:val=")"/>
            <m:ctrlPr>
              <w:rPr>
                <w:rFonts w:ascii="Cambria Math" w:hAnsi="Cambria Math"/>
                <w:i/>
              </w:rPr>
            </m:ctrlPr>
          </m:dPr>
          <m:e>
            <m:r>
              <m:rPr>
                <m:sty m:val="i"/>
              </m:rPr>
              <w:rPr>
                <w:rFonts w:ascii="Cambria Math" w:hAnsi="Cambria Math"/>
                <w:i/>
              </w:rPr>
              <m:t xml:space="preserve">ε</m:t>
            </m:r>
            <m:r>
              <m:rPr>
                <m:nor/>
              </m:rPr>
              <w:rPr>
                <w:rFonts w:ascii="Cambria Math" w:hAnsi="Cambria Math"/>
                <w:i w:val="0"/>
              </w:rPr>
              <m:t xml:space="preserve"> + </m:t>
            </m:r>
            <m:r>
              <m:rPr>
                <m:sty m:val="i"/>
              </m:rPr>
              <w:rPr>
                <w:rFonts w:ascii="Cambria Math" w:hAnsi="Cambria Math"/>
                <w:i/>
              </w:rPr>
              <m:t xml:space="preserve">α</m:t>
            </m:r>
          </m:e>
        </m:d>
        <m:sSup>
          <m:sSupPr>
            <m:ctrlPr>
              <w:rPr>
                <w:rFonts w:ascii="Cambria Math" w:hAnsi="Cambria Math"/>
                <w:i/>
              </w:rPr>
            </m:ctrlPr>
          </m:sSupPr>
          <m:e>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sty m:val="i"/>
                  </m:rPr>
                  <w:rPr>
                    <w:rFonts w:ascii="Cambria Math" w:hAnsi="Cambria Math"/>
                    <w:i/>
                  </w:rPr>
                  <m:t xml:space="preserve">α</m:t>
                </m:r>
              </m:e>
            </m:d>
          </m:e>
          <m:sup>
            <m:r>
              <m:rPr>
                <m:sty m:val="i"/>
              </m:rPr>
              <w:rPr>
                <w:rFonts w:ascii="Cambria Math" w:hAnsi="Cambria Math"/>
                <w:i/>
              </w:rPr>
              <m:t xml:space="preserve">n</m:t>
            </m:r>
          </m:sup>
        </m:sSup>
        <m:sSup>
          <m:sSupPr>
            <m:ctrlPr>
              <w:rPr>
                <w:rFonts w:ascii="Cambria Math" w:hAnsi="Cambria Math"/>
                <w:i/>
              </w:rPr>
            </m:ctrlPr>
          </m:sSupPr>
          <m:e>
            <m:r>
              <m:rPr>
                <m:nor/>
              </m:rPr>
              <w:rPr>
                <w:rFonts w:ascii="Cambria Math" w:hAnsi="Cambria Math"/>
                <w:i w:val="0"/>
              </w:rPr>
              <m:t xml:space="preserve">e</m:t>
            </m:r>
          </m:e>
          <m:sup>
            <m:r>
              <m:rPr>
                <m:nor/>
              </m:rPr>
              <w:rPr>
                <w:rFonts w:ascii="Cambria Math" w:hAnsi="Cambria Math"/>
                <w:i w:val="0"/>
              </w:rPr>
              <m:t xml:space="preserve">ψθ</m:t>
            </m:r>
          </m:sup>
        </m:sSup>
        <m:r>
          <m:rPr>
            <m:nor/>
          </m:rPr>
          <w:rPr>
            <w:rFonts w:ascii="Cambria Math" w:hAnsi="Cambria Math"/>
            <w:i w:val="0"/>
          </w:rPr>
          <m:t xml:space="preserve">.</m:t>
        </m:r>
      </m:oMath>
      <w:r>
        <w:tab/>
        <w:t xml:space="preserve">(15)</w:t>
      </w:r>
    </w:p>
    <w:p>
      <w:pPr>
        <w:keepNext w:val="0"/>
        <w:jc w:val="both"/>
      </w:pPr>
      <w:r>
        <w:rPr>
          <w:b/>
        </w:rPr>
        <w:t>Proposition 5.</w:t>
      </w:r>
      <w:r>
        <w:t xml:space="preserve"> The steady states satisfy θ = ϑα/(1 + ϑ) = κα/ψ and are given parametrically by</w:t>
      </w:r>
    </w:p>
    <w:p>
      <w:pPr>
        <w:keepLines/>
        <w:tabs>
          <w:tab w:pos="4680" w:val="center"/>
          <w:tab w:pos="9360" w:val="right"/>
        </w:tabs>
        <w:spacing w:before="120" w:after="120"/>
      </w:pPr>
      <w:r>
        <w:tab/>
      </w:r>
      <m:oMath>
        <m:r>
          <m:rPr>
            <m:sty m:val="i"/>
          </m:rPr>
          <w:rPr>
            <w:rFonts w:ascii="Cambria Math" w:hAnsi="Cambria Math"/>
            <w:i/>
          </w:rPr>
          <m:t xml:space="preserve">D</m:t>
        </m:r>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α</m:t>
            </m:r>
          </m:num>
          <m:den>
            <m:d>
              <m:dPr>
                <m:begChr m:val="("/>
                <m:endChr m:val=")"/>
                <m:ctrlPr>
                  <w:rPr>
                    <w:rFonts w:ascii="Cambria Math" w:hAnsi="Cambria Math"/>
                    <w:i/>
                  </w:rPr>
                </m:ctrlPr>
              </m:dPr>
              <m:e>
                <m:r>
                  <m:rPr>
                    <m:sty m:val="i"/>
                  </m:rPr>
                  <w:rPr>
                    <w:rFonts w:ascii="Cambria Math" w:hAnsi="Cambria Math"/>
                    <w:i/>
                  </w:rPr>
                  <m:t xml:space="preserve">ε</m:t>
                </m:r>
                <m:r>
                  <m:rPr>
                    <m:nor/>
                  </m:rPr>
                  <w:rPr>
                    <w:rFonts w:ascii="Cambria Math" w:hAnsi="Cambria Math"/>
                    <w:i w:val="0"/>
                  </w:rPr>
                  <m:t xml:space="preserve"> + </m:t>
                </m:r>
                <m:r>
                  <m:rPr>
                    <m:sty m:val="i"/>
                  </m:rPr>
                  <w:rPr>
                    <w:rFonts w:ascii="Cambria Math" w:hAnsi="Cambria Math"/>
                    <w:i/>
                  </w:rPr>
                  <m:t xml:space="preserve">α</m:t>
                </m:r>
              </m:e>
            </m:d>
            <m:sSup>
              <m:sSupPr>
                <m:ctrlPr>
                  <w:rPr>
                    <w:rFonts w:ascii="Cambria Math" w:hAnsi="Cambria Math"/>
                    <w:i/>
                  </w:rPr>
                </m:ctrlPr>
              </m:sSupPr>
              <m:e>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sty m:val="i"/>
                      </m:rPr>
                      <w:rPr>
                        <w:rFonts w:ascii="Cambria Math" w:hAnsi="Cambria Math"/>
                        <w:i/>
                      </w:rPr>
                      <m:t xml:space="preserve">α</m:t>
                    </m:r>
                  </m:e>
                </m:d>
              </m:e>
              <m:sup>
                <m:r>
                  <m:rPr>
                    <m:sty m:val="i"/>
                  </m:rPr>
                  <w:rPr>
                    <w:rFonts w:ascii="Cambria Math" w:hAnsi="Cambria Math"/>
                    <w:i/>
                  </w:rPr>
                  <m:t xml:space="preserve">n</m:t>
                </m:r>
              </m:sup>
            </m:sSup>
            <m:r>
              <m:rPr>
                <m:nor/>
              </m:rPr>
              <w:rPr>
                <w:rFonts w:ascii="Cambria Math" w:hAnsi="Cambria Math"/>
                <w:i w:val="0"/>
              </w:rPr>
              <m:t xml:space="preserve">exp</m:t>
            </m:r>
            <m:d>
              <m:dPr>
                <m:begChr m:val="("/>
                <m:endChr m:val=")"/>
                <m:ctrlPr>
                  <w:rPr>
                    <w:rFonts w:ascii="Cambria Math" w:hAnsi="Cambria Math"/>
                    <w:i/>
                  </w:rPr>
                </m:ctrlPr>
              </m:dPr>
              <m:e>
                <m:r>
                  <m:rPr>
                    <m:sty m:val="i"/>
                  </m:rPr>
                  <w:rPr>
                    <w:rFonts w:ascii="Cambria Math" w:hAnsi="Cambria Math"/>
                    <w:i/>
                  </w:rPr>
                  <m:t xml:space="preserve">κα</m:t>
                </m:r>
              </m:e>
            </m:d>
          </m:den>
        </m:f>
        <m:r>
          <m:rPr>
            <m:nor/>
          </m:rPr>
          <w:rPr>
            <w:rFonts w:ascii="Cambria Math" w:hAnsi="Cambria Math"/>
            <w:i w:val="0"/>
          </w:rPr>
          <m:t xml:space="preserve">,   </m:t>
        </m:r>
        <m:r>
          <m:rPr>
            <m:sty m:val="i"/>
          </m:rPr>
          <w:rPr>
            <w:rFonts w:ascii="Cambria Math" w:hAnsi="Cambria Math"/>
            <w:i/>
          </w:rPr>
          <m:t xml:space="preserve">κ</m:t>
        </m:r>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ψϑ</m:t>
            </m:r>
          </m:num>
          <m:den>
            <m:r>
              <m:rPr>
                <m:nor/>
              </m:rPr>
              <w:rPr>
                <w:rFonts w:ascii="Cambria Math" w:hAnsi="Cambria Math"/>
                <w:i w:val="0"/>
              </w:rPr>
              <m:t xml:space="preserve">1</m:t>
            </m:r>
            <m:r>
              <m:rPr>
                <m:nor/>
              </m:rPr>
              <w:rPr>
                <w:rFonts w:ascii="Cambria Math" w:hAnsi="Cambria Math"/>
                <w:i w:val="0"/>
              </w:rPr>
              <m:t xml:space="preserve"> + </m:t>
            </m:r>
            <m:r>
              <m:rPr>
                <m:nor/>
              </m:rPr>
              <w:rPr>
                <w:rFonts w:ascii="Cambria Math" w:hAnsi="Cambria Math"/>
                <w:i w:val="0"/>
              </w:rPr>
              <m:t xml:space="preserve">ϑ</m:t>
            </m:r>
          </m:den>
        </m:f>
        <m:r>
          <m:rPr>
            <m:nor/>
          </m:rPr>
          <w:rPr>
            <w:rFonts w:ascii="Cambria Math" w:hAnsi="Cambria Math"/>
            <w:i w:val="0"/>
          </w:rPr>
          <m:t xml:space="preserve">.</m:t>
        </m:r>
      </m:oMath>
      <w:r>
        <w:tab/>
        <w:t xml:space="preserve">(16)</w:t>
      </w:r>
    </w:p>
    <w:p>
      <w:pPr>
        <w:keepNext w:val="0"/>
        <w:jc w:val="both"/>
      </w:pPr>
      <w:r>
        <w:rPr>
          <w:i/>
        </w:rPr>
        <w:t>Proof.</w:t>
      </w:r>
      <w:r>
        <w:t xml:space="preserve"> At steady state the conversion balance gives rD = α, and the heat balance gives θ(1 + 1/ϑ) = rD = α, so θ = ϑα/(1 + ϑ) = κα/ψ; substituting ψθ = κα into rD = α gives the expression. ∎ The curve D(α) is non-monotonic, so three steady states coexist in a window of D, if and only if d ln D/dα = 0 has two roots, i.e. n/(1 − α) + ε/[α(ε + α)] = κ has two roots. The left side has a single minimum, so the bistability threshold is κ</w:t>
      </w:r>
      <w:r>
        <w:rPr>
          <w:vertAlign w:val="subscript"/>
        </w:rPr>
        <w:t>c</w:t>
      </w:r>
      <w:r>
        <w:t xml:space="preserve"> = min</w:t>
      </w:r>
      <w:r>
        <w:rPr>
          <w:vertAlign w:val="subscript"/>
        </w:rPr>
        <w:t>α</w:t>
      </w:r>
      <w:r>
        <w:t>[n/(1 − α) + ε/(α(ε + α))] (κ</w:t>
      </w:r>
      <w:r>
        <w:rPr>
          <w:vertAlign w:val="subscript"/>
        </w:rPr>
        <w:t>c</w:t>
      </w:r>
      <w:r>
        <w:t xml:space="preserve"> = 1.894 for n = 3/2 and ε = 3 × 10</w:t>
      </w:r>
      <w:r>
        <w:rPr>
          <w:vertAlign w:val="superscript"/>
        </w:rPr>
        <w:t>−3</w:t>
      </w:r>
      <w:r>
        <w:t>, slightly above n; as ε → 0, κ</w:t>
      </w:r>
      <w:r>
        <w:rPr>
          <w:vertAlign w:val="subscript"/>
        </w:rPr>
        <w:t>c</w:t>
      </w:r>
      <w:r>
        <w:t xml:space="preserve"> → n). At the two folds the system switches (saddle-node bifurcations), and an up-and-down sweep of D traces a hysteresis loop whose static area in the (ln D, α) plane is A</w:t>
      </w:r>
      <w:r>
        <w:rPr>
          <w:vertAlign w:val="subscript"/>
        </w:rPr>
        <w:t>0</w:t>
      </w:r>
      <w:r>
        <w:t xml:space="preserve"> = ∫(α</w:t>
      </w:r>
      <w:r>
        <w:rPr>
          <w:vertAlign w:val="subscript"/>
        </w:rPr>
        <w:t>upper</w:t>
      </w:r>
      <w:r>
        <w:t xml:space="preserve"> − α</w:t>
      </w:r>
      <w:r>
        <w:rPr>
          <w:vertAlign w:val="subscript"/>
        </w:rPr>
        <w:t>lower</w:t>
      </w:r>
      <w:r>
        <w:t>) d ln D between the folds.</w:t>
      </w:r>
    </w:p>
    <w:p>
      <w:pPr>
        <w:keepNext w:val="0"/>
        <w:jc w:val="both"/>
      </w:pPr>
      <w:r>
        <w:rPr>
          <w:i/>
        </w:rPr>
        <w:t>Verification.</w:t>
      </w:r>
      <w:r>
        <w:t xml:space="preserve"> We swept ln D up and down at rates v = 0.05, 0.02, 0.01 and 0.005 per residence time (ϑ = 1). For ψ = 20 (κ = 10 &gt; κ</w:t>
      </w:r>
      <w:r>
        <w:rPr>
          <w:vertAlign w:val="subscript"/>
        </w:rPr>
        <w:t>c</w:t>
      </w:r>
      <w:r>
        <w:t>) the loop is wide: the switching values of ln D are -5.66 (down) and -0.31 (up) in the closed form and the integrated loop area decreases monotonically with v from 5.59 to 5.25, extrapolating (linear in v from the two slowest sweeps) to 5.17 against the static value 5.24. For ψ = 4.5 (κ = 2.25, just above κ</w:t>
      </w:r>
      <w:r>
        <w:rPr>
          <w:vertAlign w:val="subscript"/>
        </w:rPr>
        <w:t>c</w:t>
      </w:r>
      <w:r>
        <w:t>) the static area is 0.02 and the extrapolated area is 0.07; for ψ = 3 (κ = 1.50 &lt; κ</w:t>
      </w:r>
      <w:r>
        <w:rPr>
          <w:vertAlign w:val="subscript"/>
        </w:rPr>
        <w:t>c</w:t>
      </w:r>
      <w:r>
        <w:t>) the static loop is absent and the extrapolated area is 0.00 (Table 5). A finite-rate loop therefore exists below the threshold as well, and only its extrapolation to zero sweep rate distinguishes a static loop from a rate-dependent one. Close to the threshold the relaxation at the fold is slow (critical slowing down), so a linear extrapolation from sweeps no slower than 0.005 per residence time overestimates the area (0.07 against 0.025 for ψ = 4.5); far above the threshold it is accurate to about 1.4 %.</w:t>
      </w:r>
    </w:p>
    <w:p>
      <w:pPr>
        <w:keepNext/>
        <w:spacing w:line="276" w:lineRule="auto" w:after="200"/>
      </w:pPr>
      <w:r>
        <w:rPr>
          <w:b/>
          <w:sz w:val="19"/>
        </w:rPr>
        <w:t>Table 5</w:t>
      </w:r>
      <w:r>
        <w:rPr>
          <w:sz w:val="19"/>
        </w:rPr>
        <w:t xml:space="preserve"> Hysteresis loop area in the (ln D, α) plane for the continuous-flow reactor (ϑ = 1, n = 3/2, ε = 3 × 10</w:t>
      </w:r>
      <w:r>
        <w:rPr>
          <w:sz w:val="19"/>
          <w:vertAlign w:val="superscript"/>
        </w:rPr>
        <w:t>−3</w:t>
      </w:r>
      <w:r>
        <w:rPr>
          <w:sz w:val="19"/>
        </w:rPr>
        <w:t>, κ</w:t>
      </w:r>
      <w:r>
        <w:rPr>
          <w:sz w:val="19"/>
          <w:vertAlign w:val="subscript"/>
        </w:rPr>
        <w:t>c</w:t>
      </w:r>
      <w:r>
        <w:rPr>
          <w:sz w:val="19"/>
        </w:rPr>
        <w:t xml:space="preserve"> = 1.894).</w:t>
      </w:r>
    </w:p>
    <w:tbl>
      <w:tblPr>
        <w:tblStyle w:val="TableGrid"/>
        <w:tblW w:type="auto" w:w="0"/>
        <w:jc w:val="center"/>
        <w:tblLayout w:type="fixed"/>
        <w:tblLook w:firstColumn="1" w:firstRow="1" w:lastColumn="0" w:lastRow="0" w:noHBand="0" w:noVBand="1" w:val="04A0"/>
      </w:tblPr>
      <w:tblGrid>
        <w:gridCol w:w="720"/>
        <w:gridCol w:w="864"/>
        <w:gridCol w:w="1152"/>
        <w:gridCol w:w="1728"/>
        <w:gridCol w:w="2160"/>
        <w:gridCol w:w="1440"/>
        <w:gridCol w:w="1872"/>
      </w:tblGrid>
      <w:tr>
        <w:trPr>
          <w:tblHeader w:val="true"/>
        </w:trPr>
        <w:tc>
          <w:tcPr>
            <w:tcW w:type="dxa" w:w="720"/>
            <w:shd w:val="clear" w:color="auto" w:fill="E7ECF1"/>
          </w:tcPr>
          <w:p>
            <w:pPr>
              <w:spacing w:line="240" w:lineRule="auto" w:after="20"/>
            </w:pPr>
            <w:r/>
            <w:r>
              <w:rPr>
                <w:b/>
                <w:sz w:val="17"/>
              </w:rPr>
              <w:t>ψ</w:t>
            </w:r>
          </w:p>
        </w:tc>
        <w:tc>
          <w:tcPr>
            <w:tcW w:type="dxa" w:w="864"/>
            <w:shd w:val="clear" w:color="auto" w:fill="E7ECF1"/>
          </w:tcPr>
          <w:p>
            <w:pPr>
              <w:spacing w:line="240" w:lineRule="auto" w:after="20"/>
            </w:pPr>
            <w:r/>
            <w:r>
              <w:rPr>
                <w:b/>
                <w:sz w:val="17"/>
              </w:rPr>
              <w:t>κ</w:t>
            </w:r>
          </w:p>
        </w:tc>
        <w:tc>
          <w:tcPr>
            <w:tcW w:type="dxa" w:w="1152"/>
            <w:shd w:val="clear" w:color="auto" w:fill="E7ECF1"/>
          </w:tcPr>
          <w:p>
            <w:pPr>
              <w:spacing w:line="240" w:lineRule="auto" w:after="20"/>
            </w:pPr>
            <w:r/>
            <w:r>
              <w:rPr>
                <w:b/>
                <w:sz w:val="17"/>
              </w:rPr>
              <w:t>Bistable</w:t>
            </w:r>
          </w:p>
        </w:tc>
        <w:tc>
          <w:tcPr>
            <w:tcW w:type="dxa" w:w="1728"/>
            <w:shd w:val="clear" w:color="auto" w:fill="E7ECF1"/>
          </w:tcPr>
          <w:p>
            <w:pPr>
              <w:spacing w:line="240" w:lineRule="auto" w:after="20"/>
            </w:pPr>
            <w:r/>
            <w:r>
              <w:rPr>
                <w:b/>
                <w:sz w:val="17"/>
              </w:rPr>
              <w:t>Static area A</w:t>
            </w:r>
            <w:r>
              <w:rPr>
                <w:b/>
                <w:sz w:val="17"/>
                <w:vertAlign w:val="subscript"/>
              </w:rPr>
              <w:t>0</w:t>
            </w:r>
          </w:p>
        </w:tc>
        <w:tc>
          <w:tcPr>
            <w:tcW w:type="dxa" w:w="2160"/>
            <w:shd w:val="clear" w:color="auto" w:fill="E7ECF1"/>
          </w:tcPr>
          <w:p>
            <w:pPr>
              <w:spacing w:line="240" w:lineRule="auto" w:after="20"/>
            </w:pPr>
            <w:r/>
            <w:r>
              <w:rPr>
                <w:b/>
                <w:sz w:val="17"/>
              </w:rPr>
              <w:t>Integrated area at v = 0.05</w:t>
            </w:r>
          </w:p>
        </w:tc>
        <w:tc>
          <w:tcPr>
            <w:tcW w:type="dxa" w:w="1440"/>
            <w:shd w:val="clear" w:color="auto" w:fill="E7ECF1"/>
          </w:tcPr>
          <w:p>
            <w:pPr>
              <w:spacing w:line="240" w:lineRule="auto" w:after="20"/>
            </w:pPr>
            <w:r/>
            <w:r>
              <w:rPr>
                <w:b/>
                <w:sz w:val="17"/>
              </w:rPr>
              <w:t>at v = 0.005</w:t>
            </w:r>
          </w:p>
        </w:tc>
        <w:tc>
          <w:tcPr>
            <w:tcW w:type="dxa" w:w="1872"/>
            <w:shd w:val="clear" w:color="auto" w:fill="E7ECF1"/>
          </w:tcPr>
          <w:p>
            <w:pPr>
              <w:spacing w:line="240" w:lineRule="auto" w:after="20"/>
            </w:pPr>
            <w:r/>
            <w:r>
              <w:rPr>
                <w:b/>
                <w:sz w:val="17"/>
              </w:rPr>
              <w:t>Extrapolated (v → 0)</w:t>
            </w:r>
          </w:p>
        </w:tc>
      </w:tr>
      <w:tr>
        <w:tc>
          <w:tcPr>
            <w:tcW w:type="dxa" w:w="720"/>
          </w:tcPr>
          <w:p>
            <w:pPr>
              <w:spacing w:line="240" w:lineRule="auto" w:after="20"/>
            </w:pPr>
            <w:r/>
            <w:r>
              <w:rPr>
                <w:sz w:val="17"/>
              </w:rPr>
              <w:t>3.0</w:t>
            </w:r>
          </w:p>
        </w:tc>
        <w:tc>
          <w:tcPr>
            <w:tcW w:type="dxa" w:w="864"/>
          </w:tcPr>
          <w:p>
            <w:pPr>
              <w:spacing w:line="240" w:lineRule="auto" w:after="20"/>
            </w:pPr>
            <w:r/>
            <w:r>
              <w:rPr>
                <w:sz w:val="17"/>
              </w:rPr>
              <w:t>1.50</w:t>
            </w:r>
          </w:p>
        </w:tc>
        <w:tc>
          <w:tcPr>
            <w:tcW w:type="dxa" w:w="1152"/>
          </w:tcPr>
          <w:p>
            <w:pPr>
              <w:spacing w:line="240" w:lineRule="auto" w:after="20"/>
            </w:pPr>
            <w:r/>
            <w:r>
              <w:rPr>
                <w:sz w:val="17"/>
              </w:rPr>
              <w:t>no</w:t>
            </w:r>
          </w:p>
        </w:tc>
        <w:tc>
          <w:tcPr>
            <w:tcW w:type="dxa" w:w="1728"/>
          </w:tcPr>
          <w:p>
            <w:pPr>
              <w:spacing w:line="240" w:lineRule="auto" w:after="20"/>
            </w:pPr>
            <w:r/>
            <w:r>
              <w:rPr>
                <w:sz w:val="17"/>
              </w:rPr>
              <w:t>0.000</w:t>
            </w:r>
          </w:p>
        </w:tc>
        <w:tc>
          <w:tcPr>
            <w:tcW w:type="dxa" w:w="2160"/>
          </w:tcPr>
          <w:p>
            <w:pPr>
              <w:spacing w:line="240" w:lineRule="auto" w:after="20"/>
            </w:pPr>
            <w:r/>
            <w:r>
              <w:rPr>
                <w:sz w:val="17"/>
              </w:rPr>
              <w:t>0.262</w:t>
            </w:r>
          </w:p>
        </w:tc>
        <w:tc>
          <w:tcPr>
            <w:tcW w:type="dxa" w:w="1440"/>
          </w:tcPr>
          <w:p>
            <w:pPr>
              <w:spacing w:line="240" w:lineRule="auto" w:after="20"/>
            </w:pPr>
            <w:r/>
            <w:r>
              <w:rPr>
                <w:sz w:val="17"/>
              </w:rPr>
              <w:t>0.037</w:t>
            </w:r>
          </w:p>
        </w:tc>
        <w:tc>
          <w:tcPr>
            <w:tcW w:type="dxa" w:w="1872"/>
          </w:tcPr>
          <w:p>
            <w:pPr>
              <w:spacing w:line="240" w:lineRule="auto" w:after="20"/>
            </w:pPr>
            <w:r/>
            <w:r>
              <w:rPr>
                <w:sz w:val="17"/>
              </w:rPr>
              <w:t>0.005</w:t>
            </w:r>
          </w:p>
        </w:tc>
      </w:tr>
      <w:tr>
        <w:tc>
          <w:tcPr>
            <w:tcW w:type="dxa" w:w="720"/>
          </w:tcPr>
          <w:p>
            <w:pPr>
              <w:spacing w:line="240" w:lineRule="auto" w:after="20"/>
            </w:pPr>
            <w:r/>
            <w:r>
              <w:rPr>
                <w:sz w:val="17"/>
              </w:rPr>
              <w:t>4.5</w:t>
            </w:r>
          </w:p>
        </w:tc>
        <w:tc>
          <w:tcPr>
            <w:tcW w:type="dxa" w:w="864"/>
          </w:tcPr>
          <w:p>
            <w:pPr>
              <w:spacing w:line="240" w:lineRule="auto" w:after="20"/>
            </w:pPr>
            <w:r/>
            <w:r>
              <w:rPr>
                <w:sz w:val="17"/>
              </w:rPr>
              <w:t>2.25</w:t>
            </w:r>
          </w:p>
        </w:tc>
        <w:tc>
          <w:tcPr>
            <w:tcW w:type="dxa" w:w="1152"/>
          </w:tcPr>
          <w:p>
            <w:pPr>
              <w:spacing w:line="240" w:lineRule="auto" w:after="20"/>
            </w:pPr>
            <w:r/>
            <w:r>
              <w:rPr>
                <w:sz w:val="17"/>
              </w:rPr>
              <w:t>yes</w:t>
            </w:r>
          </w:p>
        </w:tc>
        <w:tc>
          <w:tcPr>
            <w:tcW w:type="dxa" w:w="1728"/>
          </w:tcPr>
          <w:p>
            <w:pPr>
              <w:spacing w:line="240" w:lineRule="auto" w:after="20"/>
            </w:pPr>
            <w:r/>
            <w:r>
              <w:rPr>
                <w:sz w:val="17"/>
              </w:rPr>
              <w:t>0.025</w:t>
            </w:r>
          </w:p>
        </w:tc>
        <w:tc>
          <w:tcPr>
            <w:tcW w:type="dxa" w:w="2160"/>
          </w:tcPr>
          <w:p>
            <w:pPr>
              <w:spacing w:line="240" w:lineRule="auto" w:after="20"/>
            </w:pPr>
            <w:r/>
            <w:r>
              <w:rPr>
                <w:sz w:val="17"/>
              </w:rPr>
              <w:t>0.422</w:t>
            </w:r>
          </w:p>
        </w:tc>
        <w:tc>
          <w:tcPr>
            <w:tcW w:type="dxa" w:w="1440"/>
          </w:tcPr>
          <w:p>
            <w:pPr>
              <w:spacing w:line="240" w:lineRule="auto" w:after="20"/>
            </w:pPr>
            <w:r/>
            <w:r>
              <w:rPr>
                <w:sz w:val="17"/>
              </w:rPr>
              <w:t>0.118</w:t>
            </w:r>
          </w:p>
        </w:tc>
        <w:tc>
          <w:tcPr>
            <w:tcW w:type="dxa" w:w="1872"/>
          </w:tcPr>
          <w:p>
            <w:pPr>
              <w:spacing w:line="240" w:lineRule="auto" w:after="20"/>
            </w:pPr>
            <w:r/>
            <w:r>
              <w:rPr>
                <w:sz w:val="17"/>
              </w:rPr>
              <w:t>0.067</w:t>
            </w:r>
          </w:p>
        </w:tc>
      </w:tr>
      <w:tr>
        <w:tc>
          <w:tcPr>
            <w:tcW w:type="dxa" w:w="720"/>
          </w:tcPr>
          <w:p>
            <w:pPr>
              <w:spacing w:line="240" w:lineRule="auto" w:after="20"/>
            </w:pPr>
            <w:r/>
            <w:r>
              <w:rPr>
                <w:sz w:val="17"/>
              </w:rPr>
              <w:t>20.0</w:t>
            </w:r>
          </w:p>
        </w:tc>
        <w:tc>
          <w:tcPr>
            <w:tcW w:type="dxa" w:w="864"/>
          </w:tcPr>
          <w:p>
            <w:pPr>
              <w:spacing w:line="240" w:lineRule="auto" w:after="20"/>
            </w:pPr>
            <w:r/>
            <w:r>
              <w:rPr>
                <w:sz w:val="17"/>
              </w:rPr>
              <w:t>10.00</w:t>
            </w:r>
          </w:p>
        </w:tc>
        <w:tc>
          <w:tcPr>
            <w:tcW w:type="dxa" w:w="1152"/>
          </w:tcPr>
          <w:p>
            <w:pPr>
              <w:spacing w:line="240" w:lineRule="auto" w:after="20"/>
            </w:pPr>
            <w:r/>
            <w:r>
              <w:rPr>
                <w:sz w:val="17"/>
              </w:rPr>
              <w:t>yes</w:t>
            </w:r>
          </w:p>
        </w:tc>
        <w:tc>
          <w:tcPr>
            <w:tcW w:type="dxa" w:w="1728"/>
          </w:tcPr>
          <w:p>
            <w:pPr>
              <w:spacing w:line="240" w:lineRule="auto" w:after="20"/>
            </w:pPr>
            <w:r/>
            <w:r>
              <w:rPr>
                <w:sz w:val="17"/>
              </w:rPr>
              <w:t>5.236</w:t>
            </w:r>
          </w:p>
        </w:tc>
        <w:tc>
          <w:tcPr>
            <w:tcW w:type="dxa" w:w="2160"/>
          </w:tcPr>
          <w:p>
            <w:pPr>
              <w:spacing w:line="240" w:lineRule="auto" w:after="20"/>
            </w:pPr>
            <w:r/>
            <w:r>
              <w:rPr>
                <w:sz w:val="17"/>
              </w:rPr>
              <w:t>5.588</w:t>
            </w:r>
          </w:p>
        </w:tc>
        <w:tc>
          <w:tcPr>
            <w:tcW w:type="dxa" w:w="1440"/>
          </w:tcPr>
          <w:p>
            <w:pPr>
              <w:spacing w:line="240" w:lineRule="auto" w:after="20"/>
            </w:pPr>
            <w:r/>
            <w:r>
              <w:rPr>
                <w:sz w:val="17"/>
              </w:rPr>
              <w:t>5.251</w:t>
            </w:r>
          </w:p>
        </w:tc>
        <w:tc>
          <w:tcPr>
            <w:tcW w:type="dxa" w:w="1872"/>
          </w:tcPr>
          <w:p>
            <w:pPr>
              <w:spacing w:line="240" w:lineRule="auto" w:after="20"/>
            </w:pPr>
            <w:r/>
            <w:r>
              <w:rPr>
                <w:sz w:val="17"/>
              </w:rPr>
              <w:t>5.166</w:t>
            </w:r>
          </w:p>
        </w:tc>
      </w:tr>
    </w:tbl>
    <w:p>
      <w:pPr>
        <w:spacing w:after="40"/>
      </w:pPr>
    </w:p>
    <w:p>
      <w:pPr>
        <w:keepNext/>
        <w:spacing w:before="160" w:after="40"/>
        <w:jc w:val="center"/>
      </w:pPr>
      <w:r>
        <w:drawing>
          <wp:inline xmlns:a="http://schemas.openxmlformats.org/drawingml/2006/main" xmlns:pic="http://schemas.openxmlformats.org/drawingml/2006/picture">
            <wp:extent cx="6035040" cy="1834179"/>
            <wp:docPr id="4" name="Picture 4"/>
            <wp:cNvGraphicFramePr>
              <a:graphicFrameLocks noChangeAspect="1"/>
            </wp:cNvGraphicFramePr>
            <a:graphic>
              <a:graphicData uri="http://schemas.openxmlformats.org/drawingml/2006/picture">
                <pic:pic>
                  <pic:nvPicPr>
                    <pic:cNvPr id="0" name="fig4_flow_reactor.png"/>
                    <pic:cNvPicPr/>
                  </pic:nvPicPr>
                  <pic:blipFill>
                    <a:blip r:embed="rId13"/>
                    <a:stretch>
                      <a:fillRect/>
                    </a:stretch>
                  </pic:blipFill>
                  <pic:spPr>
                    <a:xfrm>
                      <a:off x="0" y="0"/>
                      <a:ext cx="6035040" cy="1834179"/>
                    </a:xfrm>
                    <a:prstGeom prst="rect"/>
                  </pic:spPr>
                </pic:pic>
              </a:graphicData>
            </a:graphic>
          </wp:inline>
        </w:drawing>
      </w:r>
    </w:p>
    <w:p>
      <w:pPr>
        <w:keepNext w:val="0"/>
        <w:spacing w:line="276" w:lineRule="auto" w:after="200"/>
      </w:pPr>
      <w:r>
        <w:rPr>
          <w:b/>
          <w:sz w:val="19"/>
        </w:rPr>
        <w:t>Fig. 4</w:t>
      </w:r>
      <w:r>
        <w:rPr>
          <w:sz w:val="19"/>
        </w:rPr>
        <w:t xml:space="preserve"> (a) Steady-state curve of the flow reactor with its two folds (κ = 10). (b) Ignition–extinction loops at two sweep rates against the steady states. (c) Loop area against sweep rate and the closed-form static area.</w:t>
      </w:r>
    </w:p>
    <w:p>
      <w:pPr>
        <w:pStyle w:val="Heading2"/>
      </w:pPr>
      <w:r>
        <w:rPr>
          <w:rFonts w:ascii="Times New Roman" w:hAnsi="Times New Roman"/>
        </w:rPr>
        <w:t>F. Closed forms as fitting functions: a synthetic-data test</w:t>
      </w:r>
    </w:p>
    <w:p>
      <w:pPr>
        <w:keepNext w:val="0"/>
        <w:jc w:val="both"/>
      </w:pPr>
      <w:r>
        <w:t>The storage curves depend on the capsule population only through the open fraction, i.e. through z = Δ/σ</w:t>
      </w:r>
      <w:r>
        <w:rPr>
          <w:vertAlign w:val="subscript"/>
        </w:rPr>
        <w:t>eff</w:t>
      </w:r>
      <w:r>
        <w:t xml:space="preserve"> at each storage temperature, so the pair (T</w:t>
      </w:r>
      <w:r>
        <w:rPr>
          <w:vertAlign w:val="subscript"/>
        </w:rPr>
        <w:t>m</w:t>
      </w:r>
      <w:r>
        <w:t>, σ) is determined only through the line z(T</w:t>
      </w:r>
      <w:r>
        <w:rPr>
          <w:vertAlign w:val="subscript"/>
        </w:rPr>
        <w:t>s</w:t>
      </w:r>
      <w:r>
        <w:t>) = (T</w:t>
      </w:r>
      <w:r>
        <w:rPr>
          <w:vertAlign w:val="subscript"/>
        </w:rPr>
        <w:t>m</w:t>
      </w:r>
      <w:r>
        <w:t xml:space="preserve"> − T</w:t>
      </w:r>
      <w:r>
        <w:rPr>
          <w:vertAlign w:val="subscript"/>
        </w:rPr>
        <w:t>s</w:t>
      </w:r>
      <w:r>
        <w:t xml:space="preserve">)/σ. To see how well it can be recovered, synthetic isothermal storage curves were generated with the </w:t>
      </w:r>
      <w:r>
        <w:rPr>
          <w:i/>
        </w:rPr>
        <w:t>population ODE</w:t>
      </w:r>
      <w:r>
        <w:t xml:space="preserve"> (not with the closed form) for σ = 5.0 °C and T</w:t>
      </w:r>
      <w:r>
        <w:rPr>
          <w:vertAlign w:val="subscript"/>
        </w:rPr>
        <w:t>m</w:t>
      </w:r>
      <w:r>
        <w:t xml:space="preserve"> = 118 °C at three storage temperatures (112, 108, 105 °C) and five times (30–150 min), with Gaussian noise of 0.002 in conversion, and fitted by least squares with the closed form (200 noise realizations). The estimates are σ̂ = 7.5 ± 2.6 °C and T̂</w:t>
      </w:r>
      <w:r>
        <w:rPr>
          <w:vertAlign w:val="subscript"/>
        </w:rPr>
        <w:t>m</w:t>
      </w:r>
      <w:r>
        <w:t xml:space="preserve"> = 120.9 ± 3.1 °C with a correlation of 0.97 (Fig. 5): the two parameters are almost degenerate, only their combination is well constrained, and σ̂ is biased high along the degenerate direction. A calorimetric determination of T</w:t>
      </w:r>
      <w:r>
        <w:rPr>
          <w:vertAlign w:val="subscript"/>
        </w:rPr>
        <w:t>m</w:t>
      </w:r>
      <w:r>
        <w:t xml:space="preserve"> from the endotherm, with an uncertainty of 0.5 °C, is therefore necessary to use storage curves to measure σ.</w:t>
      </w:r>
    </w:p>
    <w:p>
      <w:pPr>
        <w:keepNext w:val="0"/>
        <w:jc w:val="both"/>
      </w:pPr>
      <w:r>
        <w:t>Constraining T</w:t>
      </w:r>
      <w:r>
        <w:rPr>
          <w:vertAlign w:val="subscript"/>
        </w:rPr>
        <w:t>m</w:t>
      </w:r>
      <w:r>
        <w:t xml:space="preserve"> to the true value with an uncertainty of 0.5 °C (a prior of that width on the mean melting temperature) reduces the scatter of the recovered spread to σ̂ = 5.1 ± 0.4 °C.</w:t>
      </w:r>
    </w:p>
    <w:p>
      <w:pPr>
        <w:keepNext/>
        <w:spacing w:before="160" w:after="40"/>
        <w:jc w:val="center"/>
      </w:pPr>
      <w:r>
        <w:drawing>
          <wp:inline xmlns:a="http://schemas.openxmlformats.org/drawingml/2006/main" xmlns:pic="http://schemas.openxmlformats.org/drawingml/2006/picture">
            <wp:extent cx="3291840" cy="2834640"/>
            <wp:docPr id="5" name="Picture 5"/>
            <wp:cNvGraphicFramePr>
              <a:graphicFrameLocks noChangeAspect="1"/>
            </wp:cNvGraphicFramePr>
            <a:graphic>
              <a:graphicData uri="http://schemas.openxmlformats.org/drawingml/2006/picture">
                <pic:pic>
                  <pic:nvPicPr>
                    <pic:cNvPr id="0" name="fig5_recovery.png"/>
                    <pic:cNvPicPr/>
                  </pic:nvPicPr>
                  <pic:blipFill>
                    <a:blip r:embed="rId14"/>
                    <a:stretch>
                      <a:fillRect/>
                    </a:stretch>
                  </pic:blipFill>
                  <pic:spPr>
                    <a:xfrm>
                      <a:off x="0" y="0"/>
                      <a:ext cx="3291840" cy="2834640"/>
                    </a:xfrm>
                    <a:prstGeom prst="rect"/>
                  </pic:spPr>
                </pic:pic>
              </a:graphicData>
            </a:graphic>
          </wp:inline>
        </w:drawing>
      </w:r>
    </w:p>
    <w:p>
      <w:pPr>
        <w:keepNext w:val="0"/>
        <w:spacing w:line="276" w:lineRule="auto" w:after="200"/>
      </w:pPr>
      <w:r>
        <w:rPr>
          <w:b/>
          <w:sz w:val="19"/>
        </w:rPr>
        <w:t>Fig. 5</w:t>
      </w:r>
      <w:r>
        <w:rPr>
          <w:sz w:val="19"/>
        </w:rPr>
        <w:t xml:space="preserve"> Least-squares recovery of (T</w:t>
      </w:r>
      <w:r>
        <w:rPr>
          <w:sz w:val="19"/>
          <w:vertAlign w:val="subscript"/>
        </w:rPr>
        <w:t>m</w:t>
      </w:r>
      <w:r>
        <w:rPr>
          <w:sz w:val="19"/>
        </w:rPr>
        <w:t>, σ) from noisy synthetic storage curves; each point is one noise realization (every fifth shown).</w:t>
      </w:r>
    </w:p>
    <w:p>
      <w:pPr>
        <w:pStyle w:val="Heading1"/>
      </w:pPr>
      <w:r>
        <w:rPr>
          <w:rFonts w:ascii="Times New Roman" w:hAnsi="Times New Roman"/>
        </w:rPr>
        <w:t>IV. Status of the claims and approximations</w:t>
      </w:r>
    </w:p>
    <w:p>
      <w:pPr>
        <w:keepNext/>
        <w:spacing w:line="276" w:lineRule="auto" w:after="200"/>
      </w:pPr>
      <w:r>
        <w:rPr>
          <w:b/>
          <w:sz w:val="19"/>
        </w:rPr>
        <w:t>Table 6</w:t>
      </w:r>
      <w:r>
        <w:rPr>
          <w:sz w:val="19"/>
        </w:rPr>
        <w:t xml:space="preserve"> Status of the principal results, their assumptions, and where they fail or have not been tested. All parameters are illustrative.</w:t>
      </w:r>
    </w:p>
    <w:tbl>
      <w:tblPr>
        <w:tblStyle w:val="TableGrid"/>
        <w:tblW w:type="auto" w:w="0"/>
        <w:jc w:val="center"/>
        <w:tblLayout w:type="fixed"/>
        <w:tblLook w:firstColumn="1" w:firstRow="1" w:lastColumn="0" w:lastRow="0" w:noHBand="0" w:noVBand="1" w:val="04A0"/>
      </w:tblPr>
      <w:tblGrid>
        <w:gridCol w:w="2304"/>
        <w:gridCol w:w="2016"/>
        <w:gridCol w:w="2736"/>
        <w:gridCol w:w="2736"/>
      </w:tblGrid>
      <w:tr>
        <w:trPr>
          <w:tblHeader w:val="true"/>
        </w:trPr>
        <w:tc>
          <w:tcPr>
            <w:tcW w:type="dxa" w:w="2304"/>
            <w:shd w:val="clear" w:color="auto" w:fill="E7ECF1"/>
          </w:tcPr>
          <w:p>
            <w:pPr>
              <w:spacing w:line="240" w:lineRule="auto" w:after="20"/>
            </w:pPr>
            <w:r/>
            <w:r>
              <w:rPr>
                <w:b/>
                <w:sz w:val="16"/>
              </w:rPr>
              <w:t>Result</w:t>
            </w:r>
          </w:p>
        </w:tc>
        <w:tc>
          <w:tcPr>
            <w:tcW w:type="dxa" w:w="2016"/>
            <w:shd w:val="clear" w:color="auto" w:fill="E7ECF1"/>
          </w:tcPr>
          <w:p>
            <w:pPr>
              <w:spacing w:line="240" w:lineRule="auto" w:after="20"/>
            </w:pPr>
            <w:r/>
            <w:r>
              <w:rPr>
                <w:b/>
                <w:sz w:val="16"/>
              </w:rPr>
              <w:t>Status</w:t>
            </w:r>
          </w:p>
        </w:tc>
        <w:tc>
          <w:tcPr>
            <w:tcW w:type="dxa" w:w="2736"/>
            <w:shd w:val="clear" w:color="auto" w:fill="E7ECF1"/>
          </w:tcPr>
          <w:p>
            <w:pPr>
              <w:spacing w:line="240" w:lineRule="auto" w:after="20"/>
            </w:pPr>
            <w:r/>
            <w:r>
              <w:rPr>
                <w:b/>
                <w:sz w:val="16"/>
              </w:rPr>
              <w:t>Assumption it rests on</w:t>
            </w:r>
          </w:p>
        </w:tc>
        <w:tc>
          <w:tcPr>
            <w:tcW w:type="dxa" w:w="2736"/>
            <w:shd w:val="clear" w:color="auto" w:fill="E7ECF1"/>
          </w:tcPr>
          <w:p>
            <w:pPr>
              <w:spacing w:line="240" w:lineRule="auto" w:after="20"/>
            </w:pPr>
            <w:r/>
            <w:r>
              <w:rPr>
                <w:b/>
                <w:sz w:val="16"/>
              </w:rPr>
              <w:t>Where it fails or is untested</w:t>
            </w:r>
          </w:p>
        </w:tc>
      </w:tr>
      <w:tr>
        <w:tc>
          <w:tcPr>
            <w:tcW w:type="dxa" w:w="2304"/>
          </w:tcPr>
          <w:p>
            <w:pPr>
              <w:spacing w:line="240" w:lineRule="auto" w:after="20"/>
            </w:pPr>
            <w:r/>
            <w:r>
              <w:rPr>
                <w:sz w:val="16"/>
              </w:rPr>
              <w:t>Availability clock (Prop. 1)</w:t>
            </w:r>
          </w:p>
        </w:tc>
        <w:tc>
          <w:tcPr>
            <w:tcW w:type="dxa" w:w="2016"/>
          </w:tcPr>
          <w:p>
            <w:pPr>
              <w:spacing w:line="240" w:lineRule="auto" w:after="20"/>
            </w:pPr>
            <w:r/>
            <w:r>
              <w:rPr>
                <w:sz w:val="16"/>
              </w:rPr>
              <w:t>Exact</w:t>
            </w:r>
          </w:p>
        </w:tc>
        <w:tc>
          <w:tcPr>
            <w:tcW w:type="dxa" w:w="2736"/>
          </w:tcPr>
          <w:p>
            <w:pPr>
              <w:spacing w:line="240" w:lineRule="auto" w:after="20"/>
            </w:pPr>
            <w:r/>
            <w:r>
              <w:rPr>
                <w:sz w:val="16"/>
              </w:rPr>
              <w:t>Constant temperature; one availability function ⟨C⟩(t)</w:t>
            </w:r>
          </w:p>
        </w:tc>
        <w:tc>
          <w:tcPr>
            <w:tcW w:type="dxa" w:w="2736"/>
          </w:tcPr>
          <w:p>
            <w:pPr>
              <w:spacing w:line="240" w:lineRule="auto" w:after="20"/>
            </w:pPr>
            <w:r/>
            <w:r>
              <w:rPr>
                <w:sz w:val="16"/>
              </w:rPr>
              <w:t>Temperature transients and exotherm: delay becomes temperature dependent</w:t>
            </w:r>
          </w:p>
        </w:tc>
      </w:tr>
      <w:tr>
        <w:tc>
          <w:tcPr>
            <w:tcW w:type="dxa" w:w="2304"/>
          </w:tcPr>
          <w:p>
            <w:pPr>
              <w:spacing w:line="240" w:lineRule="auto" w:after="20"/>
            </w:pPr>
            <w:r/>
            <w:r>
              <w:rPr>
                <w:sz w:val="16"/>
              </w:rPr>
              <w:t>Isothermal time and sharpness (Prop. 2)</w:t>
            </w:r>
          </w:p>
        </w:tc>
        <w:tc>
          <w:tcPr>
            <w:tcW w:type="dxa" w:w="2016"/>
          </w:tcPr>
          <w:p>
            <w:pPr>
              <w:spacing w:line="240" w:lineRule="auto" w:after="20"/>
            </w:pPr>
            <w:r/>
            <w:r>
              <w:rPr>
                <w:sz w:val="16"/>
              </w:rPr>
              <w:t>Exact (quadrature); n = 1 closed form; sharpness law asymptotic</w:t>
            </w:r>
          </w:p>
        </w:tc>
        <w:tc>
          <w:tcPr>
            <w:tcW w:type="dxa" w:w="2736"/>
          </w:tcPr>
          <w:p>
            <w:pPr>
              <w:spacing w:line="240" w:lineRule="auto" w:after="20"/>
            </w:pPr>
            <w:r/>
            <w:r>
              <w:rPr>
                <w:sz w:val="16"/>
              </w:rPr>
              <w:t>m = 1; no diffusion control</w:t>
            </w:r>
          </w:p>
        </w:tc>
        <w:tc>
          <w:tcPr>
            <w:tcW w:type="dxa" w:w="2736"/>
          </w:tcPr>
          <w:p>
            <w:pPr>
              <w:spacing w:line="240" w:lineRule="auto" w:after="20"/>
            </w:pPr>
            <w:r/>
            <w:r>
              <w:rPr>
                <w:sz w:val="16"/>
              </w:rPr>
              <w:t>Sharpness law inaccurate for n ≠ 1; vitrification not modelled</w:t>
            </w:r>
          </w:p>
        </w:tc>
      </w:tr>
      <w:tr>
        <w:tc>
          <w:tcPr>
            <w:tcW w:type="dxa" w:w="2304"/>
          </w:tcPr>
          <w:p>
            <w:pPr>
              <w:spacing w:line="240" w:lineRule="auto" w:after="20"/>
            </w:pPr>
            <w:r/>
            <w:r>
              <w:rPr>
                <w:sz w:val="16"/>
              </w:rPr>
              <w:t>Storage conversion and σ</w:t>
            </w:r>
            <w:r>
              <w:rPr>
                <w:sz w:val="16"/>
                <w:vertAlign w:val="superscript"/>
              </w:rPr>
              <w:t>*</w:t>
            </w:r>
            <w:r>
              <w:rPr>
                <w:sz w:val="16"/>
              </w:rPr>
              <w:t xml:space="preserve"> (Prop. 3)</w:t>
            </w:r>
          </w:p>
        </w:tc>
        <w:tc>
          <w:tcPr>
            <w:tcW w:type="dxa" w:w="2016"/>
          </w:tcPr>
          <w:p>
            <w:pPr>
              <w:spacing w:line="240" w:lineRule="auto" w:after="20"/>
            </w:pPr>
            <w:r/>
            <w:r>
              <w:rPr>
                <w:sz w:val="16"/>
              </w:rPr>
              <w:t>Asymptotic (small conversion), verified to a few percent</w:t>
            </w:r>
          </w:p>
        </w:tc>
        <w:tc>
          <w:tcPr>
            <w:tcW w:type="dxa" w:w="2736"/>
          </w:tcPr>
          <w:p>
            <w:pPr>
              <w:spacing w:line="240" w:lineRule="auto" w:after="20"/>
            </w:pPr>
            <w:r/>
            <w:r>
              <w:rPr>
                <w:sz w:val="16"/>
              </w:rPr>
              <w:t>Gaussian spread; equal-mass independent capsules; probit approximation</w:t>
            </w:r>
          </w:p>
        </w:tc>
        <w:tc>
          <w:tcPr>
            <w:tcW w:type="dxa" w:w="2736"/>
          </w:tcPr>
          <w:p>
            <w:pPr>
              <w:spacing w:line="240" w:lineRule="auto" w:after="20"/>
            </w:pPr>
            <w:r/>
            <w:r>
              <w:rPr>
                <w:sz w:val="16"/>
              </w:rPr>
              <w:t>Large tolerance (ε ≳ 0.05); skewed or bimodal melting distributions; capsule–capsule heat exchange</w:t>
            </w:r>
          </w:p>
        </w:tc>
      </w:tr>
      <w:tr>
        <w:tc>
          <w:tcPr>
            <w:tcW w:type="dxa" w:w="2304"/>
          </w:tcPr>
          <w:p>
            <w:pPr>
              <w:spacing w:line="240" w:lineRule="auto" w:after="20"/>
            </w:pPr>
            <w:r/>
            <w:r>
              <w:rPr>
                <w:sz w:val="16"/>
              </w:rPr>
              <w:t>Critical number (Prop. 4)</w:t>
            </w:r>
          </w:p>
        </w:tc>
        <w:tc>
          <w:tcPr>
            <w:tcW w:type="dxa" w:w="2016"/>
          </w:tcPr>
          <w:p>
            <w:pPr>
              <w:spacing w:line="240" w:lineRule="auto" w:after="20"/>
            </w:pPr>
            <w:r/>
            <w:r>
              <w:rPr>
                <w:sz w:val="16"/>
              </w:rPr>
              <w:t>Asymptotic in Θ → 0 and Ar → ∞; verified numerically</w:t>
            </w:r>
          </w:p>
        </w:tc>
        <w:tc>
          <w:tcPr>
            <w:tcW w:type="dxa" w:w="2736"/>
          </w:tcPr>
          <w:p>
            <w:pPr>
              <w:spacing w:line="240" w:lineRule="auto" w:after="20"/>
            </w:pPr>
            <w:r/>
            <w:r>
              <w:rPr>
                <w:sz w:val="16"/>
              </w:rPr>
              <w:t>Exponential linearization at the fold; ungated bound</w:t>
            </w:r>
          </w:p>
        </w:tc>
        <w:tc>
          <w:tcPr>
            <w:tcW w:type="dxa" w:w="2736"/>
          </w:tcPr>
          <w:p>
            <w:pPr>
              <w:spacing w:line="240" w:lineRule="auto" w:after="20"/>
            </w:pPr>
            <w:r/>
            <w:r>
              <w:rPr>
                <w:sz w:val="16"/>
              </w:rPr>
              <w:t>Finite Θ shifts Π</w:t>
            </w:r>
            <w:r>
              <w:rPr>
                <w:sz w:val="16"/>
                <w:vertAlign w:val="subscript"/>
              </w:rPr>
              <w:t>c</w:t>
            </w:r>
            <w:r>
              <w:rPr>
                <w:sz w:val="16"/>
              </w:rPr>
              <w:t xml:space="preserve"> upward (computed, not closed-form); spatial gradients absent</w:t>
            </w:r>
          </w:p>
        </w:tc>
      </w:tr>
      <w:tr>
        <w:tc>
          <w:tcPr>
            <w:tcW w:type="dxa" w:w="2304"/>
          </w:tcPr>
          <w:p>
            <w:pPr>
              <w:spacing w:line="240" w:lineRule="auto" w:after="20"/>
            </w:pPr>
            <w:r/>
            <w:r>
              <w:rPr>
                <w:sz w:val="16"/>
              </w:rPr>
              <w:t>Arrhenius factor exp(1/Ar)</w:t>
            </w:r>
          </w:p>
        </w:tc>
        <w:tc>
          <w:tcPr>
            <w:tcW w:type="dxa" w:w="2016"/>
          </w:tcPr>
          <w:p>
            <w:pPr>
              <w:spacing w:line="240" w:lineRule="auto" w:after="20"/>
            </w:pPr>
            <w:r/>
            <w:r>
              <w:rPr>
                <w:sz w:val="16"/>
              </w:rPr>
              <w:t>First-order correction, verified</w:t>
            </w:r>
          </w:p>
        </w:tc>
        <w:tc>
          <w:tcPr>
            <w:tcW w:type="dxa" w:w="2736"/>
          </w:tcPr>
          <w:p>
            <w:pPr>
              <w:spacing w:line="240" w:lineRule="auto" w:after="20"/>
            </w:pPr>
            <w:r/>
            <w:r>
              <w:rPr>
                <w:sz w:val="16"/>
              </w:rPr>
              <w:t>Fold at x = 1/Ar</w:t>
            </w:r>
          </w:p>
        </w:tc>
        <w:tc>
          <w:tcPr>
            <w:tcW w:type="dxa" w:w="2736"/>
          </w:tcPr>
          <w:p>
            <w:pPr>
              <w:spacing w:line="240" w:lineRule="auto" w:after="20"/>
            </w:pPr>
            <w:r/>
            <w:r>
              <w:rPr>
                <w:sz w:val="16"/>
              </w:rPr>
              <w:t>Small Ar; higher-order terms</w:t>
            </w:r>
          </w:p>
        </w:tc>
      </w:tr>
      <w:tr>
        <w:tc>
          <w:tcPr>
            <w:tcW w:type="dxa" w:w="2304"/>
          </w:tcPr>
          <w:p>
            <w:pPr>
              <w:spacing w:line="240" w:lineRule="auto" w:after="20"/>
            </w:pPr>
            <w:r/>
            <w:r>
              <w:rPr>
                <w:sz w:val="16"/>
              </w:rPr>
              <w:t>Flow-reactor bistability (Prop. 5)</w:t>
            </w:r>
          </w:p>
        </w:tc>
        <w:tc>
          <w:tcPr>
            <w:tcW w:type="dxa" w:w="2016"/>
          </w:tcPr>
          <w:p>
            <w:pPr>
              <w:spacing w:line="240" w:lineRule="auto" w:after="20"/>
            </w:pPr>
            <w:r/>
            <w:r>
              <w:rPr>
                <w:sz w:val="16"/>
              </w:rPr>
              <w:t>Exact for the stated model</w:t>
            </w:r>
          </w:p>
        </w:tc>
        <w:tc>
          <w:tcPr>
            <w:tcW w:type="dxa" w:w="2736"/>
          </w:tcPr>
          <w:p>
            <w:pPr>
              <w:spacing w:line="240" w:lineRule="auto" w:after="20"/>
            </w:pPr>
            <w:r/>
            <w:r>
              <w:rPr>
                <w:sz w:val="16"/>
              </w:rPr>
              <w:t>Perfect mixing; exponential form; ungated</w:t>
            </w:r>
          </w:p>
        </w:tc>
        <w:tc>
          <w:tcPr>
            <w:tcW w:type="dxa" w:w="2736"/>
          </w:tcPr>
          <w:p>
            <w:pPr>
              <w:spacing w:line="240" w:lineRule="auto" w:after="20"/>
            </w:pPr>
            <w:r/>
            <w:r>
              <w:rPr>
                <w:sz w:val="16"/>
              </w:rPr>
              <w:t>Real reactors: finite mixing time, wall–fluid temperature difference</w:t>
            </w:r>
          </w:p>
        </w:tc>
      </w:tr>
      <w:tr>
        <w:tc>
          <w:tcPr>
            <w:tcW w:type="dxa" w:w="2304"/>
          </w:tcPr>
          <w:p>
            <w:pPr>
              <w:spacing w:line="240" w:lineRule="auto" w:after="20"/>
            </w:pPr>
            <w:r/>
            <w:r>
              <w:rPr>
                <w:sz w:val="16"/>
              </w:rPr>
              <w:t>Parameter recovery (III F)</w:t>
            </w:r>
          </w:p>
        </w:tc>
        <w:tc>
          <w:tcPr>
            <w:tcW w:type="dxa" w:w="2016"/>
          </w:tcPr>
          <w:p>
            <w:pPr>
              <w:spacing w:line="240" w:lineRule="auto" w:after="20"/>
            </w:pPr>
            <w:r/>
            <w:r>
              <w:rPr>
                <w:sz w:val="16"/>
              </w:rPr>
              <w:t>Numerical experiment</w:t>
            </w:r>
          </w:p>
        </w:tc>
        <w:tc>
          <w:tcPr>
            <w:tcW w:type="dxa" w:w="2736"/>
          </w:tcPr>
          <w:p>
            <w:pPr>
              <w:spacing w:line="240" w:lineRule="auto" w:after="20"/>
            </w:pPr>
            <w:r/>
            <w:r>
              <w:rPr>
                <w:sz w:val="16"/>
              </w:rPr>
              <w:t>Gaussian noise; population ODE as truth</w:t>
            </w:r>
          </w:p>
        </w:tc>
        <w:tc>
          <w:tcPr>
            <w:tcW w:type="dxa" w:w="2736"/>
          </w:tcPr>
          <w:p>
            <w:pPr>
              <w:spacing w:line="240" w:lineRule="auto" w:after="20"/>
            </w:pPr>
            <w:r/>
            <w:r>
              <w:rPr>
                <w:sz w:val="16"/>
              </w:rPr>
              <w:t>Not a test on real calorimetry</w:t>
            </w:r>
          </w:p>
        </w:tc>
      </w:tr>
    </w:tbl>
    <w:p>
      <w:pPr>
        <w:spacing w:after="40"/>
      </w:pPr>
    </w:p>
    <w:p>
      <w:pPr>
        <w:keepNext w:val="0"/>
        <w:jc w:val="both"/>
      </w:pPr>
      <w:r>
        <w:t>Three approximations carry the paper: the lumped, well-mixed energy balance; the exponential linearization of the Arrhenius law at the fold; and the Gaussian, independent-capsule description of the population. The first is a deliberate scope limit and the second is quantified (Table 5); the third is tested only against the population equations that use the same description.</w:t>
      </w:r>
    </w:p>
    <w:p>
      <w:pPr>
        <w:pStyle w:val="Heading1"/>
      </w:pPr>
      <w:r>
        <w:rPr>
          <w:rFonts w:ascii="Times New Roman" w:hAnsi="Times New Roman"/>
        </w:rPr>
        <w:t>V. Falsifiable signatures</w:t>
      </w:r>
    </w:p>
    <w:p>
      <w:pPr>
        <w:keepNext w:val="0"/>
        <w:jc w:val="both"/>
      </w:pPr>
      <w:r>
        <w:t xml:space="preserve">Each proposition predicts a measurement that a standard calorimetric or rheological experiment can make, none of which has been made here. (1) </w:t>
      </w:r>
      <w:r>
        <w:rPr>
          <w:i/>
        </w:rPr>
        <w:t>Constant delay.</w:t>
      </w:r>
      <w:r>
        <w:t xml:space="preserve"> Isothermal DSC at several temperatures above the melting endotherm, comparing the gated resin with the same resin with the catalyst dissolved, should show a delay that is independent of the conversion level and equal to τ</w:t>
      </w:r>
      <w:r>
        <w:rPr>
          <w:vertAlign w:val="subscript"/>
        </w:rPr>
        <w:t>rel</w:t>
      </w:r>
      <w:r>
        <w:t xml:space="preserve">(T) (Proposition 1); a delay that depends on α falsifies the single-availability-function description. (2) </w:t>
      </w:r>
      <w:r>
        <w:rPr>
          <w:i/>
        </w:rPr>
        <w:t>Storage design rule.</w:t>
      </w:r>
      <w:r>
        <w:t xml:space="preserve"> The melting endotherm gives T</w:t>
      </w:r>
      <w:r>
        <w:rPr>
          <w:vertAlign w:val="subscript"/>
        </w:rPr>
        <w:t>m</w:t>
      </w:r>
      <w:r>
        <w:t xml:space="preserve"> and σ; isothermal storage at a margin Δ for a time t should then give a conversion within a few tens of percent of Proposition 3, and a conversion that is systematically larger would indicate a tail of capsules with low melting temperature that the Gaussian description misses. (3) </w:t>
      </w:r>
      <w:r>
        <w:rPr>
          <w:i/>
        </w:rPr>
        <w:t>Critical thermal time constant.</w:t>
      </w:r>
      <w:r>
        <w:t xml:space="preserve"> At fixed T</w:t>
      </w:r>
      <w:r>
        <w:rPr>
          <w:vertAlign w:val="subscript"/>
        </w:rPr>
        <w:t>∞</w:t>
      </w:r>
      <w:r>
        <w:t>, specimens of increasing thickness (τ</w:t>
      </w:r>
      <w:r>
        <w:rPr>
          <w:vertAlign w:val="subscript"/>
        </w:rPr>
        <w:t>th</w:t>
      </w:r>
      <w:r>
        <w:t xml:space="preserve"> grows as thickness squared) should show an abrupt rise of the overshoot at τ</w:t>
      </w:r>
      <w:r>
        <w:rPr>
          <w:vertAlign w:val="subscript"/>
        </w:rPr>
        <w:t>th</w:t>
      </w:r>
      <w:r>
        <w:t xml:space="preserve"> = Π</w:t>
      </w:r>
      <w:r>
        <w:rPr>
          <w:vertAlign w:val="subscript"/>
        </w:rPr>
        <w:t>c</w:t>
      </w:r>
      <w:r>
        <w:t>/(ψ k</w:t>
      </w:r>
      <w:r>
        <w:rPr>
          <w:vertAlign w:val="subscript"/>
        </w:rPr>
        <w:t>2</w:t>
      </w:r>
      <w:r>
        <w:t>) (Proposition 4); the abruptness, from O(Θ) to O(ΔT</w:t>
      </w:r>
      <w:r>
        <w:rPr>
          <w:vertAlign w:val="subscript"/>
        </w:rPr>
        <w:t>ad</w:t>
      </w:r>
      <w:r>
        <w:t xml:space="preserve">), is the signature of the fold. (4) </w:t>
      </w:r>
      <w:r>
        <w:rPr>
          <w:i/>
        </w:rPr>
        <w:t>Static hysteresis.</w:t>
      </w:r>
      <w:r>
        <w:t xml:space="preserve"> In a flow reactor, the loop of conversion against flow rate (or against temperature at fixed flow) should persist after extrapolation of its area to zero sweep rate when κ &gt; κ</w:t>
      </w:r>
      <w:r>
        <w:rPr>
          <w:vertAlign w:val="subscript"/>
        </w:rPr>
        <w:t>c</w:t>
      </w:r>
      <w:r>
        <w:t>, and should vanish after extrapolation when κ &lt; κ</w:t>
      </w:r>
      <w:r>
        <w:rPr>
          <w:vertAlign w:val="subscript"/>
        </w:rPr>
        <w:t>c</w:t>
      </w:r>
      <w:r>
        <w:t>; a loop that closes as the sweep slows is rate-dependent and not bistability.</w:t>
      </w:r>
    </w:p>
    <w:p>
      <w:pPr>
        <w:pStyle w:val="Heading1"/>
      </w:pPr>
      <w:r>
        <w:rPr>
          <w:rFonts w:ascii="Times New Roman" w:hAnsi="Times New Roman"/>
        </w:rPr>
        <w:t>VI. Open problems</w:t>
      </w:r>
    </w:p>
    <w:p>
      <w:pPr>
        <w:keepNext w:val="0"/>
        <w:jc w:val="both"/>
      </w:pPr>
      <w:r>
        <w:t xml:space="preserve">(a) </w:t>
      </w:r>
      <w:r>
        <w:rPr>
          <w:i/>
        </w:rPr>
        <w:t>Spatial extension.</w:t>
      </w:r>
      <w:r>
        <w:t xml:space="preserve"> The lumped balance replaces the classical slab, cylinder or sphere. The critical Frank-Kamenetskii parameter of a consuming, autocatalytic source in a spatially resolved specimen, and its relation to Π</w:t>
      </w:r>
      <w:r>
        <w:rPr>
          <w:vertAlign w:val="subscript"/>
        </w:rPr>
        <w:t>c</w:t>
      </w:r>
      <w:r>
        <w:t xml:space="preserve"> above, are open. (b) </w:t>
      </w:r>
      <w:r>
        <w:rPr>
          <w:i/>
        </w:rPr>
        <w:t>Finite-Θ correction.</w:t>
      </w:r>
      <w:r>
        <w:t xml:space="preserve"> The upward shift of Π</w:t>
      </w:r>
      <w:r>
        <w:rPr>
          <w:vertAlign w:val="subscript"/>
        </w:rPr>
        <w:t>c</w:t>
      </w:r>
      <w:r>
        <w:t xml:space="preserve"> with Θ is computed numerically; a closed-form first correction would complete Proposition 4. (c) </w:t>
      </w:r>
      <w:r>
        <w:rPr>
          <w:i/>
        </w:rPr>
        <w:t>Non-Gaussian populations.</w:t>
      </w:r>
      <w:r>
        <w:t xml:space="preserve"> Proposition 3 needs only the lower tail of the melting-temperature distribution; skewed and bimodal distributions, and capsule–capsule heat exchange, are untested. (d) </w:t>
      </w:r>
      <w:r>
        <w:rPr>
          <w:i/>
        </w:rPr>
        <w:t>Diffusion control and vitrification.</w:t>
      </w:r>
      <w:r>
        <w:t xml:space="preserve"> These stop the cure before completion and change the late-time tail of Proposition 2. (e) </w:t>
      </w:r>
      <w:r>
        <w:rPr>
          <w:i/>
        </w:rPr>
        <w:t>Noise.</w:t>
      </w:r>
      <w:r>
        <w:t xml:space="preserve"> In small specimens or flow channels the fold may be crossed by fluctuations; the first-passage statistics are unexplored. (f) </w:t>
      </w:r>
      <w:r>
        <w:rPr>
          <w:i/>
        </w:rPr>
        <w:t>Experiment.</w:t>
      </w:r>
      <w:r>
        <w:t xml:space="preserve"> The propositions are untested on a real encapsulated system; the signatures of Section V are the proposed tests.</w:t>
      </w:r>
    </w:p>
    <w:p>
      <w:pPr>
        <w:pStyle w:val="Heading1"/>
      </w:pPr>
      <w:r>
        <w:rPr>
          <w:rFonts w:ascii="Times New Roman" w:hAnsi="Times New Roman"/>
        </w:rPr>
        <w:t>VII. Conclusion</w:t>
      </w:r>
    </w:p>
    <w:p>
      <w:pPr>
        <w:keepNext w:val="0"/>
        <w:jc w:val="both"/>
      </w:pPr>
      <w:r>
        <w:t>A melt-gated autocatalytic cure with exothermic feedback is, in the lumped limit, far more solvable than its numerical treatment suggests. The gate acts as a clock shift (Proposition 1), the isothermal cure is exact by quadrature and its sharpness is logarithmic in the rate-constant ratio (Proposition 2), the storage stability of a capsule population reduces to a Gaussian tail and a one-dimensional integral that inverts into a design rule (Proposition 3), thermal runaway is a fold with the closed-form critical number e⁻¹(1+n)</w:t>
      </w:r>
      <w:r>
        <w:rPr>
          <w:vertAlign w:val="superscript"/>
        </w:rPr>
        <w:t>1+n</w:t>
      </w:r>
      <w:r>
        <w:t>/n</w:t>
      </w:r>
      <w:r>
        <w:rPr>
          <w:vertAlign w:val="superscript"/>
        </w:rPr>
        <w:t>n</w:t>
      </w:r>
      <w:r>
        <w:t xml:space="preserve"> and an Arrhenius correction exp(1/Ar) (Proposition 4), and the continuous-flow reactor adds an ignition–extinction hysteresis with a computable existence threshold (Proposition 5). All results are tested against the full equations; none is tested against experiment, and the parameters are illustrative.</w:t>
      </w:r>
    </w:p>
    <w:p>
      <w:pPr>
        <w:pStyle w:val="Heading1"/>
      </w:pPr>
      <w:r>
        <w:rPr>
          <w:rFonts w:ascii="Times New Roman" w:hAnsi="Times New Roman"/>
        </w:rPr>
        <w:t>Declarations</w:t>
      </w:r>
    </w:p>
    <w:p>
      <w:pPr>
        <w:keepNext w:val="0"/>
        <w:jc w:val="both"/>
      </w:pPr>
      <w:r>
        <w:rPr>
          <w:b/>
        </w:rPr>
        <w:t>Funding.</w:t>
      </w:r>
      <w:r>
        <w:t xml:space="preserve"> The author received no funding for this work.</w:t>
      </w:r>
    </w:p>
    <w:p>
      <w:pPr>
        <w:keepNext w:val="0"/>
        <w:jc w:val="both"/>
      </w:pPr>
      <w:r>
        <w:rPr>
          <w:b/>
        </w:rPr>
        <w:t>Competing interests.</w:t>
      </w:r>
      <w:r>
        <w:t xml:space="preserve"> The author declares no competing interests.</w:t>
      </w:r>
    </w:p>
    <w:p>
      <w:pPr>
        <w:keepNext w:val="0"/>
        <w:jc w:val="both"/>
      </w:pPr>
      <w:r>
        <w:rPr>
          <w:b/>
        </w:rPr>
        <w:t>Author contributions.</w:t>
      </w:r>
      <w:r>
        <w:t xml:space="preserve"> Leon Sandler: conceptualization, methodology, software, formal analysis, investigation, writing – original draft, writing – review and editing, visualization.</w:t>
      </w:r>
    </w:p>
    <w:p>
      <w:pPr>
        <w:keepNext w:val="0"/>
        <w:jc w:val="both"/>
      </w:pPr>
      <w:r>
        <w:rPr>
          <w:b/>
        </w:rPr>
        <w:t>Use of artificial intelligence.</w:t>
      </w:r>
      <w:r>
        <w:t xml:space="preserve"> A large language model (Claude, Anthropic) assisted with derivations, code, figures and drafting. The author reviewed and edited the content, checked every closed-form result against the numerical model, resolved every journal reference through Crossref, and takes full responsibility for the paper. No such tool is an author, and none was used to generate or alter data.</w:t>
      </w:r>
    </w:p>
    <w:p>
      <w:pPr>
        <w:keepNext w:val="0"/>
        <w:jc w:val="both"/>
      </w:pPr>
      <w:r>
        <w:rPr>
          <w:b/>
        </w:rPr>
        <w:t>Data and code availability.</w:t>
      </w:r>
      <w:r>
        <w:t xml:space="preserve"> The model code, the closed-form module, the tests, the figure scripts, the results file and the manuscript builder are available at https://github.com/sandlerleon/gated-autocatalysis-criticality and archived on Zenodo at https://doi.org/10.5281/zenodo.23201763; this manuscript is archived as a preprint at https://doi.org/10.5281/zenodo.23201767.</w:t>
      </w:r>
    </w:p>
    <w:p>
      <w:pPr>
        <w:pStyle w:val="Heading1"/>
      </w:pPr>
      <w:r>
        <w:rPr>
          <w:rFonts w:ascii="Times New Roman" w:hAnsi="Times New Roman"/>
        </w:rPr>
        <w:t>Appendix A. Numerical protocol and run table</w:t>
      </w:r>
    </w:p>
    <w:p>
      <w:pPr>
        <w:keepNext w:val="0"/>
        <w:jc w:val="both"/>
      </w:pPr>
      <w:r>
        <w:t>The reference model integrates Eqs. (1)–(3) for all scenarios at once with a vectorized fixed-step fourth-order Runge–Kutta scheme (step 0.01–0.05 min; reaction heat is set to zero once α ≥ 0.999 so that energy is conserved). Capsule populations use K = 801 deterministic Gaussian quantiles of the melting temperature. The thermal-feedback and flow-reactor problems are integrated with an adaptive stiff solver (LSODA, relative tolerance 10</w:t>
      </w:r>
      <w:r>
        <w:rPr>
          <w:vertAlign w:val="superscript"/>
        </w:rPr>
        <w:t>−8</w:t>
      </w:r>
      <w:r>
        <w:t>–10</w:t>
      </w:r>
      <w:r>
        <w:rPr>
          <w:vertAlign w:val="superscript"/>
        </w:rPr>
        <w:t>−9</w:t>
      </w:r>
      <w:r>
        <w:t>). Thresholds are bisected to the stated tolerance. Nothing is stochastic except the synthetic-noise test (seed 20261007; 200 realizations).</w:t>
      </w:r>
    </w:p>
    <w:p>
      <w:pPr>
        <w:keepNext/>
        <w:spacing w:line="276" w:lineRule="auto" w:after="200"/>
      </w:pPr>
      <w:r>
        <w:rPr>
          <w:b/>
          <w:sz w:val="19"/>
        </w:rPr>
        <w:t>Table 7</w:t>
      </w:r>
      <w:r>
        <w:rPr>
          <w:sz w:val="19"/>
        </w:rPr>
        <w:t xml:space="preserve"> Run table of the numerical studies; every result is reproduced by code/run_all.py.</w:t>
      </w:r>
    </w:p>
    <w:tbl>
      <w:tblPr>
        <w:tblStyle w:val="TableGrid"/>
        <w:tblW w:type="auto" w:w="0"/>
        <w:jc w:val="center"/>
        <w:tblLayout w:type="fixed"/>
        <w:tblLook w:firstColumn="1" w:firstRow="1" w:lastColumn="0" w:lastRow="0" w:noHBand="0" w:noVBand="1" w:val="04A0"/>
      </w:tblPr>
      <w:tblGrid>
        <w:gridCol w:w="2160"/>
        <w:gridCol w:w="2880"/>
        <w:gridCol w:w="2880"/>
        <w:gridCol w:w="2016"/>
      </w:tblGrid>
      <w:tr>
        <w:trPr>
          <w:tblHeader w:val="true"/>
        </w:trPr>
        <w:tc>
          <w:tcPr>
            <w:tcW w:type="dxa" w:w="2160"/>
            <w:shd w:val="clear" w:color="auto" w:fill="E7ECF1"/>
          </w:tcPr>
          <w:p>
            <w:pPr>
              <w:spacing w:line="240" w:lineRule="auto" w:after="20"/>
            </w:pPr>
            <w:r/>
            <w:r>
              <w:rPr>
                <w:b/>
                <w:sz w:val="16"/>
              </w:rPr>
              <w:t>Study</w:t>
            </w:r>
          </w:p>
        </w:tc>
        <w:tc>
          <w:tcPr>
            <w:tcW w:type="dxa" w:w="2880"/>
            <w:shd w:val="clear" w:color="auto" w:fill="E7ECF1"/>
          </w:tcPr>
          <w:p>
            <w:pPr>
              <w:spacing w:line="240" w:lineRule="auto" w:after="20"/>
            </w:pPr>
            <w:r/>
            <w:r>
              <w:rPr>
                <w:b/>
                <w:sz w:val="16"/>
              </w:rPr>
              <w:t>Method</w:t>
            </w:r>
          </w:p>
        </w:tc>
        <w:tc>
          <w:tcPr>
            <w:tcW w:type="dxa" w:w="2880"/>
            <w:shd w:val="clear" w:color="auto" w:fill="E7ECF1"/>
          </w:tcPr>
          <w:p>
            <w:pPr>
              <w:spacing w:line="240" w:lineRule="auto" w:after="20"/>
            </w:pPr>
            <w:r/>
            <w:r>
              <w:rPr>
                <w:b/>
                <w:sz w:val="16"/>
              </w:rPr>
              <w:t>Grid</w:t>
            </w:r>
          </w:p>
        </w:tc>
        <w:tc>
          <w:tcPr>
            <w:tcW w:type="dxa" w:w="2016"/>
            <w:shd w:val="clear" w:color="auto" w:fill="E7ECF1"/>
          </w:tcPr>
          <w:p>
            <w:pPr>
              <w:spacing w:line="240" w:lineRule="auto" w:after="20"/>
            </w:pPr>
            <w:r/>
            <w:r>
              <w:rPr>
                <w:b/>
                <w:sz w:val="16"/>
              </w:rPr>
              <w:t>Compared with</w:t>
            </w:r>
          </w:p>
        </w:tc>
      </w:tr>
      <w:tr>
        <w:tc>
          <w:tcPr>
            <w:tcW w:type="dxa" w:w="2160"/>
          </w:tcPr>
          <w:p>
            <w:pPr>
              <w:spacing w:line="240" w:lineRule="auto" w:after="20"/>
            </w:pPr>
            <w:r/>
            <w:r>
              <w:rPr>
                <w:sz w:val="16"/>
              </w:rPr>
              <w:t>Availability clock</w:t>
            </w:r>
          </w:p>
        </w:tc>
        <w:tc>
          <w:tcPr>
            <w:tcW w:type="dxa" w:w="2880"/>
          </w:tcPr>
          <w:p>
            <w:pPr>
              <w:spacing w:line="240" w:lineRule="auto" w:after="20"/>
            </w:pPr>
            <w:r/>
            <w:r>
              <w:rPr>
                <w:sz w:val="16"/>
              </w:rPr>
              <w:t>RK4, constant T, step 0.01 min</w:t>
            </w:r>
          </w:p>
        </w:tc>
        <w:tc>
          <w:tcPr>
            <w:tcW w:type="dxa" w:w="2880"/>
          </w:tcPr>
          <w:p>
            <w:pPr>
              <w:spacing w:line="240" w:lineRule="auto" w:after="20"/>
            </w:pPr>
            <w:r/>
            <w:r>
              <w:rPr>
                <w:sz w:val="16"/>
              </w:rPr>
              <w:t>T = 125, 140, 155 °C; α = 0.1, 0.5, 0.9</w:t>
            </w:r>
          </w:p>
        </w:tc>
        <w:tc>
          <w:tcPr>
            <w:tcW w:type="dxa" w:w="2016"/>
          </w:tcPr>
          <w:p>
            <w:pPr>
              <w:spacing w:line="240" w:lineRule="auto" w:after="20"/>
            </w:pPr>
            <w:r/>
            <w:r>
              <w:rPr>
                <w:sz w:val="16"/>
              </w:rPr>
              <w:t>Closed form</w:t>
            </w:r>
          </w:p>
        </w:tc>
      </w:tr>
      <w:tr>
        <w:tc>
          <w:tcPr>
            <w:tcW w:type="dxa" w:w="2160"/>
          </w:tcPr>
          <w:p>
            <w:pPr>
              <w:spacing w:line="240" w:lineRule="auto" w:after="20"/>
            </w:pPr>
            <w:r/>
            <w:r>
              <w:rPr>
                <w:sz w:val="16"/>
              </w:rPr>
              <w:t>Isothermal cure</w:t>
            </w:r>
          </w:p>
        </w:tc>
        <w:tc>
          <w:tcPr>
            <w:tcW w:type="dxa" w:w="2880"/>
          </w:tcPr>
          <w:p>
            <w:pPr>
              <w:spacing w:line="240" w:lineRule="auto" w:after="20"/>
            </w:pPr>
            <w:r/>
            <w:r>
              <w:rPr>
                <w:sz w:val="16"/>
              </w:rPr>
              <w:t>RK4, step 0.01 min</w:t>
            </w:r>
          </w:p>
        </w:tc>
        <w:tc>
          <w:tcPr>
            <w:tcW w:type="dxa" w:w="2880"/>
          </w:tcPr>
          <w:p>
            <w:pPr>
              <w:spacing w:line="240" w:lineRule="auto" w:after="20"/>
            </w:pPr>
            <w:r/>
            <w:r>
              <w:rPr>
                <w:sz w:val="16"/>
              </w:rPr>
              <w:t>T = 110–155 °C; n = 1, 1.5</w:t>
            </w:r>
          </w:p>
        </w:tc>
        <w:tc>
          <w:tcPr>
            <w:tcW w:type="dxa" w:w="2016"/>
          </w:tcPr>
          <w:p>
            <w:pPr>
              <w:spacing w:line="240" w:lineRule="auto" w:after="20"/>
            </w:pPr>
            <w:r/>
            <w:r>
              <w:rPr>
                <w:sz w:val="16"/>
              </w:rPr>
              <w:t>Quadrature; n = 1 closed form; law</w:t>
            </w:r>
          </w:p>
        </w:tc>
      </w:tr>
      <w:tr>
        <w:tc>
          <w:tcPr>
            <w:tcW w:type="dxa" w:w="2160"/>
          </w:tcPr>
          <w:p>
            <w:pPr>
              <w:spacing w:line="240" w:lineRule="auto" w:after="20"/>
            </w:pPr>
            <w:r/>
            <w:r>
              <w:rPr>
                <w:sz w:val="16"/>
              </w:rPr>
              <w:t>Storage conversion</w:t>
            </w:r>
          </w:p>
        </w:tc>
        <w:tc>
          <w:tcPr>
            <w:tcW w:type="dxa" w:w="2880"/>
          </w:tcPr>
          <w:p>
            <w:pPr>
              <w:spacing w:line="240" w:lineRule="auto" w:after="20"/>
            </w:pPr>
            <w:r/>
            <w:r>
              <w:rPr>
                <w:sz w:val="16"/>
              </w:rPr>
              <w:t>RK4 population (K = 801), step 0.05 min</w:t>
            </w:r>
          </w:p>
        </w:tc>
        <w:tc>
          <w:tcPr>
            <w:tcW w:type="dxa" w:w="2880"/>
          </w:tcPr>
          <w:p>
            <w:pPr>
              <w:spacing w:line="240" w:lineRule="auto" w:after="20"/>
            </w:pPr>
            <w:r/>
            <w:r>
              <w:rPr>
                <w:sz w:val="16"/>
              </w:rPr>
              <w:t>Δ = 3, 6, 10 °C; σ = 2–10 °C; t = 150 min</w:t>
            </w:r>
          </w:p>
        </w:tc>
        <w:tc>
          <w:tcPr>
            <w:tcW w:type="dxa" w:w="2016"/>
          </w:tcPr>
          <w:p>
            <w:pPr>
              <w:spacing w:line="240" w:lineRule="auto" w:after="20"/>
            </w:pPr>
            <w:r/>
            <w:r>
              <w:rPr>
                <w:sz w:val="16"/>
              </w:rPr>
              <w:t>Closed form</w:t>
            </w:r>
          </w:p>
        </w:tc>
      </w:tr>
      <w:tr>
        <w:tc>
          <w:tcPr>
            <w:tcW w:type="dxa" w:w="2160"/>
          </w:tcPr>
          <w:p>
            <w:pPr>
              <w:spacing w:line="240" w:lineRule="auto" w:after="20"/>
            </w:pPr>
            <w:r/>
            <w:r>
              <w:rPr>
                <w:sz w:val="16"/>
              </w:rPr>
              <w:t>Design rule</w:t>
            </w:r>
          </w:p>
        </w:tc>
        <w:tc>
          <w:tcPr>
            <w:tcW w:type="dxa" w:w="2880"/>
          </w:tcPr>
          <w:p>
            <w:pPr>
              <w:spacing w:line="240" w:lineRule="auto" w:after="20"/>
            </w:pPr>
            <w:r/>
            <w:r>
              <w:rPr>
                <w:sz w:val="16"/>
              </w:rPr>
              <w:t>Root-finding on the population ODE</w:t>
            </w:r>
          </w:p>
        </w:tc>
        <w:tc>
          <w:tcPr>
            <w:tcW w:type="dxa" w:w="2880"/>
          </w:tcPr>
          <w:p>
            <w:pPr>
              <w:spacing w:line="240" w:lineRule="auto" w:after="20"/>
            </w:pPr>
            <w:r/>
            <w:r>
              <w:rPr>
                <w:sz w:val="16"/>
              </w:rPr>
              <w:t>Δ = 3, 6, 10 °C; ε = 0.001, 0.01, 0.05</w:t>
            </w:r>
          </w:p>
        </w:tc>
        <w:tc>
          <w:tcPr>
            <w:tcW w:type="dxa" w:w="2016"/>
          </w:tcPr>
          <w:p>
            <w:pPr>
              <w:spacing w:line="240" w:lineRule="auto" w:after="20"/>
            </w:pPr>
            <w:r/>
            <w:r>
              <w:rPr>
                <w:sz w:val="16"/>
              </w:rPr>
              <w:t>Closed form</w:t>
            </w:r>
          </w:p>
        </w:tc>
      </w:tr>
      <w:tr>
        <w:tc>
          <w:tcPr>
            <w:tcW w:type="dxa" w:w="2160"/>
          </w:tcPr>
          <w:p>
            <w:pPr>
              <w:spacing w:line="240" w:lineRule="auto" w:after="20"/>
            </w:pPr>
            <w:r/>
            <w:r>
              <w:rPr>
                <w:sz w:val="16"/>
              </w:rPr>
              <w:t>Criticality (exponential form)</w:t>
            </w:r>
          </w:p>
        </w:tc>
        <w:tc>
          <w:tcPr>
            <w:tcW w:type="dxa" w:w="2880"/>
          </w:tcPr>
          <w:p>
            <w:pPr>
              <w:spacing w:line="240" w:lineRule="auto" w:after="20"/>
            </w:pPr>
            <w:r/>
            <w:r>
              <w:rPr>
                <w:sz w:val="16"/>
              </w:rPr>
              <w:t>LSODA, bisection (30 steps)</w:t>
            </w:r>
          </w:p>
        </w:tc>
        <w:tc>
          <w:tcPr>
            <w:tcW w:type="dxa" w:w="2880"/>
          </w:tcPr>
          <w:p>
            <w:pPr>
              <w:spacing w:line="240" w:lineRule="auto" w:after="20"/>
            </w:pPr>
            <w:r/>
            <w:r>
              <w:rPr>
                <w:sz w:val="16"/>
              </w:rPr>
              <w:t>n = 1, 1.5, 2; Θ = 0.1–0.003</w:t>
            </w:r>
          </w:p>
        </w:tc>
        <w:tc>
          <w:tcPr>
            <w:tcW w:type="dxa" w:w="2016"/>
          </w:tcPr>
          <w:p>
            <w:pPr>
              <w:spacing w:line="240" w:lineRule="auto" w:after="20"/>
            </w:pPr>
            <w:r/>
            <w:r>
              <w:rPr>
                <w:sz w:val="16"/>
              </w:rPr>
              <w:t>e⁻¹(1+n)</w:t>
            </w:r>
            <w:r>
              <w:rPr>
                <w:sz w:val="16"/>
                <w:vertAlign w:val="superscript"/>
              </w:rPr>
              <w:t>1+n</w:t>
            </w:r>
            <w:r>
              <w:rPr>
                <w:sz w:val="16"/>
              </w:rPr>
              <w:t>/n</w:t>
            </w:r>
            <w:r>
              <w:rPr>
                <w:sz w:val="16"/>
                <w:vertAlign w:val="superscript"/>
              </w:rPr>
              <w:t>n</w:t>
            </w:r>
          </w:p>
        </w:tc>
      </w:tr>
      <w:tr>
        <w:tc>
          <w:tcPr>
            <w:tcW w:type="dxa" w:w="2160"/>
          </w:tcPr>
          <w:p>
            <w:pPr>
              <w:spacing w:line="240" w:lineRule="auto" w:after="20"/>
            </w:pPr>
            <w:r/>
            <w:r>
              <w:rPr>
                <w:sz w:val="16"/>
              </w:rPr>
              <w:t>Criticality (Arrhenius)</w:t>
            </w:r>
          </w:p>
        </w:tc>
        <w:tc>
          <w:tcPr>
            <w:tcW w:type="dxa" w:w="2880"/>
          </w:tcPr>
          <w:p>
            <w:pPr>
              <w:spacing w:line="240" w:lineRule="auto" w:after="20"/>
            </w:pPr>
            <w:r/>
            <w:r>
              <w:rPr>
                <w:sz w:val="16"/>
              </w:rPr>
              <w:t>LSODA, bisection (26 steps)</w:t>
            </w:r>
          </w:p>
        </w:tc>
        <w:tc>
          <w:tcPr>
            <w:tcW w:type="dxa" w:w="2880"/>
          </w:tcPr>
          <w:p>
            <w:pPr>
              <w:spacing w:line="240" w:lineRule="auto" w:after="20"/>
            </w:pPr>
            <w:r/>
            <w:r>
              <w:rPr>
                <w:sz w:val="16"/>
              </w:rPr>
              <w:t>T = 120, 140, 160 °C; Θ = 0.01–0.1</w:t>
            </w:r>
          </w:p>
        </w:tc>
        <w:tc>
          <w:tcPr>
            <w:tcW w:type="dxa" w:w="2016"/>
          </w:tcPr>
          <w:p>
            <w:pPr>
              <w:spacing w:line="240" w:lineRule="auto" w:after="20"/>
            </w:pPr>
            <w:r/>
            <w:r>
              <w:rPr>
                <w:sz w:val="16"/>
              </w:rPr>
              <w:t>FK(Θ) exp(1/Ar)</w:t>
            </w:r>
          </w:p>
        </w:tc>
      </w:tr>
      <w:tr>
        <w:tc>
          <w:tcPr>
            <w:tcW w:type="dxa" w:w="2160"/>
          </w:tcPr>
          <w:p>
            <w:pPr>
              <w:spacing w:line="240" w:lineRule="auto" w:after="20"/>
            </w:pPr>
            <w:r/>
            <w:r>
              <w:rPr>
                <w:sz w:val="16"/>
              </w:rPr>
              <w:t>Flow reactor</w:t>
            </w:r>
          </w:p>
        </w:tc>
        <w:tc>
          <w:tcPr>
            <w:tcW w:type="dxa" w:w="2880"/>
          </w:tcPr>
          <w:p>
            <w:pPr>
              <w:spacing w:line="240" w:lineRule="auto" w:after="20"/>
            </w:pPr>
            <w:r/>
            <w:r>
              <w:rPr>
                <w:sz w:val="16"/>
              </w:rPr>
              <w:t>LSODA sweeps</w:t>
            </w:r>
          </w:p>
        </w:tc>
        <w:tc>
          <w:tcPr>
            <w:tcW w:type="dxa" w:w="2880"/>
          </w:tcPr>
          <w:p>
            <w:pPr>
              <w:spacing w:line="240" w:lineRule="auto" w:after="20"/>
            </w:pPr>
            <w:r/>
            <w:r>
              <w:rPr>
                <w:sz w:val="16"/>
              </w:rPr>
              <w:t>ψ = 3, 4.5, 20; v = 0.05–0.005</w:t>
            </w:r>
          </w:p>
        </w:tc>
        <w:tc>
          <w:tcPr>
            <w:tcW w:type="dxa" w:w="2016"/>
          </w:tcPr>
          <w:p>
            <w:pPr>
              <w:spacing w:line="240" w:lineRule="auto" w:after="20"/>
            </w:pPr>
            <w:r/>
            <w:r>
              <w:rPr>
                <w:sz w:val="16"/>
              </w:rPr>
              <w:t>Static loop area</w:t>
            </w:r>
          </w:p>
        </w:tc>
      </w:tr>
      <w:tr>
        <w:tc>
          <w:tcPr>
            <w:tcW w:type="dxa" w:w="2160"/>
          </w:tcPr>
          <w:p>
            <w:pPr>
              <w:spacing w:line="240" w:lineRule="auto" w:after="20"/>
            </w:pPr>
            <w:r/>
            <w:r>
              <w:rPr>
                <w:sz w:val="16"/>
              </w:rPr>
              <w:t>Parameter recovery</w:t>
            </w:r>
          </w:p>
        </w:tc>
        <w:tc>
          <w:tcPr>
            <w:tcW w:type="dxa" w:w="2880"/>
          </w:tcPr>
          <w:p>
            <w:pPr>
              <w:spacing w:line="240" w:lineRule="auto" w:after="20"/>
            </w:pPr>
            <w:r/>
            <w:r>
              <w:rPr>
                <w:sz w:val="16"/>
              </w:rPr>
              <w:t>Least squares, 200 noise draws</w:t>
            </w:r>
          </w:p>
        </w:tc>
        <w:tc>
          <w:tcPr>
            <w:tcW w:type="dxa" w:w="2880"/>
          </w:tcPr>
          <w:p>
            <w:pPr>
              <w:spacing w:line="240" w:lineRule="auto" w:after="20"/>
            </w:pPr>
            <w:r/>
            <w:r>
              <w:rPr>
                <w:sz w:val="16"/>
              </w:rPr>
              <w:t>3 temperatures × 5 times</w:t>
            </w:r>
          </w:p>
        </w:tc>
        <w:tc>
          <w:tcPr>
            <w:tcW w:type="dxa" w:w="2016"/>
          </w:tcPr>
          <w:p>
            <w:pPr>
              <w:spacing w:line="240" w:lineRule="auto" w:after="20"/>
            </w:pPr>
            <w:r/>
            <w:r>
              <w:rPr>
                <w:sz w:val="16"/>
              </w:rPr>
              <w:t>Truth</w:t>
            </w:r>
          </w:p>
        </w:tc>
      </w:tr>
    </w:tbl>
    <w:p>
      <w:pPr>
        <w:spacing w:after="40"/>
      </w:pPr>
    </w:p>
    <w:p>
      <w:pPr>
        <w:pStyle w:val="Heading1"/>
      </w:pPr>
      <w:r>
        <w:rPr>
          <w:rFonts w:ascii="Times New Roman" w:hAnsi="Times New Roman"/>
        </w:rPr>
        <w:t>References</w:t>
      </w:r>
    </w:p>
    <w:p>
      <w:pPr>
        <w:spacing w:after="60"/>
      </w:pPr>
      <w:r>
        <w:rPr>
          <w:sz w:val="20"/>
        </w:rPr>
        <w:t>[1] White SR, Sottos NR, Geubelle PH, Moore JS, Kessler MR, Sriram SR, et al. Autonomic healing of polymer composites. Nature. 2001;409:794–797. https://doi.org/10.1038/35057232</w:t>
      </w:r>
    </w:p>
    <w:p>
      <w:pPr>
        <w:spacing w:after="60"/>
      </w:pPr>
      <w:r>
        <w:rPr>
          <w:sz w:val="20"/>
        </w:rPr>
        <w:t>[2] Jamekhorshid A, Sadrameli SM, Farid M. A review of microencapsulation methods of phase change materials (PCMs) as a thermal energy storage (TES) medium. Renewable and Sustainable Energy Reviews. 2014;31:531–542. https://doi.org/10.1016/j.rser.2013.12.033</w:t>
      </w:r>
    </w:p>
    <w:p>
      <w:pPr>
        <w:spacing w:after="60"/>
      </w:pPr>
      <w:r>
        <w:rPr>
          <w:sz w:val="20"/>
        </w:rPr>
        <w:t>[3] Kamal MR, Sourour S. Kinetics and thermal characterization of thermoset cure. Polymer Engineering &amp; Sci. 1973;13:59–64. https://doi.org/10.1002/pen.760130110</w:t>
      </w:r>
    </w:p>
    <w:p>
      <w:pPr>
        <w:spacing w:after="60"/>
      </w:pPr>
      <w:r>
        <w:rPr>
          <w:sz w:val="20"/>
        </w:rPr>
        <w:t>[4] Sourour S, Kamal MR. Differential scanning calorimetry of epoxy cure: isothermal cure kinetics. Thermochimica Acta. 1976;14:41–59. https://doi.org/10.1016/0040-6031(76)80056-1</w:t>
      </w:r>
    </w:p>
    <w:p>
      <w:pPr>
        <w:spacing w:after="60"/>
      </w:pPr>
      <w:r>
        <w:rPr>
          <w:sz w:val="20"/>
        </w:rPr>
        <w:t>[5] Bogetti TA, Gillespie JW. Process-Induced Stress and Deformation in Thick-Section Thermoset Composite Laminates. Journal of Composite Materials. 1992;26:626–660. https://doi.org/10.1177/002199839202600502</w:t>
      </w:r>
    </w:p>
    <w:p>
      <w:pPr>
        <w:spacing w:after="60"/>
      </w:pPr>
      <w:r>
        <w:rPr>
          <w:sz w:val="20"/>
        </w:rPr>
        <w:t>[6] Semenoff N. Zur Theorie des Verbrennungsprozesses. Z Physik. 1928;48:571–582. https://doi.org/10.1007/bf01340021</w:t>
      </w:r>
    </w:p>
    <w:p>
      <w:pPr>
        <w:spacing w:after="60"/>
      </w:pPr>
      <w:r>
        <w:rPr>
          <w:sz w:val="20"/>
        </w:rPr>
        <w:t>[7] Frank-Kamenetskii DA. Diffusion and Heat Transfer in Chemical Kinetics, 2nd ed. New York: Plenum Press; 1969.</w:t>
      </w:r>
    </w:p>
    <w:p>
      <w:pPr>
        <w:spacing w:after="60"/>
      </w:pPr>
      <w:r>
        <w:rPr>
          <w:sz w:val="20"/>
        </w:rPr>
        <w:t>[8] van Heerden C. Autothermic Processes. Ind Eng Chem. 1953;45:1242–1247. https://doi.org/10.1021/ie50522a030</w:t>
      </w:r>
    </w:p>
    <w:p>
      <w:pPr>
        <w:spacing w:after="60"/>
      </w:pPr>
      <w:r>
        <w:rPr>
          <w:sz w:val="20"/>
        </w:rPr>
        <w:t>[9] Gray P, Scott SK. Chemical Oscillations and Instabilities: Non-linear Chemical Kinetics. Oxford: Clarendon Press; 1990.</w:t>
      </w:r>
    </w:p>
    <w:p>
      <w:pPr>
        <w:spacing w:after="60"/>
      </w:pPr>
      <w:r>
        <w:rPr>
          <w:sz w:val="20"/>
        </w:rPr>
        <w:t>[10] Vyazovkin S, Burnham AK, Criado JM, Pérez-Maqueda LA, Popescu C, Sbirrazzuoli N. ICTAC Kinetics Committee recommendations for performing kinetic computations on thermal analysis data. Thermochimica Acta. 2011;520:1–19. https://doi.org/10.1016/j.tca.2011.03.034</w:t>
      </w:r>
    </w:p>
    <w:p>
      <w:pPr>
        <w:spacing w:after="60"/>
      </w:pPr>
      <w:r>
        <w:rPr>
          <w:sz w:val="20"/>
        </w:rPr>
        <w:t>[11] Zhao Y, Drummer D. Influence of Filler Content and Filler Size on the Curing Kinetics of an Epoxy Resin. Polymers. 2019;11:1797. https://doi.org/10.3390/polym11111797</w:t>
      </w:r>
    </w:p>
    <w:p>
      <w:pPr>
        <w:spacing w:after="60"/>
      </w:pPr>
      <w:r>
        <w:rPr>
          <w:sz w:val="20"/>
        </w:rPr>
        <w:t>[12] Sandler L. Coupled thermal activation and autocatalytic cure kinetics: a theoretical and computational study of delayed reactive transformation. ChemRxiv 2026. https://doi.org/10.26434/chemrxiv.15008366/v1; archived at https://doi.org/10.5281/zenodo.22073390</w:t>
      </w:r>
    </w:p>
    <w:p>
      <w:pPr>
        <w:spacing w:after="60"/>
      </w:pPr>
      <w:r>
        <w:rPr>
          <w:sz w:val="20"/>
        </w:rPr>
        <w:t>[13] Strogatz SH. Nonlinear Dynamics and Chaos, 2nd ed. Boulder: Westview Press; 2015.</w:t>
      </w:r>
    </w:p>
    <w:p>
      <w:pPr>
        <w:spacing w:after="60"/>
      </w:pPr>
      <w:r>
        <w:rPr>
          <w:sz w:val="20"/>
        </w:rPr>
        <w:t>[14] Corless RM, Gonnet GH, Hare DEG, Jeffrey DJ, Knuth DE. On the LambertW function. Adv Comput Math. 1996;5:329–359. https://doi.org/10.1007/BF02124750</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i w:val="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i w:val="0"/>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Closed-Form Storage Stability, Induction Delay, and Thermal-Feedback Criticality of Melt-Gated Autocatalytic Cure</dc:title>
  <dc:subject/>
  <dc:creator>Leon Sandler</dc:creator>
  <cp:keywords/>
  <dc:description>generated by python-docx</dc:description>
  <cp:lastModifiedBy/>
  <cp:revision>1</cp:revision>
  <dcterms:created xsi:type="dcterms:W3CDTF">2013-12-23T23:15:00Z</dcterms:created>
  <dcterms:modified xsi:type="dcterms:W3CDTF">2013-12-23T23:15:00Z</dcterms:modified>
  <cp:category/>
</cp:coreProperties>
</file>