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2"/>
          <w:szCs w:val="22"/>
        </w:rPr>
        <w:t xml:space="preserve">Leon Sandler</w:t>
      </w:r>
    </w:p>
    <w:p>
      <w:pPr>
        <w:spacing w:after="0"/>
      </w:pPr>
      <w:r>
        <w:rPr>
          <w:color w:val="444444"/>
          <w:sz w:val="20"/>
          <w:szCs w:val="20"/>
        </w:rPr>
        <w:t xml:space="preserve">The Conscious Machine, Independent Researcher</w:t>
      </w:r>
    </w:p>
    <w:p>
      <w:pPr>
        <w:spacing w:after="0"/>
      </w:pPr>
      <w:r>
        <w:rPr>
          <w:color w:val="444444"/>
          <w:sz w:val="20"/>
          <w:szCs w:val="20"/>
        </w:rPr>
        <w:t xml:space="preserve">Northbrook, Illinois, USA</w:t>
      </w:r>
    </w:p>
    <w:p>
      <w:pPr>
        <w:spacing w:after="260"/>
      </w:pPr>
      <w:r>
        <w:rPr>
          <w:color w:val="444444"/>
          <w:sz w:val="20"/>
          <w:szCs w:val="20"/>
        </w:rPr>
        <w:t xml:space="preserve">ORCID: 0009-0007-4584-808X</w:t>
      </w:r>
    </w:p>
    <w:p>
      <w:pPr>
        <w:spacing w:after="220"/>
      </w:pPr>
      <w:r>
        <w:rPr>
          <w:sz w:val="21"/>
          <w:szCs w:val="21"/>
        </w:rPr>
        <w:t xml:space="preserve">August 30, 2026</w:t>
      </w:r>
    </w:p>
    <w:p>
      <w:pPr>
        <w:spacing w:after="40"/>
      </w:pPr>
      <w:r>
        <w:rPr>
          <w:sz w:val="21"/>
          <w:szCs w:val="21"/>
        </w:rPr>
        <w:t xml:space="preserve">Editor-in-Chief</w:t>
      </w:r>
    </w:p>
    <w:p>
      <w:pPr>
        <w:spacing w:after="40"/>
      </w:pPr>
      <w:r>
        <w:rPr>
          <w:sz w:val="21"/>
          <w:szCs w:val="21"/>
        </w:rPr>
        <w:t xml:space="preserve">Discover Sustainability</w:t>
      </w:r>
    </w:p>
    <w:p>
      <w:pPr>
        <w:spacing w:after="260"/>
      </w:pPr>
      <w:r>
        <w:rPr>
          <w:sz w:val="21"/>
          <w:szCs w:val="21"/>
        </w:rPr>
        <w:t xml:space="preserve">Springer Nature</w:t>
      </w:r>
    </w:p>
    <w:p>
      <w:pPr>
        <w:spacing w:after="220"/>
      </w:pPr>
      <w:r>
        <w:rPr>
          <w:sz w:val="22"/>
          <w:szCs w:val="22"/>
        </w:rPr>
        <w:t xml:space="preserve">Dear Editor-in-Chief,</w:t>
      </w:r>
    </w:p>
    <w:p>
      <w:pPr>
        <w:spacing w:after="160" w:line="264"/>
        <w:jc w:val="both"/>
      </w:pPr>
      <w:r>
        <w:rPr>
          <w:color w:val="1a1a1a"/>
          <w:sz w:val="21"/>
          <w:szCs w:val="21"/>
        </w:rPr>
        <w:t xml:space="preserve">I am pleased to submit my manuscript, “Beyond PUE: A Boundary-Aware Primary-Energy Framework for Evaluating Self-Powered Computing Infrastructure, with Application to a Hybrid Offshore Floating Data Center,” for consideration as an original research article in Discover Sustainability.</w:t>
      </w:r>
    </w:p>
    <w:p>
      <w:pPr>
        <w:spacing w:after="160" w:line="264"/>
        <w:jc w:val="both"/>
      </w:pPr>
      <w:r>
        <w:rPr>
          <w:color w:val="1a1a1a"/>
          <w:sz w:val="21"/>
          <w:szCs w:val="21"/>
        </w:rPr>
        <w:t xml:space="preserve">Power usage effectiveness (PUE) is the dominant sustainability metric for data-center infrastructure, but it is defined strictly over the facility boundary: cooling and auxiliary overhead relative to IT load. This manuscript identifies and tests a specific limitation of that metric: for infrastructure that generates its own electricity on site rather than importing it from a grid, PUE excludes exactly the generation-side losses — fuel-to-electricity conversion and any carbon-capture parasitic load — that determine whether total energy use is actually efficient. As self-powered and off-grid computing deployments become more common in response to grid interconnection delays, this is a growing gap in how the field evaluates sustainability claims.</w:t>
      </w:r>
    </w:p>
    <w:p>
      <w:pPr>
        <w:spacing w:after="160" w:line="264"/>
        <w:jc w:val="both"/>
      </w:pPr>
      <w:r>
        <w:rPr>
          <w:color w:val="1a1a1a"/>
          <w:sz w:val="21"/>
          <w:szCs w:val="21"/>
        </w:rPr>
        <w:t xml:space="preserve">The manuscript develops a general, boundary-aware primary-energy accounting framework and applies it to a recently proposed offshore floating data-center architecture (associated-gas turbines, a wave-energy-converter array, carbon capture, and passive marine cooling) that had claimed a PUE of approximately 1.04 with negligible grid dependency. Using literature-grounded parameters — Microsoft's Project Natick, Aikido Technologies' AO60DC floating platform, documented offshore combined-cycle practice, and published carbon-capture energy-penalty data — the case study finds that a favorable, literature-consistent facility PUE (1.08–1.09) corresponds to a primary energy efficiency of only 25.5–38.7%, below both a conventional grid-tied facility (43.0%) and a renewable-grid-tied facility such as Natick (93.5%). This demonstrates the framework's central claim directly: a favorable facility PUE does not, by itself, indicate favorable total energy efficiency once on-site generation is included.</w:t>
      </w:r>
    </w:p>
    <w:p>
      <w:pPr>
        <w:spacing w:after="160" w:line="264"/>
        <w:jc w:val="both"/>
      </w:pPr>
      <w:r>
        <w:rPr>
          <w:color w:val="1a1a1a"/>
          <w:sz w:val="21"/>
          <w:szCs w:val="21"/>
        </w:rPr>
        <w:t xml:space="preserve">The manuscript is explicit about scope: it does not argue that self-powered architectures are inherently less sustainable than centralized alternatives, nor does it compare against operational strategies such as workload optimization or renewable procurement, which are outside its scope. Its contribution is a general accounting method, demonstrated on one fully worked case study, intended to generalize to other self-powered contexts including remote AI clusters, microgrid-connected facilities, and stranded-energy computing.</w:t>
      </w:r>
    </w:p>
    <w:p>
      <w:pPr>
        <w:spacing w:after="160" w:line="264"/>
        <w:jc w:val="both"/>
      </w:pPr>
      <w:r>
        <w:rPr>
          <w:color w:val="1a1a1a"/>
          <w:sz w:val="21"/>
          <w:szCs w:val="21"/>
        </w:rPr>
        <w:t xml:space="preserve">This manuscript is original, has not been published previously, and is not under consideration elsewhere. All model parameters and assumptions are disclosed and available upon reasonable request. I have no competing interests to declare and received no external funding. The Declarations section includes all required Springer Nature sub-headings. I believe this fits Discover Sustainability's interest in sustainability metrics and how digital infrastructure should be assessed when facility-level metrics do not capture the full energy-conversion chain. Thank you for considering this submission.</w:t>
      </w:r>
    </w:p>
    <w:p>
      <w:pPr>
        <w:spacing w:after="40" w:before="300"/>
      </w:pPr>
      <w:r>
        <w:rPr>
          <w:sz w:val="22"/>
          <w:szCs w:val="22"/>
        </w:rPr>
        <w:t xml:space="preserve">Sincerely,</w:t>
      </w:r>
    </w:p>
    <w:p>
      <w:pPr>
        <w:spacing w:after="0" w:before="300"/>
      </w:pPr>
      <w:r>
        <w:rPr>
          <w:b/>
          <w:bCs/>
          <w:sz w:val="22"/>
          <w:szCs w:val="22"/>
        </w:rPr>
        <w:t xml:space="preserve">Leon Sandler</w:t>
      </w:r>
    </w:p>
    <w:p>
      <w:pPr>
        <w:spacing w:after="0"/>
      </w:pPr>
      <w:r>
        <w:rPr>
          <w:color w:val="444444"/>
          <w:sz w:val="20"/>
          <w:szCs w:val="20"/>
        </w:rPr>
        <w:t xml:space="preserve">The Conscious Machine, Independent Researcher</w:t>
      </w:r>
    </w:p>
    <w:p>
      <w:r>
        <w:rPr>
          <w:color w:val="444444"/>
          <w:sz w:val="20"/>
          <w:szCs w:val="20"/>
        </w:rPr>
        <w:t xml:space="preserve">ORCID: 0009-0007-4584-808X</w:t>
      </w:r>
    </w:p>
    <w:sectPr>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2026-09-06T03:41:27.959Z</dcterms:created>
  <dcterms:modified xsi:type="dcterms:W3CDTF">2026-09-06T03:41:27.959Z</dcterms:modified>
</cp:coreProperties>
</file>

<file path=docProps/custom.xml><?xml version="1.0" encoding="utf-8"?>
<Properties xmlns="http://schemas.openxmlformats.org/officeDocument/2006/custom-properties" xmlns:vt="http://schemas.openxmlformats.org/officeDocument/2006/docPropsVTypes"/>
</file>