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b/>
          <w:bCs/>
          <w:color w:val="1B3A5C"/>
          <w:sz w:val="24"/>
          <w:szCs w:val="32"/>
        </w:rPr>
        <w:t xml:space="preserve">Beyond PUE: A Boundary-Aware Primary-Energy Framework for Evaluating Self-Powered Computing Infrastructure, with Application to a Hybrid Offshore Floating Data Center</w:t>
      </w:r>
    </w:p>
    <w:p>
      <w:pPr>
        <w:spacing w:after="60"/>
      </w:pPr>
      <w:r>
        <w:rPr>
          <w:b/>
          <w:bCs/>
          <w:sz w:val="24"/>
          <w:szCs w:val="22"/>
        </w:rPr>
        <w:t xml:space="preserve">Leon Sandler</w:t>
      </w:r>
    </w:p>
    <w:p>
      <w:pPr>
        <w:spacing w:after="40"/>
      </w:pPr>
      <w:r>
        <w:rPr>
          <w:color w:val="5A6472"/>
          <w:sz w:val="24"/>
          <w:szCs w:val="19"/>
        </w:rPr>
        <w:t xml:space="preserve">The Conscious Machine, Independent Researcher, Northbrook, Illinois, USA</w:t>
      </w:r>
    </w:p>
    <w:p>
      <w:pPr>
        <w:spacing w:after="300"/>
      </w:pPr>
      <w:r>
        <w:rPr>
          <w:color w:val="5A6472"/>
          <w:sz w:val="24"/>
          <w:szCs w:val="18"/>
        </w:rPr>
        <w:t xml:space="preserve">ORCID: 0009-0007-4584-808X   ·   Corresponding author.</w:t>
      </w:r>
    </w:p>
    <w:p>
      <w:pPr>
        <w:spacing w:after="80"/>
      </w:pPr>
      <w:r>
        <w:rPr>
          <w:b/>
          <w:bCs/>
          <w:color w:val="1C7293"/>
          <w:sz w:val="24"/>
          <w:szCs w:val="22"/>
        </w:rPr>
        <w:t xml:space="preserve">Abstract</w:t>
      </w:r>
    </w:p>
    <w:p>
      <w:pPr>
        <w:spacing w:after="140" w:line="268"/>
        <w:jc w:val="both"/>
      </w:pPr>
      <w:r>
        <w:rPr>
          <w:sz w:val="24"/>
        </w:rPr>
        <w:t>Power usage effectiveness (PUE) is the dominant data-center sustainability metric, but it is defined only over the facility boundary: cooling and auxiliary overhead relative to IT load. For self-powered infrastructure generating its own electricity on site, this boundary excludes exactly the losses -- fuel-to-electricity conversion and any carbon-capture parasitic load -- that determine whether total energy use is actually efficient. This study tests the hypothesis that facility-level PUE can systematically overestimate self-powered infrastructure's sustainability, and develops a boundary-aware primary-energy framework (η_primary = η_cycle × (1 − CCS penalty) / PUE) to make that gap explicit. The framework is applied to a proposal-stage architecture, the Hybrid Seabed-Energy Floating Data Center (HSE-FDC) -- offshore gas turbines, a wave-energy-converter array, carbon capture, and passive marine cooling -- which had claimed a PUE of approximately 1.04 with negligible grid dependency. Using literature-grounded parameters, the case study finds a plausible facility PUE of 1.08-1.09, comparable to real benchmarks, while the wave array contributes under 1.2% of average power, far short of a genuine hybrid baseload. Critically, this favorable facility PUE corresponds to a primary energy efficiency of only 25.5-38.7%, below a conventional grid-tied facility (43.0%) and dramatically below a renewable-grid-tied facility (93.5%): a favorable facility PUE does not, by itself, indicate favorable total energy efficiency once on-site generation is included. The architecture's individual technologies are each already commercialized elsewhere; this study's contribution is the general framework and the demonstration that it changes the sustainability conclusion for a real architecture, generalizing to other off-grid contexts.</w:t>
      </w:r>
    </w:p>
    <w:p>
      <w:pPr>
        <w:spacing w:after="40" w:before="100"/>
      </w:pPr>
      <w:r>
        <w:rPr>
          <w:b/>
          <w:bCs/>
          <w:sz w:val="24"/>
          <w:szCs w:val="18"/>
        </w:rPr>
        <w:t xml:space="preserve">Keywords: </w:t>
      </w:r>
      <w:r>
        <w:rPr>
          <w:i/>
          <w:iCs/>
          <w:color w:val="333333"/>
          <w:sz w:val="24"/>
          <w:szCs w:val="18"/>
        </w:rPr>
        <w:t xml:space="preserve">data center sustainability; power usage effectiveness; primary energy efficiency; self-powered computing infrastructure; carbon capture and storage; offshore floating infrastructure; sustainability metrics</w:t>
      </w:r>
    </w:p>
    <w:p>
      <w:r>
        <w:rPr>
          <w:sz w:val="24"/>
        </w:rPr>
        <w:br w:type="page"/>
      </w:r>
    </w:p>
    <w:p>
      <w:pPr>
        <w:sectPr>
          <w:pgSz w:w="12240" w:h="15840" w:orient="portrait"/>
          <w:pgMar w:top="1350" w:right="1350" w:bottom="1350" w:left="1350" w:header="708" w:footer="708" w:gutter="0"/>
          <w:pgNumType/>
          <w:docGrid w:linePitch="360"/>
        </w:sectPr>
      </w:pPr>
    </w:p>
    <w:p>
      <w:pPr>
        <w:pStyle w:val="Heading1"/>
        <w:pBdr>
          <w:bottom w:val="single" w:color="1C7293" w:sz="5" w:space="4"/>
        </w:pBdr>
        <w:spacing w:after="140" w:before="340"/>
      </w:pPr>
      <w:r>
        <w:rPr>
          <w:b/>
          <w:bCs/>
          <w:color w:val="1B3A5C"/>
          <w:sz w:val="30"/>
          <w:szCs w:val="26"/>
        </w:rPr>
        <w:t xml:space="preserve">1. Introduction</w:t>
      </w:r>
    </w:p>
    <w:p>
      <w:pPr>
        <w:pStyle w:val="Heading2"/>
        <w:spacing w:after="100" w:before="220"/>
      </w:pPr>
      <w:r>
        <w:rPr>
          <w:b/>
          <w:bCs/>
          <w:color w:val="1C7293"/>
          <w:sz w:val="26"/>
          <w:szCs w:val="22"/>
        </w:rPr>
        <w:t xml:space="preserve">1.1 The blind spot in facility-level sustainability metrics</w:t>
      </w:r>
    </w:p>
    <w:p>
      <w:pPr>
        <w:spacing w:after="140" w:line="268"/>
        <w:jc w:val="both"/>
      </w:pPr>
      <w:r>
        <w:rPr>
          <w:color w:val="1a1a1a"/>
          <w:sz w:val="24"/>
          <w:szCs w:val="20"/>
        </w:rPr>
        <w:t xml:space="preserve">Power usage effectiveness (PUE) -- the ratio of total facility power to IT equipment power -- is the standard metric for data-center energy efficiency, and has driven substantial real improvement: conventional air/liquid-cooled facilities typically report PUE 1.30-1.50, while modern best-practice designs reach 1.10-1.20. PUE is defined strictly over the facility boundary, which is appropriate when electricity is imported from an external grid, since generation-side losses are then the grid operator's concern, not the facility's. This boundary becomes a blind spot, however, for infrastructure that generates its own electricity on site: fuel-to-electricity conversion losses, and any parasitic load from emissions-control equipment, occur upstream of the PUE accounting boundary and are consequently invisible to a PUE-only sustainability comparison. As self-powered and off-grid computing infrastructure -- driven by grid interconnection delays -- becomes more common, this blind spot is increasingly consequential.</w:t>
      </w:r>
    </w:p>
    <w:p>
      <w:pPr>
        <w:pStyle w:val="Heading2"/>
        <w:spacing w:after="100" w:before="220"/>
      </w:pPr>
      <w:r>
        <w:rPr>
          <w:b/>
          <w:bCs/>
          <w:color w:val="1C7293"/>
          <w:sz w:val="26"/>
          <w:szCs w:val="22"/>
        </w:rPr>
        <w:t xml:space="preserve">1.2 Hypothesis and framework</w:t>
      </w:r>
    </w:p>
    <w:p>
      <w:pPr>
        <w:spacing w:after="140" w:line="268"/>
        <w:jc w:val="both"/>
      </w:pPr>
      <w:r>
        <w:rPr>
          <w:color w:val="1a1a1a"/>
          <w:sz w:val="24"/>
          <w:szCs w:val="20"/>
        </w:rPr>
        <w:t xml:space="preserve">This study proposes and tests the hypothesis that facility-level PUE can systematically overestimate the sustainability of self-powered computing infrastructure, and develops a boundary-aware primary-energy accounting framework to make the resulting gap explicit and quantifiable (Section 3.4). The framework is deliberately general -- it requires only a generation-cycle efficiency and any parasitic control-equipment load alongside the conventional PUE calculation -- and is demonstrated here through application to a specific, previously unevaluated case study.</w:t>
      </w:r>
    </w:p>
    <w:p>
      <w:pPr>
        <w:pStyle w:val="Heading2"/>
        <w:spacing w:after="100" w:before="220"/>
      </w:pPr>
      <w:r>
        <w:rPr>
          <w:b/>
          <w:bCs/>
          <w:color w:val="1C7293"/>
          <w:sz w:val="26"/>
          <w:szCs w:val="22"/>
        </w:rPr>
        <w:t xml:space="preserve">1.3 Case study: existing prior art</w:t>
      </w:r>
    </w:p>
    <w:p>
      <w:pPr>
        <w:spacing w:after="140" w:line="268"/>
        <w:jc w:val="both"/>
      </w:pPr>
      <w:r>
        <w:rPr>
          <w:color w:val="1a1a1a"/>
          <w:sz w:val="24"/>
          <w:szCs w:val="20"/>
        </w:rPr>
        <w:t xml:space="preserve">The case study architecture is a proposal-stage concept, the Hybrid Seabed-Energy Floating Data Center (HSE-FDC), combining offshore associated-gas turbines, a wave-energy-converter (WEC) array, carbon capture and storage (CCS), and passive marine cooling on a floating platform. Three bodies of prior art are directly relevant and must be distinguished from any new contribution claimed here.</w:t>
      </w:r>
    </w:p>
    <w:p>
      <w:pPr>
        <w:spacing w:after="140" w:line="268"/>
        <w:jc w:val="both"/>
      </w:pPr>
      <w:r>
        <w:rPr>
          <w:color w:val="1a1a1a"/>
          <w:sz w:val="24"/>
          <w:szCs w:val="20"/>
        </w:rPr>
        <w:t xml:space="preserve">Marine-cooled data centers are an operationally proven concept, not a hypothesis. Microsoft's Project Natick deployed an 864-server sealed pod 36 m below the sea surface off Orkney, Scotland for two years, reporting a measured PUE of 1.07, zero water consumption, and a failure rate one-eighth that of a matched land-based control group [7]. Natick was powered by the local renewable (wind/tidal) grid, not by on-site combustion. Separately, commercial-scale underwater facilities are now in deployment off Hainan and Shanghai, China, with a 24 MW wind-and-seawater-cooled pod project targeting PUE below 1.15 [7].</w:t>
      </w:r>
    </w:p>
    <w:p>
      <w:pPr>
        <w:spacing w:after="140" w:line="268"/>
        <w:jc w:val="both"/>
      </w:pPr>
      <w:r>
        <w:rPr>
          <w:color w:val="1a1a1a"/>
          <w:sz w:val="24"/>
          <w:szCs w:val="20"/>
        </w:rPr>
        <w:t xml:space="preserve">Floating offshore data center platforms co-located with offshore energy generation are also already in active commercial development, not a novel deployment paradigm. Aikido Technologies' AO60DC integrates a 15-18 MW offshore wind turbine, battery storage, and 10-12 MW of compute on a single floating structure, with a projected PUE below 1.08; a proof-of-concept is under development in Norway with a first commercial UK deployment targeted around 2028 [8].</w:t>
      </w:r>
    </w:p>
    <w:p>
      <w:pPr>
        <w:spacing w:after="140" w:line="268"/>
        <w:jc w:val="both"/>
      </w:pPr>
      <w:r>
        <w:rPr>
          <w:color w:val="1a1a1a"/>
          <w:sz w:val="24"/>
          <w:szCs w:val="20"/>
        </w:rPr>
        <w:t xml:space="preserve">Gas-to-compute conversion of stranded or flared associated gas is likewise an existing, commercialized practice, not a proposed innovation. Crusoe Energy operates a commercial “flare-gas-to-compute” business converting otherwise-flared associated gas into on-site electricity for modular data centers, and xAI's Colossus facility in Memphis, Tennessee is powered in part by on-site natural gas turbines (a deployment that has also drawn regulatory scrutiny over turbine permitting) [9]. The underlying gas-to-compute conversion concept is additionally the subject of granted U.S. patents covering on-site power generation from flare, stranded, and associated gas for distributed computing loads [10].</w:t>
      </w:r>
    </w:p>
    <w:p>
      <w:pPr>
        <w:pStyle w:val="Heading2"/>
        <w:spacing w:after="100" w:before="220"/>
      </w:pPr>
      <w:r>
        <w:rPr>
          <w:b/>
          <w:bCs/>
          <w:color w:val="1C7293"/>
          <w:sz w:val="26"/>
          <w:szCs w:val="22"/>
        </w:rPr>
        <w:t xml:space="preserve">1.4 What remains genuinely open</w:t>
      </w:r>
    </w:p>
    <w:p>
      <w:pPr>
        <w:spacing w:after="140" w:line="268"/>
        <w:jc w:val="both"/>
      </w:pPr>
      <w:r>
        <w:rPr>
          <w:color w:val="1a1a1a"/>
          <w:sz w:val="24"/>
          <w:szCs w:val="20"/>
        </w:rPr>
        <w:t xml:space="preserve">Given this prior art, the individual components of the HSE-FDC case study -- marine cooling, floating offshore siting, and gas-to-compute conversion -- are each independently established or in active commercial development. What has not been quantitatively evaluated in the literature is either (a) their specific combination, or (b) whether the facility-level PUE claimed for such architectures (here, approximately 1.04) reflects their true total energy efficiency once on-site generation is accounted for. This study supplies both: a power-balance evaluation of the specific combination, and a general primary-energy framework that applies beyond this one case study.</w:t>
      </w:r>
    </w:p>
    <w:p>
      <w:pPr>
        <w:pStyle w:val="Heading2"/>
        <w:spacing w:after="100" w:before="220"/>
      </w:pPr>
      <w:r>
        <w:rPr>
          <w:b/>
          <w:bCs/>
          <w:color w:val="1C7293"/>
          <w:sz w:val="26"/>
          <w:szCs w:val="22"/>
        </w:rPr>
        <w:t xml:space="preserve">1.5 Research objectives</w:t>
      </w:r>
    </w:p>
    <w:p>
      <w:pPr>
        <w:pStyle w:val="ListParagraph"/>
        <w:numPr>
          <w:ilvl w:val="0"/>
          <w:numId w:val="2"/>
        </w:numPr>
        <w:spacing w:after="70" w:line="258"/>
      </w:pPr>
      <w:r>
        <w:rPr>
          <w:color w:val="1a1a1a"/>
          <w:sz w:val="24"/>
          <w:szCs w:val="20"/>
        </w:rPr>
        <w:t xml:space="preserve">Does facility-level PUE alone provide a reliable sustainability signal for self-powered computing infrastructure, or does it systematically exclude a materially large share of total energy loss?</w:t>
      </w:r>
    </w:p>
    <w:p>
      <w:pPr>
        <w:pStyle w:val="ListParagraph"/>
        <w:numPr>
          <w:ilvl w:val="0"/>
          <w:numId w:val="2"/>
        </w:numPr>
        <w:spacing w:after="70" w:line="258"/>
      </w:pPr>
      <w:r>
        <w:rPr>
          <w:color w:val="1a1a1a"/>
          <w:sz w:val="24"/>
          <w:szCs w:val="20"/>
        </w:rPr>
        <w:t xml:space="preserve">For the HSE-FDC case study specifically: what is the actual contribution of its wave-energy-converter array to total power supply, at literature-reported (not idealized) capacity factors, and what facility-level PUE is achievable relative to the real Natick and projected Aikido benchmarks?</w:t>
      </w:r>
    </w:p>
    <w:p>
      <w:pPr>
        <w:pStyle w:val="ListParagraph"/>
        <w:numPr>
          <w:ilvl w:val="0"/>
          <w:numId w:val="2"/>
        </w:numPr>
        <w:spacing w:after="70" w:line="258"/>
      </w:pPr>
      <w:r>
        <w:rPr>
          <w:color w:val="1a1a1a"/>
          <w:sz w:val="24"/>
          <w:szCs w:val="20"/>
        </w:rPr>
        <w:t xml:space="preserve">Accounting for gas-turbine cycle efficiency and CCS parasitic load via the proposed framework, what is the case study's total primary (fuel-to-compute) energy efficiency, and how does this compare to a conventional grid-tied and a renewable-grid-tied facility?</w:t>
      </w:r>
    </w:p>
    <w:p>
      <w:pPr>
        <w:pStyle w:val="Heading1"/>
        <w:pBdr>
          <w:bottom w:val="single" w:color="1C7293" w:sz="5" w:space="4"/>
        </w:pBdr>
        <w:spacing w:after="140" w:before="340"/>
      </w:pPr>
      <w:r>
        <w:rPr>
          <w:b/>
          <w:bCs/>
          <w:color w:val="1B3A5C"/>
          <w:sz w:val="30"/>
          <w:szCs w:val="26"/>
        </w:rPr>
        <w:t xml:space="preserve">2. System architecture</w:t>
      </w:r>
    </w:p>
    <w:p>
      <w:pPr>
        <w:spacing w:after="140" w:line="268"/>
        <w:jc w:val="both"/>
      </w:pPr>
      <w:r>
        <w:rPr>
          <w:color w:val="1a1a1a"/>
          <w:sz w:val="24"/>
          <w:szCs w:val="20"/>
        </w:rPr>
        <w:t xml:space="preserve">The evaluated architecture follows the proposal-stage concept: seabed-associated-gas-fired turbines provide baseload power; a leg-mounted array of point-absorber wave-energy converters provides auxiliary power; closed-loop deep-seawater heat exchange provides passive cooling; combustion exhaust is routed through post-combustion CCS for reinjection into depleted seabed formations. Two gas-turbine configurations are evaluated, since offshore practice differs materially from the onshore default: (a) simple (open) cycle, the historically dominant offshore choice due to lower weight and footprint [4,5]; and (b) combined cycle, materially more efficient but rarely deployed offshore -- the Appomattox platform (Gulf of Mexico, operational since 2019, four 27 MW aeroderivative gas turbines plus a 40 MW steam turbine, ~50% net efficiency) is, to the authors' knowledge, the primary offshore precedent for this configuration [4,5].</w:t>
      </w:r>
    </w:p>
    <w:p>
      <w:pPr>
        <w:pStyle w:val="Heading1"/>
        <w:pBdr>
          <w:bottom w:val="single" w:color="1C7293" w:sz="5" w:space="4"/>
        </w:pBdr>
        <w:spacing w:after="140" w:before="340"/>
      </w:pPr>
      <w:r>
        <w:rPr>
          <w:b/>
          <w:bCs/>
          <w:color w:val="1B3A5C"/>
          <w:sz w:val="30"/>
          <w:szCs w:val="26"/>
        </w:rPr>
        <w:t xml:space="preserve">3. Mathematical model and methodology</w:t>
      </w:r>
    </w:p>
    <w:p>
      <w:r>
        <w:rPr>
          <w:i/>
          <w:sz w:val="24"/>
        </w:rPr>
        <w:t>As in the accompanying analysis to this manuscript, every number in Section 4 traces to a specific equation and cited parameter below; parameters not available from established literature (e.g., specific platform CAPEX) are explicitly flagged as assumptions rather than asserted as results.</w:t>
      </w:r>
    </w:p>
    <w:p>
      <w:pPr>
        <w:pStyle w:val="Heading2"/>
        <w:spacing w:after="100" w:before="220"/>
      </w:pPr>
      <w:r>
        <w:rPr>
          <w:b/>
          <w:bCs/>
          <w:color w:val="1C7293"/>
          <w:sz w:val="26"/>
          <w:szCs w:val="22"/>
        </w:rPr>
        <w:t xml:space="preserve">3.1 Gas turbine baseload</w:t>
      </w:r>
    </w:p>
    <w:p>
      <w:pPr>
        <w:spacing w:after="140" w:line="268"/>
        <w:jc w:val="both"/>
      </w:pPr>
      <w:r>
        <w:rPr>
          <w:color w:val="1a1a1a"/>
          <w:sz w:val="24"/>
          <w:szCs w:val="20"/>
        </w:rPr>
        <w:t xml:space="preserve">Two scenarios are modeled using the Appomattox unit sizing as a representative reference point [4,5]: simple-cycle, 4 × 27 MW aeroderivative units at 33% net efficiency (midpoint of the 30-35% typical range for offshore simple-cycle aeroderivative turbines); and combined-cycle, the same 4 × 27 MW units plus a 40 MW steam turbine at 50% net efficiency, matching the reported Appomattox figure.</w:t>
      </w:r>
    </w:p>
    <w:p>
      <w:pPr>
        <w:pStyle w:val="Heading2"/>
        <w:spacing w:after="100" w:before="220"/>
      </w:pPr>
      <w:r>
        <w:rPr>
          <w:b/>
          <w:bCs/>
          <w:color w:val="1C7293"/>
          <w:sz w:val="26"/>
          <w:szCs w:val="22"/>
        </w:rPr>
        <w:t xml:space="preserve">3.2 Wave energy converter array</w:t>
      </w:r>
    </w:p>
    <w:p>
      <w:pPr>
        <w:spacing w:after="140" w:line="268"/>
        <w:jc w:val="both"/>
      </w:pPr>
      <w:r>
        <w:rPr>
          <w:color w:val="1a1a1a"/>
          <w:sz w:val="24"/>
          <w:szCs w:val="20"/>
        </w:rPr>
        <w:t xml:space="preserve">Wave power flux per unit crest width follows the standard deep-water formulation [1]:</w:t>
      </w:r>
    </w:p>
    <w:p>
      <w:pPr>
        <w:spacing w:after="100" w:before="100"/>
        <w:jc w:val="center"/>
      </w:pPr>
      <w:r>
        <w:rPr>
          <w:rFonts w:ascii="Cambria Math" w:cs="Cambria Math" w:eastAsia="Cambria Math" w:hAnsi="Cambria Math"/>
          <w:i/>
          <w:iCs/>
          <w:color w:val="111111"/>
          <w:sz w:val="24"/>
          <w:szCs w:val="21"/>
        </w:rPr>
        <w:t xml:space="preserve">P/w = (ρ g² / 64π) × H_s² × T_e</w:t>
      </w:r>
    </w:p>
    <w:p>
      <w:pPr>
        <w:spacing w:after="140" w:line="268"/>
        <w:jc w:val="both"/>
      </w:pPr>
      <w:r>
        <w:rPr>
          <w:color w:val="1a1a1a"/>
          <w:sz w:val="24"/>
          <w:szCs w:val="20"/>
        </w:rPr>
        <w:t xml:space="preserve">where ρ = 1025 kg/m³, g = 9.81 m/s², H_s is significant wave height, and T_e is energy period. A representative mid-latitude offshore wave climate (H_s = 2.5 m, T_e = 9 s, consistent with the 5.8-28.5 kW/m resource range reported across assessed WEC deployment sites [3]) yields a flux of 27.6 kW/m. Array rated output uses a representative capture width of 20 m per buoy, 12 buoys, and 75% mechanical-to-electrical power-take-off efficiency [2]. Critically, rated (nameplate) output is not the same as average delivered output: real deployed point-absorber devices report capacity factors of approximately 12-51% of rated output depending on device design and site (e.g., Wavebob 40-51% at 12-21 kW/m reference; RM3 16% at 34 kW/m; AquaBuOY ~12% at 25 kW/m) [3]. A representative 25% capacity factor is applied here, avoiding the continuous/near-rated output implied in the original proposal-stage concept.</w:t>
      </w:r>
    </w:p>
    <w:p>
      <w:pPr>
        <w:pStyle w:val="Heading2"/>
        <w:spacing w:after="100" w:before="220"/>
      </w:pPr>
      <w:r>
        <w:rPr>
          <w:b/>
          <w:bCs/>
          <w:color w:val="1C7293"/>
          <w:sz w:val="26"/>
          <w:szCs w:val="22"/>
        </w:rPr>
        <w:t xml:space="preserve">3.3 Facility PUE</w:t>
      </w:r>
    </w:p>
    <w:p>
      <w:pPr>
        <w:spacing w:after="140" w:line="268"/>
        <w:jc w:val="both"/>
      </w:pPr>
      <w:r>
        <w:rPr>
          <w:color w:val="1a1a1a"/>
          <w:sz w:val="24"/>
          <w:szCs w:val="20"/>
        </w:rPr>
        <w:t xml:space="preserve">Facility overhead (distinct from gas-turbine generation efficiency, see Section 3.4) is modeled as the sum of seawater circulation pump power (3% of IT load, reflecting a larger, non-sealed platform relative to Natick's compact sealed pod), power-conversion/UPS losses (4%), and control/monitoring systems (1.5%), giving PUE = 1 + 0.085 = 1.085. This is deliberately not set below the real Natick benchmark of 1.07 without justification; the platform modeled here is a larger, more mechanically complex, non-sealed structure than Natick's single sealed capsule, and 1.085 is presented as plausible and comparable to, not superior to, the best demonstrated real-world case.</w:t>
      </w:r>
    </w:p>
    <w:p>
      <w:pPr>
        <w:pStyle w:val="Heading2"/>
        <w:spacing w:after="100" w:before="220"/>
      </w:pPr>
      <w:r>
        <w:rPr>
          <w:b/>
          <w:bCs/>
          <w:color w:val="1C7293"/>
          <w:sz w:val="26"/>
          <w:szCs w:val="22"/>
        </w:rPr>
        <w:t xml:space="preserve">3.4 Primary energy efficiency</w:t>
      </w:r>
    </w:p>
    <w:p>
      <w:pPr>
        <w:spacing w:after="140" w:line="268"/>
        <w:jc w:val="both"/>
      </w:pPr>
      <w:r>
        <w:rPr>
          <w:color w:val="1a1a1a"/>
          <w:sz w:val="24"/>
          <w:szCs w:val="20"/>
        </w:rPr>
        <w:t xml:space="preserve">Facility PUE alone does not capture the efficiency of on-site power generation, which a grid-tied facility does not need to account for (that loss occurs at the utility, off the facility's books) but which an off-grid, self-generating platform must. This study therefore defines and reports a primary energy efficiency metric:</w:t>
      </w:r>
    </w:p>
    <w:p>
      <w:pPr>
        <w:spacing w:after="100" w:before="100"/>
        <w:jc w:val="center"/>
      </w:pPr>
      <w:r>
        <w:rPr>
          <w:rFonts w:ascii="Cambria Math" w:cs="Cambria Math" w:eastAsia="Cambria Math" w:hAnsi="Cambria Math"/>
          <w:i/>
          <w:iCs/>
          <w:color w:val="111111"/>
          <w:sz w:val="24"/>
          <w:szCs w:val="21"/>
        </w:rPr>
        <w:t xml:space="preserve">η_primary = η_cycle × (1 − CCS_penalty) / PUE</w:t>
      </w:r>
    </w:p>
    <w:p>
      <w:pPr>
        <w:spacing w:after="140" w:line="268"/>
        <w:jc w:val="both"/>
      </w:pPr>
      <w:r>
        <w:rPr>
          <w:color w:val="1a1a1a"/>
          <w:sz w:val="24"/>
          <w:szCs w:val="20"/>
        </w:rPr>
        <w:t xml:space="preserve">where η_cycle is gas-turbine net efficiency (Section 3.1) and CCS_penalty is the fraction of gross generation consumed by carbon capture (Section 3.5). This metric is compared against a grid-tied baseline (mixed-fuel grid generation efficiency 52%, transmission/distribution efficiency 95%, facility PUE 1.15, all representative modern figures) and a renewable-grid-tied baseline consistent with Natick (no on-site combustion; renewable electricity treated as the reference case, PUE 1.07).</w:t>
      </w:r>
    </w:p>
    <w:p>
      <w:r>
        <w:t>This comparison requires a stated convention for what counts as “primary energy” across fundamentally different generation types, and the choice materially affects the result: this study uses the direct/physical-energy-content method, in which each generation source's primary energy is its own energy content at the point of generation -- one kWh of renewable electricity is counted as one kWh of primary energy, with no fossil-fuel-equivalent inflation (i.e., not the partial-substitution method some aggregate energy statistics use for renewables). This is the more conservative choice for this study's own thesis: the substitution method would count renewable primary energy as the larger fossil input it displaces (fossil plants require roughly 2-3 kWh of fuel per kWh of electricity), which would lower, not raise, the renewable-tied comparator's reported efficiency. The 93.5% Natick-style figure reported below is therefore a conservative (least favorable to this study's fossil-unfavorable conclusion) choice of accounting convention, not a figure selected to maximize the gap against HSE-FDC.</w:t>
      </w:r>
    </w:p>
    <w:p>
      <w:pPr>
        <w:pStyle w:val="Heading2"/>
        <w:spacing w:after="100" w:before="220"/>
      </w:pPr>
      <w:r>
        <w:rPr>
          <w:b/>
          <w:bCs/>
          <w:color w:val="1C7293"/>
          <w:sz w:val="26"/>
          <w:szCs w:val="22"/>
        </w:rPr>
        <w:t xml:space="preserve">3.5 CCS energy penalty and carbon balance</w:t>
      </w:r>
    </w:p>
    <w:p>
      <w:pPr>
        <w:spacing w:after="140" w:line="268"/>
        <w:jc w:val="both"/>
      </w:pPr>
      <w:r>
        <w:rPr>
          <w:color w:val="1a1a1a"/>
          <w:sz w:val="24"/>
          <w:szCs w:val="20"/>
        </w:rPr>
        <w:t xml:space="preserve">Post-combustion CCS parasitic energy penalty is modeled at a literature-consistent midpoint of 16%, bounded by an 11% thermodynamic lower bound and an assumed 25% upper bound for less-optimized retrofits [6]. Standard 90% CO₂ capture-rate design targets are assumed. Combustion CO₂ is computed from the standard natural gas emission factor (0.202 kg CO₂ per kWh thermal input [11]), scaled by cycle efficiency and CCS-driven additional fuel consumption, then reduced by the assumed capture rate. A US grid average of 0.386 kg CO₂/kWh [12] is used as the grid-tied comparison baseline.</w:t>
      </w:r>
    </w:p>
    <w:p>
      <w:pPr>
        <w:pStyle w:val="Heading1"/>
        <w:pBdr>
          <w:bottom w:val="single" w:color="1C7293" w:sz="5" w:space="4"/>
        </w:pBdr>
        <w:spacing w:after="140" w:before="340"/>
      </w:pPr>
      <w:r>
        <w:rPr>
          <w:b/>
          <w:bCs/>
          <w:color w:val="1B3A5C"/>
          <w:sz w:val="30"/>
          <w:szCs w:val="26"/>
        </w:rPr>
        <w:t xml:space="preserve">4. Results</w:t>
      </w:r>
    </w:p>
    <w:p>
      <w:pPr>
        <w:pStyle w:val="Heading2"/>
        <w:spacing w:after="100" w:before="220"/>
      </w:pPr>
      <w:r>
        <w:rPr>
          <w:b/>
          <w:bCs/>
          <w:color w:val="1C7293"/>
          <w:sz w:val="26"/>
          <w:szCs w:val="22"/>
        </w:rPr>
        <w:t xml:space="preserve">4.1 Wave contribution to average power supply</w:t>
      </w:r>
    </w:p>
    <w:p>
      <w:pPr>
        <w:spacing w:after="140" w:line="268"/>
        <w:jc w:val="both"/>
      </w:pPr>
      <w:r>
        <w:rPr>
          <w:color w:val="1a1a1a"/>
          <w:sz w:val="24"/>
          <w:szCs w:val="20"/>
        </w:rPr>
        <w:t xml:space="preserve">At the baseline wave climate and array specification (Section 3.2), the array's rated capacity is 4.97 MW; at a 25% capacity factor, average delivered output is 1.24 MW. Against a 108-149 MW gas-turbine baseload (simple- and combined-cycle scenarios respectively), this represents only 0.8-1.1% of average total power supply (Table 1, Figure 1) -- not a meaningful “hybrid” or “auxiliary baseload” contribution as characterized in the original proposal, but a minor supplement whose primary practical value would likely be fuel offset during favorable sea states rather than firm capacity.</w:t>
      </w:r>
    </w:p>
    <w:p>
      <w:r>
        <w:rPr>
          <w:b/>
          <w:sz w:val="24"/>
        </w:rPr>
        <w:t>Table 1 Gas turbine and wave-array average power contribution, by cycle scenario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1800"/>
        <w:gridCol w:w="1500"/>
      </w:tblGrid>
      <w:tr>
        <w:trPr>
          <w:tblHeader/>
        </w:trPr>
        <w:tc>
          <w:tcPr>
            <w:tcW w:type="dxa" w:w="4200"/>
            <w:shd w:fill="1B3A5C" w:val="clear"/>
            <w:tcMar>
              <w:top w:type="dxa" w:w="90"/>
              <w:left w:type="dxa" w:w="110"/>
              <w:bottom w:type="dxa" w:w="90"/>
              <w:right w:type="dxa" w:w="110"/>
            </w:tcMar>
            <w:vAlign w:val="center"/>
          </w:tcPr>
          <w:p>
            <w:r>
              <w:rPr>
                <w:b/>
                <w:bCs/>
                <w:color w:val="FFFFFF"/>
                <w:sz w:val="24"/>
                <w:szCs w:val="17"/>
              </w:rPr>
              <w:t xml:space="preserve">Scenario</w:t>
            </w:r>
          </w:p>
        </w:tc>
        <w:tc>
          <w:tcPr>
            <w:tcW w:type="dxa" w:w="2000"/>
            <w:shd w:fill="1B3A5C" w:val="clear"/>
            <w:tcMar>
              <w:top w:type="dxa" w:w="90"/>
              <w:left w:type="dxa" w:w="110"/>
              <w:bottom w:type="dxa" w:w="90"/>
              <w:right w:type="dxa" w:w="110"/>
            </w:tcMar>
            <w:vAlign w:val="center"/>
          </w:tcPr>
          <w:p>
            <w:r>
              <w:rPr>
                <w:b/>
                <w:bCs/>
                <w:color w:val="FFFFFF"/>
                <w:sz w:val="24"/>
                <w:szCs w:val="17"/>
              </w:rPr>
              <w:t xml:space="preserve">Gas turbine rated (MW)</w:t>
            </w:r>
          </w:p>
        </w:tc>
        <w:tc>
          <w:tcPr>
            <w:tcW w:type="dxa" w:w="1800"/>
            <w:shd w:fill="1B3A5C" w:val="clear"/>
            <w:tcMar>
              <w:top w:type="dxa" w:w="90"/>
              <w:left w:type="dxa" w:w="110"/>
              <w:bottom w:type="dxa" w:w="90"/>
              <w:right w:type="dxa" w:w="110"/>
            </w:tcMar>
            <w:vAlign w:val="center"/>
          </w:tcPr>
          <w:p>
            <w:r>
              <w:rPr>
                <w:b/>
                <w:bCs/>
                <w:color w:val="FFFFFF"/>
                <w:sz w:val="24"/>
                <w:szCs w:val="17"/>
              </w:rPr>
              <w:t xml:space="preserve">Wave array avg. (MW)</w:t>
            </w:r>
          </w:p>
        </w:tc>
        <w:tc>
          <w:tcPr>
            <w:tcW w:type="dxa" w:w="1500"/>
            <w:shd w:fill="1B3A5C" w:val="clear"/>
            <w:tcMar>
              <w:top w:type="dxa" w:w="90"/>
              <w:left w:type="dxa" w:w="110"/>
              <w:bottom w:type="dxa" w:w="90"/>
              <w:right w:type="dxa" w:w="110"/>
            </w:tcMar>
            <w:vAlign w:val="center"/>
          </w:tcPr>
          <w:p>
            <w:r>
              <w:rPr>
                <w:b/>
                <w:bCs/>
                <w:color w:val="FFFFFF"/>
                <w:sz w:val="24"/>
                <w:szCs w:val="17"/>
              </w:rPr>
              <w:t xml:space="preserve">Wave share of avg. supply</w:t>
            </w:r>
          </w:p>
        </w:tc>
      </w:tr>
      <w:tr>
        <w:tc>
          <w:tcPr>
            <w:tcW w:type="dxa" w:w="4200"/>
            <w:shd w:fill="FFFFFF" w:val="clear"/>
            <w:tcMar>
              <w:top w:type="dxa" w:w="80"/>
              <w:left w:type="dxa" w:w="110"/>
              <w:bottom w:type="dxa" w:w="80"/>
              <w:right w:type="dxa" w:w="110"/>
            </w:tcMar>
            <w:vAlign w:val="center"/>
          </w:tcPr>
          <w:p>
            <w:r>
              <w:rPr>
                <w:b/>
                <w:bCs/>
                <w:color w:val="1a1a1a"/>
                <w:sz w:val="24"/>
                <w:szCs w:val="17"/>
              </w:rPr>
              <w:t xml:space="preserve">Simple-cycle (established offshore practice)</w:t>
            </w:r>
          </w:p>
        </w:tc>
        <w:tc>
          <w:tcPr>
            <w:tcW w:type="dxa" w:w="2000"/>
            <w:shd w:fill="FFFFFF" w:val="clear"/>
            <w:tcMar>
              <w:top w:type="dxa" w:w="80"/>
              <w:left w:type="dxa" w:w="110"/>
              <w:bottom w:type="dxa" w:w="80"/>
              <w:right w:type="dxa" w:w="110"/>
            </w:tcMar>
            <w:vAlign w:val="center"/>
          </w:tcPr>
          <w:p>
            <w:r>
              <w:rPr>
                <w:b w:val="false"/>
                <w:bCs w:val="false"/>
                <w:color w:val="1a1a1a"/>
                <w:sz w:val="24"/>
                <w:szCs w:val="17"/>
              </w:rPr>
              <w:t xml:space="preserve">108.0</w:t>
            </w:r>
          </w:p>
        </w:tc>
        <w:tc>
          <w:tcPr>
            <w:tcW w:type="dxa" w:w="1800"/>
            <w:shd w:fill="FFFFFF" w:val="clear"/>
            <w:tcMar>
              <w:top w:type="dxa" w:w="80"/>
              <w:left w:type="dxa" w:w="110"/>
              <w:bottom w:type="dxa" w:w="80"/>
              <w:right w:type="dxa" w:w="110"/>
            </w:tcMar>
            <w:vAlign w:val="center"/>
          </w:tcPr>
          <w:p>
            <w:r>
              <w:rPr>
                <w:b w:val="false"/>
                <w:bCs w:val="false"/>
                <w:color w:val="1a1a1a"/>
                <w:sz w:val="24"/>
                <w:szCs w:val="17"/>
              </w:rPr>
              <w:t xml:space="preserve">1.24</w:t>
            </w:r>
          </w:p>
        </w:tc>
        <w:tc>
          <w:tcPr>
            <w:tcW w:type="dxa" w:w="1500"/>
            <w:shd w:fill="FFFFFF" w:val="clear"/>
            <w:tcMar>
              <w:top w:type="dxa" w:w="80"/>
              <w:left w:type="dxa" w:w="110"/>
              <w:bottom w:type="dxa" w:w="80"/>
              <w:right w:type="dxa" w:w="110"/>
            </w:tcMar>
            <w:vAlign w:val="center"/>
          </w:tcPr>
          <w:p>
            <w:r>
              <w:rPr>
                <w:b w:val="false"/>
                <w:bCs w:val="false"/>
                <w:color w:val="1a1a1a"/>
                <w:sz w:val="24"/>
                <w:szCs w:val="17"/>
              </w:rPr>
              <w:t xml:space="preserve">1.14%</w:t>
            </w:r>
          </w:p>
        </w:tc>
      </w:tr>
      <w:tr>
        <w:tc>
          <w:tcPr>
            <w:tcW w:type="dxa" w:w="4200"/>
            <w:shd w:fill="EAF1F3" w:val="clear"/>
            <w:tcMar>
              <w:top w:type="dxa" w:w="80"/>
              <w:left w:type="dxa" w:w="110"/>
              <w:bottom w:type="dxa" w:w="80"/>
              <w:right w:type="dxa" w:w="110"/>
            </w:tcMar>
            <w:vAlign w:val="center"/>
          </w:tcPr>
          <w:p>
            <w:r>
              <w:rPr>
                <w:b/>
                <w:bCs/>
                <w:color w:val="1a1a1a"/>
                <w:sz w:val="24"/>
                <w:szCs w:val="17"/>
              </w:rPr>
              <w:t xml:space="preserve">Combined-cycle (Appomattox-precedented)</w:t>
            </w:r>
          </w:p>
        </w:tc>
        <w:tc>
          <w:tcPr>
            <w:tcW w:type="dxa" w:w="2000"/>
            <w:shd w:fill="EAF1F3" w:val="clear"/>
            <w:tcMar>
              <w:top w:type="dxa" w:w="80"/>
              <w:left w:type="dxa" w:w="110"/>
              <w:bottom w:type="dxa" w:w="80"/>
              <w:right w:type="dxa" w:w="110"/>
            </w:tcMar>
            <w:vAlign w:val="center"/>
          </w:tcPr>
          <w:p>
            <w:r>
              <w:rPr>
                <w:b w:val="false"/>
                <w:bCs w:val="false"/>
                <w:color w:val="1a1a1a"/>
                <w:sz w:val="24"/>
                <w:szCs w:val="17"/>
              </w:rPr>
              <w:t xml:space="preserve">148.0</w:t>
            </w:r>
          </w:p>
        </w:tc>
        <w:tc>
          <w:tcPr>
            <w:tcW w:type="dxa" w:w="1800"/>
            <w:shd w:fill="EAF1F3" w:val="clear"/>
            <w:tcMar>
              <w:top w:type="dxa" w:w="80"/>
              <w:left w:type="dxa" w:w="110"/>
              <w:bottom w:type="dxa" w:w="80"/>
              <w:right w:type="dxa" w:w="110"/>
            </w:tcMar>
            <w:vAlign w:val="center"/>
          </w:tcPr>
          <w:p>
            <w:r>
              <w:rPr>
                <w:b w:val="false"/>
                <w:bCs w:val="false"/>
                <w:color w:val="1a1a1a"/>
                <w:sz w:val="24"/>
                <w:szCs w:val="17"/>
              </w:rPr>
              <w:t xml:space="preserve">1.24</w:t>
            </w:r>
          </w:p>
        </w:tc>
        <w:tc>
          <w:tcPr>
            <w:tcW w:type="dxa" w:w="1500"/>
            <w:shd w:fill="EAF1F3" w:val="clear"/>
            <w:tcMar>
              <w:top w:type="dxa" w:w="80"/>
              <w:left w:type="dxa" w:w="110"/>
              <w:bottom w:type="dxa" w:w="80"/>
              <w:right w:type="dxa" w:w="110"/>
            </w:tcMar>
            <w:vAlign w:val="center"/>
          </w:tcPr>
          <w:p>
            <w:r>
              <w:rPr>
                <w:b w:val="false"/>
                <w:bCs w:val="false"/>
                <w:color w:val="1a1a1a"/>
                <w:sz w:val="24"/>
                <w:szCs w:val="17"/>
              </w:rPr>
              <w:t xml:space="preserve">0.83%</w:t>
            </w:r>
          </w:p>
        </w:tc>
      </w:tr>
    </w:tbl>
    <w:p>
      <w:pPr>
        <w:spacing w:before="160"/>
        <w:jc w:val="center"/>
      </w:pPr>
      <w:r>
        <w:rPr>
          <w:sz w:val="24"/>
        </w:rPr>
        <w:drawing>
          <wp:inline distT="0" distB="0" distL="0" distR="0">
            <wp:extent cx="5120640" cy="333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3336175"/>
                    </a:xfrm>
                    <a:prstGeom prst="rect">
                      <a:avLst/>
                    </a:prstGeom>
                  </pic:spPr>
                </pic:pic>
              </a:graphicData>
            </a:graphic>
          </wp:inline>
        </w:drawing>
      </w:r>
    </w:p>
    <w:p>
      <w:pPr>
        <w:spacing w:after="220" w:before="80"/>
      </w:pPr>
      <w:r>
        <w:rPr>
          <w:sz w:val="24"/>
        </w:rPr>
        <w:t>Fig. 1 Gas turbine vs. wave-array contribution to average power supply, both gas-turbine cycle scenarios</w:t>
      </w:r>
    </w:p>
    <w:p>
      <w:pPr>
        <w:pStyle w:val="Heading2"/>
        <w:spacing w:after="100" w:before="220"/>
      </w:pPr>
      <w:r>
        <w:rPr>
          <w:b/>
          <w:bCs/>
          <w:color w:val="1C7293"/>
          <w:sz w:val="26"/>
          <w:szCs w:val="22"/>
        </w:rPr>
        <w:t xml:space="preserve">4.2 Facility PUE vs. real-world benchmarks</w:t>
      </w:r>
    </w:p>
    <w:p>
      <w:pPr>
        <w:spacing w:after="140" w:line="268"/>
        <w:jc w:val="both"/>
      </w:pPr>
      <w:r>
        <w:rPr>
          <w:color w:val="1a1a1a"/>
          <w:sz w:val="24"/>
          <w:szCs w:val="20"/>
        </w:rPr>
        <w:t xml:space="preserve">The modeled facility PUE (1.085) sits between Microsoft's measured Natick result (1.07, renewable-grid-tied) and Aikido's projected AO60DC target (&lt;1.08, wind-tied, in development), and comfortably below the 1.30-1.50 range typical of conventional terrestrial hyperscale facilities and the 1.15 midpoint of modern best-practice terrestrial designs (Figure 2). This is a plausible, literature-consistent claim -- unlike the original proposal's ~1.04 figure, which was not supported by any stated calculation and which this model does not reproduce even under favorable assumptions.</w:t>
      </w:r>
    </w:p>
    <w:p>
      <w:pPr>
        <w:spacing w:before="160"/>
        <w:jc w:val="center"/>
      </w:pPr>
      <w:r>
        <w:rPr>
          <w:sz w:val="24"/>
        </w:rPr>
        <w:drawing>
          <wp:inline distT="0" distB="0" distL="0" distR="0">
            <wp:extent cx="4937760" cy="29925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7760" cy="2992582"/>
                    </a:xfrm>
                    <a:prstGeom prst="rect">
                      <a:avLst/>
                    </a:prstGeom>
                  </pic:spPr>
                </pic:pic>
              </a:graphicData>
            </a:graphic>
          </wp:inline>
        </w:drawing>
      </w:r>
    </w:p>
    <w:p>
      <w:pPr>
        <w:spacing w:after="220" w:before="80"/>
      </w:pPr>
      <w:r>
        <w:rPr>
          <w:sz w:val="24"/>
        </w:rPr>
        <w:t>Fig. 2 Facility PUE: HSE-FDC modeled value vs. conventional, best-practice, and real-world marine-cooled benchmarks</w:t>
      </w:r>
    </w:p>
    <w:p>
      <w:pPr>
        <w:pStyle w:val="Heading2"/>
        <w:spacing w:after="100" w:before="220"/>
      </w:pPr>
      <w:r>
        <w:rPr>
          <w:b/>
          <w:bCs/>
          <w:color w:val="1C7293"/>
          <w:sz w:val="26"/>
          <w:szCs w:val="22"/>
        </w:rPr>
        <w:t xml:space="preserve">4.3 Primary energy efficiency: the central finding</w:t>
      </w:r>
    </w:p>
    <w:p>
      <w:pPr>
        <w:spacing w:after="140" w:line="268"/>
        <w:jc w:val="both"/>
      </w:pPr>
      <w:r>
        <w:rPr>
          <w:color w:val="1a1a1a"/>
          <w:sz w:val="24"/>
          <w:szCs w:val="20"/>
        </w:rPr>
        <w:t xml:space="preserve">Figure 3 reports the primary energy efficiency metric defined in Section 3.4. Despite its favorable facility PUE, the simple-cycle HSE-FDC configuration delivers only 25.5% primary energy efficiency, and the combined-cycle configuration 38.7% -- both below the 43.0% computed for a conventional mixed-fuel grid-tied facility, and dramatically below the 93.5% figure for a renewable-grid-tied facility such as Natick. This is the central finding of this study: a favorable facility PUE, taken alone, does not indicate favorable total energy efficiency when the facility also performs its own fossil-fuel generation, because the thermodynamic conversion loss (67% for simple-cycle, 50% for combined-cycle gas turbines) and the CCS parasitic load (16%) both occur upstream of the PUE accounting boundary and are consequently invisible to a PUE-only comparison.</w:t>
      </w:r>
    </w:p>
    <w:p>
      <w:pPr>
        <w:spacing w:before="160"/>
        <w:jc w:val="center"/>
      </w:pPr>
      <w:r>
        <w:rPr>
          <w:sz w:val="24"/>
        </w:rPr>
        <w:drawing>
          <wp:inline distT="0" distB="0" distL="0" distR="0">
            <wp:extent cx="5212080" cy="32958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12080" cy="3295874"/>
                    </a:xfrm>
                    <a:prstGeom prst="rect">
                      <a:avLst/>
                    </a:prstGeom>
                  </pic:spPr>
                </pic:pic>
              </a:graphicData>
            </a:graphic>
          </wp:inline>
        </w:drawing>
      </w:r>
    </w:p>
    <w:p>
      <w:pPr>
        <w:spacing w:after="220" w:before="80"/>
      </w:pPr>
      <w:r>
        <w:rPr>
          <w:sz w:val="24"/>
        </w:rPr>
        <w:t>Fig. 3 Primary (fuel-to-compute) energy efficiency: HSE-FDC vs. grid-tied and renewable-tied benchmarks. This metric, not facility PUE alone, determines total energy efficiency for a self-generating platform</w:t>
      </w:r>
    </w:p>
    <w:p>
      <w:pPr>
        <w:pStyle w:val="Heading2"/>
        <w:spacing w:after="100" w:before="220"/>
      </w:pPr>
      <w:r>
        <w:rPr>
          <w:b/>
          <w:bCs/>
          <w:color w:val="1C7293"/>
          <w:sz w:val="26"/>
          <w:szCs w:val="22"/>
        </w:rPr>
        <w:t xml:space="preserve">4.4 Carbon intensity</w:t>
      </w:r>
    </w:p>
    <w:p>
      <w:pPr>
        <w:spacing w:after="140" w:line="268"/>
        <w:jc w:val="both"/>
      </w:pPr>
      <w:r>
        <w:rPr>
          <w:sz w:val="24"/>
        </w:rPr>
        <w:t>Figure 4 reports carbon intensity per kWh delivered to the IT load. Without CCS, both gas-turbine scenarios exceed the US grid average (simple-cycle: 0.664 kg CO₂/kWh vs. grid average 0.386 kg CO₂/kWh); with CCS at the assumed 90% capture rate, net intensity falls to 0.079-0.052 kg CO₂/kWh, below grid average but still substantially above a renewable-grid-tied facility such as Natick (~0.02 kg CO₂/kWh, dominated by upstream renewable-infrastructure lifecycle emissions rather than combustion). CCS is therefore not optional for this architecture to achieve a credible carbon-intensity claim relative to grid alternatives; without it, the platform is carbon-intensive relative to the grid it claims to bypass.</w:t>
      </w:r>
    </w:p>
    <w:p>
      <w:pPr>
        <w:spacing w:before="160"/>
        <w:jc w:val="center"/>
      </w:pPr>
      <w:r>
        <w:rPr>
          <w:sz w:val="24"/>
        </w:rPr>
        <w:drawing>
          <wp:inline distT="0" distB="0" distL="0" distR="0">
            <wp:extent cx="5212080" cy="32958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12080" cy="3295874"/>
                    </a:xfrm>
                    <a:prstGeom prst="rect">
                      <a:avLst/>
                    </a:prstGeom>
                  </pic:spPr>
                </pic:pic>
              </a:graphicData>
            </a:graphic>
          </wp:inline>
        </w:drawing>
      </w:r>
    </w:p>
    <w:p>
      <w:pPr>
        <w:spacing w:after="220" w:before="80"/>
      </w:pPr>
      <w:r>
        <w:rPr>
          <w:sz w:val="24"/>
        </w:rPr>
        <w:t>Fig. 4 Carbon intensity (kg CO₂ per kWh delivered to IT load): HSE-FDC with and without CCS, vs. grid and renewable-tied benchmarks</w:t>
      </w:r>
    </w:p>
    <w:p>
      <w:pPr>
        <w:pStyle w:val="Heading1"/>
        <w:pBdr>
          <w:bottom w:val="single" w:color="1C7293" w:sz="5" w:space="4"/>
        </w:pBdr>
        <w:spacing w:after="140" w:before="340"/>
      </w:pPr>
      <w:r>
        <w:rPr>
          <w:b/>
          <w:bCs/>
          <w:color w:val="1B3A5C"/>
          <w:sz w:val="30"/>
          <w:szCs w:val="26"/>
        </w:rPr>
        <w:t xml:space="preserve">5. Discussion</w:t>
      </w:r>
    </w:p>
    <w:p>
      <w:pPr>
        <w:pStyle w:val="Heading2"/>
        <w:spacing w:after="100" w:before="220"/>
      </w:pPr>
      <w:r>
        <w:rPr>
          <w:b/>
          <w:bCs/>
          <w:color w:val="1C7293"/>
          <w:sz w:val="26"/>
          <w:szCs w:val="22"/>
        </w:rPr>
        <w:t xml:space="preserve">5.1 Novelty must be reframed</w:t>
      </w:r>
    </w:p>
    <w:p>
      <w:pPr>
        <w:spacing w:after="140" w:line="268"/>
        <w:jc w:val="both"/>
      </w:pPr>
      <w:r>
        <w:rPr>
          <w:color w:val="1a1a1a"/>
          <w:sz w:val="24"/>
          <w:szCs w:val="20"/>
        </w:rPr>
        <w:t xml:space="preserve">Given the prior art in Section 1.2, this architecture's genuine contribution cannot rest on marine cooling (proven by Natick), floating offshore siting (in active commercial development by Aikido), or gas-to-compute conversion (commercialized by Crusoe, deployed by xAI, and patented [10]). The contribution this study can support is narrower and more specific: a quantitative feasibility and primary-energy accounting of the seabed-gas-plus-wave-plus-CCS combination specifically, and the finding that this particular combination, despite a competitive facility PUE, does not achieve competitive total primary energy efficiency relative to either grid-tied or renewable-tied alternatives.</w:t>
      </w:r>
    </w:p>
    <w:p>
      <w:pPr>
        <w:pStyle w:val="Heading2"/>
        <w:spacing w:after="100" w:before="220"/>
      </w:pPr>
      <w:r>
        <w:rPr>
          <w:b/>
          <w:bCs/>
          <w:color w:val="1C7293"/>
          <w:sz w:val="26"/>
          <w:szCs w:val="22"/>
        </w:rPr>
        <w:t xml:space="preserve">5.2 The wave energy contribution is not material</w:t>
      </w:r>
    </w:p>
    <w:p>
      <w:pPr>
        <w:spacing w:after="140" w:line="268"/>
        <w:jc w:val="both"/>
      </w:pPr>
      <w:r>
        <w:rPr>
          <w:color w:val="1a1a1a"/>
          <w:sz w:val="24"/>
          <w:szCs w:val="20"/>
        </w:rPr>
        <w:t xml:space="preserve">At 0.8-1.1% of average supply, the wave-energy-converter array does not materially change the platform's power balance, carbon intensity, or primary energy efficiency; removing it entirely from the architecture would change every result in Section 4 by less than 1.2 percentage points. Its inclusion in the original proposal as a named co-equal power source alongside gas alongside wind (“auxiliary offshore wind, and closed-loop marine thermal exchange”) is not supported by the wave-resource physics at representative offshore capacity factors, and future iterations of this concept should describe it as a minor fuel-offset supplement, not a hybrid baseload component.</w:t>
      </w:r>
    </w:p>
    <w:p>
      <w:pPr>
        <w:pStyle w:val="Heading2"/>
        <w:spacing w:after="100" w:before="220"/>
      </w:pPr>
      <w:r>
        <w:rPr>
          <w:b/>
          <w:bCs/>
          <w:color w:val="1C7293"/>
          <w:sz w:val="26"/>
          <w:szCs w:val="22"/>
        </w:rPr>
        <w:t xml:space="preserve">5.3 Scope of the sustainability claim</w:t>
      </w:r>
    </w:p>
    <w:p>
      <w:pPr>
        <w:spacing w:after="140" w:line="268"/>
        <w:jc w:val="both"/>
      </w:pPr>
      <w:r>
        <w:rPr>
          <w:color w:val="1a1a1a"/>
          <w:sz w:val="24"/>
          <w:szCs w:val="20"/>
        </w:rPr>
        <w:t xml:space="preserve">This study's finding should not be read as a claim that the HSE-FDC case study is inherently less sustainable than all existing data-center infrastructure, nor does the proposed framework claim that self-powered architectures are inherently inferior in general. Modern data-center sustainability practice increasingly combines high-efficiency IT hardware, workload consolidation, advanced liquid and free cooling, renewable power purchase agreements, thermal-aware workload scheduling, and waste-heat reuse; this study does not model or compare against any of these operational strategies, and makes no claim about them. The comparison developed here is narrower and specific to the accounting boundary problem: for a facility that performs its own on-site fossil-fuel generation, facility PUE alone omits the generation-side losses that a grid-tied facility does not need to report, and this can produce a misleadingly favorable sustainability impression. The case study's own result illustrates this precisely -- HSE-FDC's facility PUE (1.08-1.09) is competitive with real, renewable-tied marine-cooled infrastructure, while its primary energy efficiency (25.5-38.7%) is not. This is a testable, falsifiable claim about the specific case study evaluated, not a general theorem about all self-powered or distributed computing architectures, and the original proposal's framing of “zero grid dependency” as an unqualified advantage should be understood in this narrower, corrected sense.</w:t>
      </w:r>
    </w:p>
    <w:p>
      <w:pPr>
        <w:pStyle w:val="Heading2"/>
        <w:spacing w:after="100" w:before="220"/>
      </w:pPr>
      <w:r>
        <w:rPr>
          <w:b/>
          <w:bCs/>
          <w:color w:val="1C7293"/>
          <w:sz w:val="26"/>
          <w:szCs w:val="22"/>
        </w:rPr>
        <w:t xml:space="preserve">5.4 Broader applicability of the framework</w:t>
      </w:r>
    </w:p>
    <w:p>
      <w:pPr>
        <w:spacing w:after="140" w:line="268"/>
        <w:jc w:val="both"/>
      </w:pPr>
      <w:r>
        <w:rPr>
          <w:color w:val="1a1a1a"/>
          <w:sz w:val="24"/>
          <w:szCs w:val="20"/>
        </w:rPr>
        <w:t xml:space="preserve">The boundary-aware primary-energy framework developed in Section 3.4 is not specific to offshore platforms or to gas-turbine generation; it applies to any computing infrastructure that performs on-site energy conversion rather than importing already-generated electricity. Candidate contexts include remote AI training clusters sited at stranded or curtailed renewable generation (where curtailment-to-compute schemes still involve a generation-side efficiency and, if paired with backup fossil generation, a conversion loss analogous to Section 4.3); microgrid-connected facilities that blend on-site generation with limited grid import, for which a blended primary-energy efficiency could be computed using the same accounting structure; and other stranded-energy computing proposals, including additional flare-gas-to-compute deployments beyond the Crusoe and xAI examples cited in Section 1.3, for which the same gap between facility PUE and primary energy efficiency should be expected wherever on-site combustion is involved. Applying the framework to these contexts is proposed as future work; this study establishes the accounting method and demonstrates it on one fully worked case study.</w:t>
      </w:r>
    </w:p>
    <w:p>
      <w:pPr>
        <w:pStyle w:val="Heading2"/>
        <w:spacing w:after="100" w:before="220"/>
      </w:pPr>
      <w:r>
        <w:rPr>
          <w:b/>
          <w:bCs/>
          <w:color w:val="1C7293"/>
          <w:sz w:val="26"/>
          <w:szCs w:val="22"/>
        </w:rPr>
        <w:t xml:space="preserve">5.5 CCS reinjection and combined-cycle weight are unresolved engineering risks</w:t>
      </w:r>
    </w:p>
    <w:p>
      <w:pPr>
        <w:spacing w:after="140" w:line="268"/>
        <w:jc w:val="both"/>
      </w:pPr>
      <w:r>
        <w:rPr>
          <w:color w:val="1a1a1a"/>
          <w:sz w:val="24"/>
          <w:szCs w:val="20"/>
        </w:rPr>
        <w:t xml:space="preserve">The original proposal's plan to compress and reinject CO₂ “into depleted seabed geological formations” assumes reinjection capacity, geological suitability, and monitoring infrastructure that this study does not evaluate and that are not trivial at gigawatt-scale continuous operation; this is a stated limitation (Section 5.7), not a resolved design element. Separately, combined-cycle configuration, while precedented at Appomattox, adds substantial topside weight (an HRSG and steam turbine train reported at 48-179 tonnes in comparable studies [4]) that is a material engineering trade-off against a floating, rather than fixed, platform's buoyancy and stability margins -- a trade-off the original proposal's combined-cycle assumption did not address.</w:t>
      </w:r>
    </w:p>
    <w:p>
      <w:pPr>
        <w:pStyle w:val="Heading2"/>
        <w:spacing w:after="100" w:before="220"/>
      </w:pPr>
      <w:r>
        <w:rPr>
          <w:b/>
          <w:bCs/>
          <w:color w:val="1C7293"/>
          <w:sz w:val="26"/>
          <w:szCs w:val="22"/>
        </w:rPr>
        <w:t xml:space="preserve">5.6 Regulatory precedent</w:t>
      </w:r>
    </w:p>
    <w:p>
      <w:pPr>
        <w:spacing w:after="140" w:line="268"/>
        <w:jc w:val="both"/>
      </w:pPr>
      <w:r>
        <w:rPr>
          <w:color w:val="1a1a1a"/>
          <w:sz w:val="24"/>
          <w:szCs w:val="20"/>
        </w:rPr>
        <w:t xml:space="preserve">xAI's Colossus facility has drawn documented regulatory scrutiny over gas-turbine permitting for an onshore, grid-adjacent site [9]; an offshore, internationally-sited platform would face a distinct but not necessarily lighter regulatory regime, particularly for CCS reinjection permitting and emissions monitoring, and this is not addressed by the original proposal's risk-analysis section, which covered only corrosion, fuel treatment, and biofouling.</w:t>
      </w:r>
    </w:p>
    <w:p>
      <w:pPr>
        <w:pStyle w:val="Heading2"/>
        <w:spacing w:after="100" w:before="220"/>
      </w:pPr>
      <w:r>
        <w:rPr>
          <w:b/>
          <w:bCs/>
          <w:color w:val="1C7293"/>
          <w:sz w:val="26"/>
          <w:szCs w:val="22"/>
        </w:rPr>
        <w:t xml:space="preserve">5.7 Limitations</w:t>
      </w:r>
    </w:p>
    <w:p>
      <w:pPr>
        <w:pStyle w:val="ListParagraph"/>
        <w:numPr>
          <w:ilvl w:val="0"/>
          <w:numId w:val="2"/>
        </w:numPr>
        <w:spacing w:after="70" w:line="258"/>
      </w:pPr>
      <w:r>
        <w:rPr>
          <w:color w:val="1a1a1a"/>
          <w:sz w:val="24"/>
          <w:szCs w:val="20"/>
        </w:rPr>
        <w:t xml:space="preserve">The wave-power flux formula (Section 3.2) is a standard linear-wave-theory approximation and does not capture higher-order sea-state effects, device-array hydrodynamic interaction, or mooring/structural dynamics.</w:t>
      </w:r>
    </w:p>
    <w:p>
      <w:pPr>
        <w:pStyle w:val="ListParagraph"/>
        <w:numPr>
          <w:ilvl w:val="0"/>
          <w:numId w:val="2"/>
        </w:numPr>
        <w:spacing w:after="70" w:line="258"/>
      </w:pPr>
      <w:r>
        <w:rPr>
          <w:color w:val="1a1a1a"/>
          <w:sz w:val="24"/>
          <w:szCs w:val="20"/>
        </w:rPr>
        <w:t xml:space="preserve">CCS reinjection logistics, capacity, and long-term seabed storage integrity are not modeled and are treated as an open engineering question, not a resolved design element.</w:t>
      </w:r>
    </w:p>
    <w:p>
      <w:pPr>
        <w:pStyle w:val="ListParagraph"/>
        <w:numPr>
          <w:ilvl w:val="0"/>
          <w:numId w:val="2"/>
        </w:numPr>
        <w:spacing w:after="70" w:line="258"/>
      </w:pPr>
      <w:r>
        <w:rPr>
          <w:color w:val="1a1a1a"/>
          <w:sz w:val="24"/>
          <w:szCs w:val="20"/>
        </w:rPr>
        <w:t xml:space="preserve">Combined-cycle weight/footprint trade-offs specific to a floating (as opposed to fixed) platform are noted qualitatively (Section 5.5) but not quantitatively modeled here.</w:t>
      </w:r>
    </w:p>
    <w:p>
      <w:pPr>
        <w:pStyle w:val="ListParagraph"/>
        <w:numPr>
          <w:ilvl w:val="0"/>
          <w:numId w:val="2"/>
        </w:numPr>
        <w:spacing w:after="70" w:line="258"/>
      </w:pPr>
      <w:r>
        <w:rPr>
          <w:color w:val="1a1a1a"/>
          <w:sz w:val="24"/>
          <w:szCs w:val="20"/>
        </w:rPr>
        <w:t xml:space="preserve">Capital cost and levelized cost of compute are not modeled in this study; the contribution here is restricted to the power-balance, PUE, and primary-energy accounting.</w:t>
      </w:r>
    </w:p>
    <w:p>
      <w:pPr>
        <w:pStyle w:val="ListParagraph"/>
        <w:numPr>
          <w:ilvl w:val="0"/>
          <w:numId w:val="2"/>
        </w:numPr>
        <w:spacing w:after="70" w:line="258"/>
      </w:pPr>
      <w:r>
        <w:rPr>
          <w:color w:val="1a1a1a"/>
          <w:sz w:val="24"/>
          <w:szCs w:val="20"/>
        </w:rPr>
        <w:t xml:space="preserve">Grid and renewable-tied comparison baselines (Section 3.4) use representative, literature-typical figures rather than a site-specific comparison, since no specific onshore alternative site is named in the original proposal.</w:t>
      </w:r>
    </w:p>
    <w:p>
      <w:pPr>
        <w:pStyle w:val="ListParagraph"/>
        <w:numPr>
          <w:ilvl w:val="0"/>
          <w:numId w:val="2"/>
        </w:numPr>
        <w:spacing w:after="70" w:line="258"/>
      </w:pPr>
      <w:r>
        <w:rPr>
          <w:color w:val="1a1a1a"/>
          <w:sz w:val="24"/>
          <w:szCs w:val="20"/>
        </w:rPr>
        <w:t xml:space="preserve">Embodied infrastructure impact, computing-resource utilization, and workload-management strategies -- all recognized levers in the broader sustainable-computing literature -- are outside the scope of this study's accounting framework, which addresses only the generation-and-cooling energy boundary; a full lifecycle comparison would need to incorporate them and is identified here as future work rather than modeled.</w:t>
      </w:r>
    </w:p>
    <w:p>
      <w:pPr>
        <w:pStyle w:val="Heading1"/>
        <w:pBdr>
          <w:bottom w:val="single" w:color="1C7293" w:sz="5" w:space="4"/>
        </w:pBdr>
        <w:spacing w:after="140" w:before="340"/>
      </w:pPr>
      <w:r>
        <w:rPr>
          <w:b/>
          <w:bCs/>
          <w:color w:val="1B3A5C"/>
          <w:sz w:val="30"/>
          <w:szCs w:val="26"/>
        </w:rPr>
        <w:t xml:space="preserve">6. Conclusions</w:t>
      </w:r>
    </w:p>
    <w:p>
      <w:pPr>
        <w:spacing w:after="140" w:line="268"/>
        <w:jc w:val="both"/>
      </w:pPr>
      <w:r>
        <w:rPr>
          <w:color w:val="1a1a1a"/>
          <w:sz w:val="24"/>
          <w:szCs w:val="20"/>
        </w:rPr>
        <w:t xml:space="preserve">This study set out to test the hypothesis that facility-level PUE can systematically overestimate the sustainability of self-powered computing infrastructure, and to develop a general accounting framework capable of detecting that gap. Applied to a proposal-stage case study (HSE-FDC) that had claimed a PUE of approximately 1.04 with negligible grid dependency, the framework finds: (1) a facility PUE of 1.08-1.09 is plausible and comparable to, though not superior to, real-world marine-cooled benchmarks (Natick 1.07, Aikido's projected &lt;1.08); (2) at realistic point-absorber capacity factors, the case study's wave-energy array contributes under 1.2% of average power supply and should not be characterized as a hybrid baseload component; and (3) despite its favorable facility PUE, the case study's primary (fuel-to-compute) energy efficiency of 25.5-38.7% is below both a conventional grid-tied facility (43.0%) and, by a wide margin, a renewable-grid-tied facility (93.5%), because on-site combustion and CCS parasitic load impose losses upstream of the PUE accounting boundary. This confirms the study's central hypothesis for at least this one case: a favorable facility PUE did not correspond to favorable total energy efficiency. The result is reported as a property of this specific case study and accounting boundary, not as a general claim that self-powered or distributed computing architectures are inherently less sustainable than centralized, grid-tied alternatives; modern operational sustainability strategies (workload optimization, advanced cooling, renewable procurement, heat reuse) remain outside this study's scope and are not compared against. The framework's proposed value is broader than this one case study: it offers a boundary-aware method applicable to other self-powered and off-grid computing contexts -- remote AI clusters, microgrid-connected facilities, and stranded-energy computing -- wherever facility PUE alone would otherwise be the only reported sustainability signal.</w:t>
      </w:r>
    </w:p>
    <w:p>
      <w:pPr>
        <w:pStyle w:val="Heading1"/>
        <w:pBdr>
          <w:bottom w:val="single" w:color="1C7293" w:sz="5" w:space="4"/>
        </w:pBdr>
        <w:spacing w:after="140" w:before="340"/>
      </w:pPr>
      <w:r>
        <w:rPr>
          <w:b/>
          <w:bCs/>
          <w:color w:val="1B3A5C"/>
          <w:sz w:val="30"/>
          <w:szCs w:val="26"/>
        </w:rPr>
        <w:t xml:space="preserve">Declarations</w:t>
      </w:r>
    </w:p>
    <w:p>
      <w:pPr>
        <w:pStyle w:val="Heading2"/>
        <w:spacing w:after="100" w:before="220"/>
      </w:pPr>
      <w:r>
        <w:rPr>
          <w:b/>
          <w:bCs/>
          <w:color w:val="1C7293"/>
          <w:sz w:val="26"/>
          <w:szCs w:val="22"/>
        </w:rPr>
        <w:t xml:space="preserve">Ethics approval and consent to participate</w:t>
      </w:r>
    </w:p>
    <w:p>
      <w:pPr>
        <w:spacing w:after="140" w:line="268"/>
        <w:jc w:val="both"/>
      </w:pPr>
      <w:r>
        <w:rPr>
          <w:color w:val="1a1a1a"/>
          <w:sz w:val="24"/>
          <w:szCs w:val="20"/>
        </w:rPr>
        <w:t xml:space="preserve">Not applicable. This study is a theoretical modeling and literature-based feasibility analysis; it does not involve human participants, human data, or animal subjects.</w:t>
      </w:r>
    </w:p>
    <w:p>
      <w:pPr>
        <w:pStyle w:val="Heading2"/>
        <w:spacing w:after="100" w:before="220"/>
      </w:pPr>
      <w:r>
        <w:rPr>
          <w:b/>
          <w:bCs/>
          <w:color w:val="1C7293"/>
          <w:sz w:val="26"/>
          <w:szCs w:val="22"/>
        </w:rPr>
        <w:t xml:space="preserve">Consent for publication</w:t>
      </w:r>
    </w:p>
    <w:p>
      <w:pPr>
        <w:spacing w:after="140" w:line="268"/>
        <w:jc w:val="both"/>
      </w:pPr>
      <w:r>
        <w:rPr>
          <w:color w:val="1a1a1a"/>
          <w:sz w:val="24"/>
          <w:szCs w:val="20"/>
        </w:rPr>
        <w:t xml:space="preserve">Not applicable.</w:t>
      </w:r>
    </w:p>
    <w:p>
      <w:pPr>
        <w:pStyle w:val="Heading2"/>
        <w:spacing w:after="100" w:before="220"/>
      </w:pPr>
      <w:r>
        <w:rPr>
          <w:b/>
          <w:bCs/>
          <w:color w:val="1C7293"/>
          <w:sz w:val="26"/>
          <w:szCs w:val="22"/>
        </w:rPr>
        <w:t xml:space="preserve">Competing interests</w:t>
      </w:r>
    </w:p>
    <w:p>
      <w:pPr>
        <w:spacing w:after="140" w:line="268"/>
        <w:jc w:val="both"/>
      </w:pPr>
      <w:r>
        <w:rPr>
          <w:color w:val="1a1a1a"/>
          <w:sz w:val="24"/>
          <w:szCs w:val="20"/>
        </w:rPr>
        <w:t xml:space="preserve">The author declares no competing interests.</w:t>
      </w:r>
    </w:p>
    <w:p>
      <w:pPr>
        <w:pStyle w:val="Heading2"/>
        <w:spacing w:after="100" w:before="220"/>
      </w:pPr>
      <w:r>
        <w:rPr>
          <w:b/>
          <w:bCs/>
          <w:color w:val="1C7293"/>
          <w:sz w:val="26"/>
          <w:szCs w:val="22"/>
        </w:rPr>
        <w:t xml:space="preserve">Funding</w:t>
      </w:r>
    </w:p>
    <w:p>
      <w:pPr>
        <w:spacing w:after="140" w:line="268"/>
        <w:jc w:val="both"/>
      </w:pPr>
      <w:r>
        <w:rPr>
          <w:color w:val="1a1a1a"/>
          <w:sz w:val="24"/>
          <w:szCs w:val="20"/>
        </w:rPr>
        <w:t xml:space="preserve">This research did not receive any specific grant from funding agencies in the public, commercial, or not-for-profit sectors.</w:t>
      </w:r>
    </w:p>
    <w:p>
      <w:pPr>
        <w:pStyle w:val="Heading2"/>
        <w:spacing w:after="100" w:before="220"/>
      </w:pPr>
      <w:r>
        <w:rPr>
          <w:b/>
          <w:bCs/>
          <w:color w:val="1C7293"/>
          <w:sz w:val="26"/>
          <w:szCs w:val="22"/>
        </w:rPr>
        <w:t xml:space="preserve">Data availability</w:t>
      </w:r>
    </w:p>
    <w:p>
      <w:pPr>
        <w:spacing w:after="140" w:line="268"/>
        <w:jc w:val="both"/>
      </w:pPr>
      <w:r>
        <w:t>The full model implementation (gas-turbine, wave-energy-converter, PUE, primary-energy-efficiency, and carbon-intensity calculations) and all parameters used to generate the results in this study are openly available at {GITHUB_URL} (MIT license) and archived with a permanent DOI on Zenodo: {CODE_DOI_URL}. The manuscript itself is additionally archived on Zenodo: {PAPER_DOI_URL}.</w:t>
      </w:r>
    </w:p>
    <w:p>
      <w:pPr>
        <w:pStyle w:val="Heading2"/>
        <w:spacing w:after="100" w:before="220"/>
      </w:pPr>
      <w:r>
        <w:rPr>
          <w:b/>
          <w:bCs/>
          <w:color w:val="1C7293"/>
          <w:sz w:val="26"/>
          <w:szCs w:val="22"/>
        </w:rPr>
        <w:t xml:space="preserve">Authors' contributions</w:t>
      </w:r>
    </w:p>
    <w:p>
      <w:pPr>
        <w:spacing w:after="140" w:line="268"/>
        <w:jc w:val="both"/>
      </w:pPr>
      <w:r>
        <w:rPr>
          <w:color w:val="1a1a1a"/>
          <w:sz w:val="24"/>
          <w:szCs w:val="20"/>
        </w:rPr>
        <w:t xml:space="preserve">Leon Sandler: conceptualization, methodology, software, formal analysis, investigation, writing – original draft, writing – review and editing. The author read and approved the final manuscript.</w:t>
      </w:r>
    </w:p>
    <w:p>
      <w:pPr>
        <w:pStyle w:val="Heading2"/>
        <w:spacing w:after="100" w:before="220"/>
      </w:pPr>
      <w:r>
        <w:rPr>
          <w:b/>
          <w:bCs/>
          <w:color w:val="1C7293"/>
          <w:sz w:val="26"/>
          <w:szCs w:val="22"/>
        </w:rPr>
        <w:t xml:space="preserve">Acknowledgements</w:t>
      </w:r>
    </w:p>
    <w:p>
      <w:pPr>
        <w:spacing w:after="140" w:line="268"/>
        <w:jc w:val="both"/>
      </w:pPr>
      <w:r>
        <w:rPr>
          <w:color w:val="1a1a1a"/>
          <w:sz w:val="24"/>
          <w:szCs w:val="20"/>
        </w:rPr>
        <w:t xml:space="preserve">Not applicable.</w:t>
      </w:r>
    </w:p>
    <w:p>
      <w:pPr>
        <w:sectPr>
          <w:headerReference w:type="default" r:id="rId7"/>
          <w:footerReference w:type="default" r:id="rId8"/>
          <w:pgSz w:w="12240" w:h="15840" w:orient="portrait"/>
          <w:pgMar w:top="1350" w:right="1350" w:bottom="1350" w:left="1350" w:header="708" w:footer="708" w:gutter="0"/>
          <w:pgNumType/>
          <w:docGrid w:linePitch="360"/>
        </w:sectPr>
      </w:pPr>
    </w:p>
    <w:p>
      <w:pPr>
        <w:pStyle w:val="Heading1"/>
        <w:pBdr>
          <w:bottom w:val="single" w:color="1C7293" w:sz="5" w:space="4"/>
        </w:pBdr>
        <w:spacing w:after="140" w:before="340"/>
      </w:pPr>
      <w:r>
        <w:rPr>
          <w:b/>
          <w:bCs/>
          <w:color w:val="1B3A5C"/>
          <w:sz w:val="30"/>
          <w:szCs w:val="26"/>
        </w:rPr>
        <w:t xml:space="preserve">References</w:t>
      </w:r>
    </w:p>
    <w:p>
      <w:pPr>
        <w:spacing w:after="140" w:line="254"/>
        <w:ind w:left="360" w:hanging="360"/>
        <w:jc w:val="both"/>
      </w:pPr>
      <w:r>
        <w:rPr>
          <w:color w:val="1a1a1a"/>
          <w:sz w:val="24"/>
          <w:szCs w:val="19"/>
        </w:rPr>
        <w:t xml:space="preserve">[1] Falnes J (2007) A review of wave-energy extraction. Mar Struct 20(4):185–201. https://doi.org/10.1016/j.marstruc.2007.09.001</w:t>
      </w:r>
    </w:p>
    <w:p>
      <w:pPr>
        <w:spacing w:after="140" w:line="254"/>
        <w:ind w:left="360" w:hanging="360"/>
        <w:jc w:val="both"/>
      </w:pPr>
      <w:r>
        <w:rPr>
          <w:color w:val="1a1a1a"/>
          <w:sz w:val="24"/>
          <w:szCs w:val="19"/>
        </w:rPr>
        <w:t xml:space="preserve">[2] Faizal M, Ahmed MR, Lee Y-H (2014) A design outline for floating point absorber wave energy converters. J Renew Energy 2014:846097. https://doi.org/10.1155/2014/846097</w:t>
      </w:r>
    </w:p>
    <w:p>
      <w:pPr>
        <w:spacing w:after="140" w:line="254"/>
        <w:ind w:left="360" w:hanging="360"/>
        <w:jc w:val="both"/>
      </w:pPr>
      <w:r>
        <w:rPr>
          <w:color w:val="1a1a1a"/>
          <w:sz w:val="24"/>
          <w:szCs w:val="19"/>
        </w:rPr>
        <w:t xml:space="preserve">[3] Aderinto T, Li H (2019) Review on power performance and efficiency of wave energy converters. Energies 12(22):4329. https://doi.org/10.3390/en12224329</w:t>
      </w:r>
    </w:p>
    <w:p>
      <w:pPr>
        <w:spacing w:after="140" w:line="254"/>
        <w:ind w:left="360" w:hanging="360"/>
        <w:jc w:val="both"/>
      </w:pPr>
      <w:r>
        <w:rPr>
          <w:color w:val="1a1a1a"/>
          <w:sz w:val="24"/>
          <w:szCs w:val="19"/>
        </w:rPr>
        <w:t xml:space="preserve">[4] IPIECA (2022) Combined-cycle gas turbines. Energy Efficiency Compendium. International Petroleum Industry Environmental Conservation Association, London. https://www.ipieca.org/resources/energy-efficiency-solutions/power-and-heat-generation/combined-cycle-gas-turbines</w:t>
      </w:r>
    </w:p>
    <w:p>
      <w:pPr>
        <w:spacing w:after="140" w:line="254"/>
        <w:ind w:left="360" w:hanging="360"/>
        <w:jc w:val="both"/>
      </w:pPr>
      <w:r>
        <w:rPr>
          <w:color w:val="1a1a1a"/>
          <w:sz w:val="24"/>
          <w:szCs w:val="19"/>
        </w:rPr>
        <w:t xml:space="preserve">[5] Offshore Magazine (2023) Combined cycle power plants may help offshore producers decarbonize. Endeavor Business Media, Tulsa, OK. https://www.offshore-mag.com/production/article/14294254/combined-cycle-power-plants-may-help-offshore-producers-decarbonize</w:t>
      </w:r>
    </w:p>
    <w:p>
      <w:pPr>
        <w:spacing w:after="140" w:line="254"/>
        <w:ind w:left="360" w:hanging="360"/>
        <w:jc w:val="both"/>
      </w:pPr>
      <w:r>
        <w:rPr>
          <w:color w:val="1a1a1a"/>
          <w:sz w:val="24"/>
          <w:szCs w:val="19"/>
        </w:rPr>
        <w:t xml:space="preserve">[6] House KZ, Harvey CF, Aziz MJ, Schrag DP (2009) The energy penalty of post-combustion CO2 capture and storage and its implications for retrofitting the U.S. installed base. Energy Environ Sci 2(2):193–205. https://doi.org/10.1039/B811608C</w:t>
      </w:r>
    </w:p>
    <w:p>
      <w:pPr>
        <w:spacing w:after="140" w:line="254"/>
        <w:ind w:left="360" w:hanging="360"/>
        <w:jc w:val="both"/>
      </w:pPr>
      <w:r>
        <w:rPr>
          <w:color w:val="1a1a1a"/>
          <w:sz w:val="24"/>
          <w:szCs w:val="19"/>
        </w:rPr>
        <w:t xml:space="preserve">[7] Microsoft (2020) Project Natick Phase 2 results summary. Microsoft Research, Redmond, WA. https://natick.research.microsoft.com/</w:t>
      </w:r>
    </w:p>
    <w:p>
      <w:pPr>
        <w:spacing w:after="140" w:line="254"/>
        <w:ind w:left="360" w:hanging="360"/>
        <w:jc w:val="both"/>
      </w:pPr>
      <w:r>
        <w:rPr>
          <w:sz w:val="24"/>
        </w:rPr>
        <w:t>[8] Aikido Technologies (2026) Aikido launches offshore datacenter technology to deploy GW-scale, sovereign AI compute onboard their floating wind platform. GlobeNewswire, 3 March 2026. https://www.globenewswire.com/news-release/2026/03/03/3248183/0/en/Aikido-Launches-Offshore-Datacenter-Technology-to-Deploy-GW-scale-Sovereign-AI-Compute-Onboard-Their-Floating-Wind-Platform.html</w:t>
      </w:r>
    </w:p>
    <w:p>
      <w:pPr>
        <w:spacing w:after="140" w:line="254"/>
        <w:ind w:left="360" w:hanging="360"/>
        <w:jc w:val="both"/>
      </w:pPr>
      <w:r>
        <w:rPr>
          <w:sz w:val="24"/>
        </w:rPr>
        <w:t>[9] Crusoe Energy Systems (2024) How a natural gas-powered Bitcoin miner became a darling of climate tech. Crusoe Newsroom. https://www.crusoe.ai/resources/newsroom/how-a-natural-gas-powered-bitcoin-miner-became-a-darling-of-climate-tech; Data Center Dynamics (2025) Musk's xAI gets go-ahead for 41 natural gas turbines in Mississippi to power Colossus data centers. https://www.datacenterdynamics.com/en/news/musks-xai-gets-go-ahead-for-41-natural-gas-turbines-in-mississippi-to-power-colossus-data-centers/</w:t>
      </w:r>
    </w:p>
    <w:p>
      <w:pPr>
        <w:spacing w:after="140" w:line="254"/>
        <w:ind w:left="360" w:hanging="360"/>
        <w:jc w:val="both"/>
      </w:pPr>
      <w:r>
        <w:rPr>
          <w:color w:val="1a1a1a"/>
          <w:sz w:val="24"/>
          <w:szCs w:val="19"/>
        </w:rPr>
        <w:t xml:space="preserve">[10] Crusoe Energy Systems Inc (2020) Systems and methods for generating and consuming power from natural gas. US Patent 10,862,307 B2, issued 8 Dec 2020</w:t>
      </w:r>
    </w:p>
    <w:p>
      <w:pPr>
        <w:spacing w:after="140" w:line="254"/>
        <w:ind w:left="360" w:hanging="360"/>
        <w:jc w:val="both"/>
      </w:pPr>
      <w:r>
        <w:rPr>
          <w:color w:val="1a1a1a"/>
          <w:sz w:val="24"/>
          <w:szCs w:val="19"/>
        </w:rPr>
        <w:t xml:space="preserve">[11] US Environmental Protection Agency (2023) Emission factors for greenhouse gas inventories. EPA, Washington, DC. https://www.epa.gov/climateleadership/ghg-emission-factors-hub</w:t>
      </w:r>
    </w:p>
    <w:p>
      <w:pPr>
        <w:spacing w:after="140" w:line="254"/>
        <w:ind w:left="360" w:hanging="360"/>
        <w:jc w:val="both"/>
      </w:pPr>
      <w:r>
        <w:rPr>
          <w:color w:val="1a1a1a"/>
          <w:sz w:val="24"/>
          <w:szCs w:val="19"/>
        </w:rPr>
        <w:t xml:space="preserve">[12] US Energy Information Administration (2023) Electric power annual 2022. EIA, Washington, DC. https://www.eia.gov/electricity/annual/</w:t>
      </w:r>
    </w:p>
    <w:sectPr>
      <w:headerReference w:type="default" r:id="rId9"/>
      <w:footerReference w:type="default" r:id="rId10"/>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5"/>
        <w:szCs w:val="15"/>
      </w:rPr>
      <w:t xml:space="preserve">Page </w:t>
    </w:r>
    <w:r>
      <w:rPr>
        <w:color w:val="5A6472"/>
        <w:sz w:val="15"/>
        <w:szCs w:val="15"/>
      </w:rPr>
      <w:fldChar w:fldCharType="begin"/>
      <w:instrText xml:space="preserve">PAGE</w:instrText>
      <w:fldChar w:fldCharType="separate"/>
      <w:fldChar w:fldCharType="end"/>
    </w:r>
    <w:r>
      <w:rPr>
        <w:color w:val="5A6472"/>
        <w:sz w:val="15"/>
        <w:szCs w:val="15"/>
      </w:rPr>
      <w:t xml:space="preserve"> of </w:t>
    </w:r>
    <w:r>
      <w:rPr>
        <w:color w:val="5A6472"/>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5"/>
        <w:szCs w:val="15"/>
      </w:rPr>
      <w:t xml:space="preserve">Page </w:t>
    </w:r>
    <w:r>
      <w:rPr>
        <w:color w:val="5A6472"/>
        <w:sz w:val="15"/>
        <w:szCs w:val="15"/>
      </w:rPr>
      <w:fldChar w:fldCharType="begin"/>
      <w:instrText xml:space="preserve">PAGE</w:instrText>
      <w:fldChar w:fldCharType="separate"/>
      <w:fldChar w:fldCharType="end"/>
    </w:r>
    <w:r>
      <w:rPr>
        <w:color w:val="5A6472"/>
        <w:sz w:val="15"/>
        <w:szCs w:val="15"/>
      </w:rPr>
      <w:t xml:space="preserve"> of </w:t>
    </w:r>
    <w:r>
      <w:rPr>
        <w:color w:val="5A64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A6472"/>
        <w:sz w:val="15"/>
        <w:szCs w:val="15"/>
      </w:rPr>
      <w:t xml:space="preserve">Beyond PUE: A Primary-Energy Framework for Self-Powered Computing Infrastructure — L. Sandler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A6472"/>
        <w:sz w:val="15"/>
        <w:szCs w:val="15"/>
      </w:rPr>
      <w:t xml:space="preserve">Beyond PUE: A Primary-Energy Framework for Self-Powered Computing Infrastructure — L. Sandler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3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5e71f66474d6a1c3169e97a49c0e61b29a9354f1.png"/><Relationship Id="rId12" Type="http://schemas.openxmlformats.org/officeDocument/2006/relationships/image" Target="media/7020b04cf3d4a9b7d03b76a86f8886f5f79b4288.png"/><Relationship Id="rId13" Type="http://schemas.openxmlformats.org/officeDocument/2006/relationships/image" Target="media/98e4b8bf1e07ce078dd46033f137838ebdb11dfa.png"/><Relationship Id="rId14" Type="http://schemas.openxmlformats.org/officeDocument/2006/relationships/image" Target="media/f290d7933f3c29fa0d24da4e1992412734f3c105.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2026-09-06T03:39:39.165Z</dcterms:created>
  <dcterms:modified xsi:type="dcterms:W3CDTF">2026-09-06T03:39:39.165Z</dcterms:modified>
</cp:coreProperties>
</file>

<file path=docProps/custom.xml><?xml version="1.0" encoding="utf-8"?>
<Properties xmlns="http://schemas.openxmlformats.org/officeDocument/2006/custom-properties" xmlns:vt="http://schemas.openxmlformats.org/officeDocument/2006/docPropsVTypes"/>
</file>