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22"/>
        </w:rPr>
        <w:t>Leon Sandler</w:t>
      </w:r>
    </w:p>
    <w:p>
      <w:pPr>
        <w:spacing w:after="0"/>
      </w:pPr>
      <w:r>
        <w:rPr>
          <w:b w:val="0"/>
          <w:i w:val="0"/>
          <w:sz w:val="22"/>
        </w:rPr>
        <w:t>Independent Researcher</w:t>
      </w:r>
    </w:p>
    <w:p>
      <w:pPr>
        <w:spacing w:after="0"/>
      </w:pPr>
      <w:r>
        <w:rPr>
          <w:b w:val="0"/>
          <w:i w:val="0"/>
          <w:sz w:val="22"/>
        </w:rPr>
        <w:t>Northbrook, IL 60062, USA</w:t>
      </w:r>
    </w:p>
    <w:p>
      <w:pPr>
        <w:spacing w:after="280"/>
      </w:pPr>
      <w:r>
        <w:rPr>
          <w:b w:val="0"/>
          <w:i w:val="0"/>
          <w:sz w:val="22"/>
        </w:rPr>
        <w:t>sandler.leon@gmail.com</w:t>
      </w:r>
    </w:p>
    <w:p>
      <w:pPr>
        <w:spacing w:after="280"/>
      </w:pPr>
      <w:r>
        <w:rPr>
          <w:b w:val="0"/>
          <w:i w:val="0"/>
          <w:sz w:val="22"/>
        </w:rPr>
        <w:t>15 September 2026</w:t>
      </w:r>
    </w:p>
    <w:p>
      <w:pPr>
        <w:spacing w:after="0"/>
      </w:pPr>
      <w:r>
        <w:rPr>
          <w:b w:val="0"/>
          <w:i w:val="0"/>
          <w:sz w:val="22"/>
        </w:rPr>
        <w:t>The Editors</w:t>
      </w:r>
    </w:p>
    <w:p>
      <w:pPr>
        <w:spacing w:after="0"/>
      </w:pPr>
      <w:r>
        <w:rPr>
          <w:b w:val="0"/>
          <w:i w:val="0"/>
          <w:sz w:val="22"/>
        </w:rPr>
        <w:t>Flow Measurement and Instrumentation</w:t>
      </w:r>
    </w:p>
    <w:p>
      <w:pPr>
        <w:spacing w:after="280"/>
      </w:pPr>
      <w:r>
        <w:rPr>
          <w:b w:val="0"/>
          <w:i w:val="0"/>
          <w:sz w:val="22"/>
        </w:rPr>
        <w:t>Elsevier</w:t>
      </w:r>
    </w:p>
    <w:p>
      <w:pPr>
        <w:spacing w:after="240"/>
      </w:pPr>
      <w:r>
        <w:rPr>
          <w:b w:val="0"/>
          <w:i w:val="0"/>
          <w:sz w:val="22"/>
        </w:rPr>
        <w:t>Dear Editors,</w:t>
      </w:r>
    </w:p>
    <w:p>
      <w:pPr>
        <w:spacing w:after="200"/>
      </w:pPr>
      <w:r>
        <w:rPr>
          <w:b w:val="0"/>
          <w:i w:val="0"/>
          <w:sz w:val="22"/>
        </w:rPr>
        <w:t>I am submitting the enclosed manuscript, “Hybrid Physics–Diagnostic Estimation of Liquid Loading for Wet-Gas Flowmeter Correction: A Model-Based Uncertainty Framework,” for consideration in Flow Measurement and Instrumentation.</w:t>
      </w:r>
    </w:p>
    <w:p>
      <w:pPr>
        <w:spacing w:after="200"/>
      </w:pPr>
      <w:r>
        <w:rPr>
          <w:b w:val="0"/>
          <w:i w:val="0"/>
          <w:sz w:val="22"/>
        </w:rPr>
        <w:t>The paper addresses a gap between two mature literatures. Wet-gas corrections for differential-pressure meters — Murdock, Chisholm, de Leeuw, ISO/TR 11583 — are well established, and all of them express the over-reading as a function of the Lockhart–Martinelli parameter. At a production metering station that parameter is not measured. The correlation is not the obstacle; its input is.</w:t>
      </w:r>
    </w:p>
    <w:p>
      <w:pPr>
        <w:spacing w:after="200"/>
      </w:pPr>
      <w:r>
        <w:rPr>
          <w:b w:val="0"/>
          <w:i w:val="0"/>
          <w:sz w:val="22"/>
        </w:rPr>
        <w:t>Recent work in this journal addresses the same difficulty by learning the over-reading or the flow rates directly from experimental datasets, including the hybrid physics–machine-learning model of Alkhurayef and Alsarkhi (2026) and the cone-meter work of Pereira et al. (2026), while Nasr et al. (2026) resolve it by adding a third pressure tap. The present paper takes a different route: it treats liquid loading as a latent variable estimated from instrumentation already present, and leaves the established correlation unchanged. The learned component is reduced to a single scalar whose uncertainty can be stated and propagated, and because a second, structurally distinct estimate of that scalar exists, the two can be cross-checked — which is what makes it possible for the system to withhold a correction it cannot justify.</w:t>
      </w:r>
    </w:p>
    <w:p>
      <w:pPr>
        <w:spacing w:after="200"/>
      </w:pPr>
      <w:r>
        <w:rPr>
          <w:b/>
          <w:i w:val="0"/>
          <w:sz w:val="22"/>
        </w:rPr>
        <w:t>Three findings may be of particular interest to your readers, and I would highlight that the first two are negative results about the method as initially formulated rather than confirmations of it.</w:t>
      </w:r>
    </w:p>
    <w:p>
      <w:pPr>
        <w:spacing w:after="200"/>
      </w:pPr>
      <w:r>
        <w:rPr>
          <w:b w:val="0"/>
          <w:i w:val="0"/>
          <w:sz w:val="22"/>
        </w:rPr>
        <w:t>First, combining the two estimators by inverse-variance weighting is worse (±5.45%) than using the diagnostic estimator alone (±3.99%) unless the thermodynamic estimator declares an uncertainty that includes an allowance for the upstream carryover it cannot observe. This is a general point about fusing estimators with structurally different failure modes: inverse-variance weighting is only as good as the declared variances. With that allowance and an asymmetric weighting motivated by the one-directional nature of the failure, the simulated band improves to ±4.28%.</w:t>
      </w:r>
    </w:p>
    <w:p>
      <w:pPr>
        <w:spacing w:after="200"/>
      </w:pPr>
      <w:r>
        <w:rPr>
          <w:b w:val="0"/>
          <w:i w:val="0"/>
          <w:sz w:val="22"/>
        </w:rPr>
        <w:t>Second, the two estimates are not statistically independent, and treating them as though they were does not degrade the acceptance test gracefully. It progressively disables it: as the correlation between the estimator errors rises, the consistency index shrinks and the test stops firing, accepting everything. For a mechanism whose purpose is to withhold a correction, that is the worst available failure mode. The covariance term is therefore retained explicitly, and the paper recommends both excluding the thermodynamic estimate from the diagnostic feature vector and measuring the residual correlation during calibration.</w:t>
      </w:r>
    </w:p>
    <w:p>
      <w:pPr>
        <w:spacing w:after="200"/>
      </w:pPr>
      <w:r>
        <w:rPr>
          <w:b w:val="0"/>
          <w:i w:val="0"/>
          <w:sz w:val="22"/>
        </w:rPr>
        <w:t>Third, the consistency index is a specific detector rather than a blunt filter: upstream carryover is present in 25% of simulated realisations but in 94% of those the test rejects.</w:t>
      </w:r>
    </w:p>
    <w:p>
      <w:pPr>
        <w:spacing w:after="200"/>
      </w:pPr>
      <w:r>
        <w:rPr>
          <w:b/>
          <w:i w:val="0"/>
          <w:sz w:val="22"/>
        </w:rPr>
        <w:t>I want to be explicit with the editors about the status of the evidence, because it determines how the paper should be reviewed. This is a computational study. No wet-gas loop data were used, the diagnostic estimator is specified in enough detail to be fitted and reproduced but is not fitted here, and every performance figure is a modelled uncertainty conditional on tabulated assumptions rather than a measured accuracy. The title, abstract, results and conclusions all say so. The experiment that would test the framework — facility, test matrix, the four comparisons, and the criteria that would refute it — is specified in the Methods rather than deferred to the discussion, so that the claims can be read against the test that would falsify them.</w:t>
      </w:r>
    </w:p>
    <w:p>
      <w:pPr>
        <w:spacing w:after="200"/>
      </w:pPr>
      <w:r>
        <w:rPr>
          <w:b w:val="0"/>
          <w:i w:val="0"/>
          <w:sz w:val="22"/>
        </w:rPr>
        <w:t>Because the entire quantitative content is computational, the complete reproducibility package is deposited openly rather than promised on request. The Python implementation, the simulation configuration, the fixed random seeds, the figure generators and the generated summary data are available at https://github.com/sandlerleon/hybrid-liquid-loading-estimation and archived at https://doi.org/10.5281/zenodo.22760863. Running the deposited scripts reproduces every table and figure in the manuscript; the manuscript builder itself reads its numbers from the generated JSON summaries, so the text and the computation cannot diverge. A preprint is archived at https://doi.org/10.5281/zenodo.22760861.</w:t>
      </w:r>
    </w:p>
    <w:p>
      <w:pPr>
        <w:spacing w:after="200"/>
      </w:pPr>
      <w:r>
        <w:rPr>
          <w:b w:val="0"/>
          <w:i w:val="0"/>
          <w:sz w:val="22"/>
        </w:rPr>
        <w:t>The manuscript is original, is not under consideration elsewhere, and has not been published previously except as the archived preprint noted above. I am the sole author, I have no competing interests, and the work received no external funding. Use of a generative AI tool as a drafting and literature-synthesis aid is disclosed in the manuscript.</w:t>
      </w:r>
    </w:p>
    <w:p>
      <w:pPr>
        <w:spacing w:after="320"/>
      </w:pPr>
      <w:r>
        <w:rPr>
          <w:b w:val="0"/>
          <w:i w:val="0"/>
          <w:sz w:val="22"/>
        </w:rPr>
        <w:t>Thank you for considering this submission.</w:t>
      </w:r>
    </w:p>
    <w:p>
      <w:pPr>
        <w:spacing w:after="320"/>
      </w:pPr>
      <w:r>
        <w:rPr>
          <w:b w:val="0"/>
          <w:i w:val="0"/>
          <w:sz w:val="22"/>
        </w:rPr>
        <w:t>Sincerely,</w:t>
      </w:r>
    </w:p>
    <w:p>
      <w:pPr>
        <w:spacing w:after="0"/>
      </w:pPr>
      <w:r>
        <w:rPr>
          <w:b/>
          <w:i w:val="0"/>
          <w:sz w:val="22"/>
        </w:rPr>
        <w:t>Leon Sandler</w:t>
      </w:r>
    </w:p>
    <w:p>
      <w:pPr>
        <w:spacing w:after="0"/>
      </w:pPr>
      <w:r>
        <w:rPr>
          <w:b w:val="0"/>
          <w:i w:val="0"/>
          <w:sz w:val="22"/>
        </w:rPr>
        <w:t>Independent Researcher, Northbrook, IL, USA</w:t>
      </w:r>
    </w:p>
    <w:p>
      <w:pPr>
        <w:spacing w:after="0"/>
      </w:pPr>
      <w:r>
        <w:rPr>
          <w:b w:val="0"/>
          <w:i w:val="0"/>
          <w:sz w:val="22"/>
        </w:rPr>
        <w:t>sandler.leon@gmail.com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