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sz w:val="30"/>
        </w:rPr>
        <w:t>Response to Reviewers — Revision 2</w:t>
      </w:r>
    </w:p>
    <w:p>
      <w:pPr>
        <w:spacing w:after="40"/>
      </w:pPr>
      <w:r>
        <w:rPr>
          <w:b/>
          <w:i w:val="0"/>
        </w:rPr>
        <w:t>Manuscript FLOWMEASINST-D-26-00971</w:t>
      </w:r>
    </w:p>
    <w:p>
      <w:pPr>
        <w:spacing w:after="40"/>
      </w:pPr>
      <w:r>
        <w:rPr>
          <w:b w:val="0"/>
          <w:i/>
        </w:rPr>
        <w:t>Hybrid Physics–Diagnostic Estimation of Liquid Loading for Wet-Gas Flowmeter Correction: A Model-Based Uncertainty Framework</w:t>
      </w:r>
    </w:p>
    <w:p>
      <w:pPr>
        <w:spacing w:after="40"/>
      </w:pPr>
      <w:r>
        <w:rPr>
          <w:b w:val="0"/>
          <w:i w:val="0"/>
        </w:rPr>
        <w:t>Leon Sandler, Independent Researcher, Northbrook, Illinois, USA</w:t>
      </w:r>
    </w:p>
    <w:p>
      <w:pPr>
        <w:spacing w:after="200"/>
      </w:pPr>
      <w:r>
        <w:rPr>
          <w:b w:val="0"/>
          <w:i w:val="0"/>
        </w:rPr>
        <w:t>29 October 2026</w:t>
      </w:r>
    </w:p>
    <w:p>
      <w:r>
        <w:rPr>
          <w:b w:val="0"/>
          <w:i w:val="0"/>
        </w:rPr>
        <w:t>Dear Dr Kutin and Reviewers,</w:t>
      </w:r>
    </w:p>
    <w:p>
      <w:r>
        <w:rPr>
          <w:b w:val="0"/>
          <w:i w:val="0"/>
        </w:rPr>
        <w:t>Thank you for the second round of review. Reviewer 1 found that all comments had been addressed. Reviewer 2 found that the manuscript was still poorly structured and presented, and asked for a rewrite rather than local corrections. I agree with that assessment, and the manuscript has been rewritten from beginning to end. No calculation, result or conclusion has changed: every number in the revised text is the number of the previous version, and the deposited code reproduces it. The revised manuscript is FMI_Hybrid_Liquid_Loading_Estimation_v6.docx; section numbers below refer to it.</w:t>
      </w:r>
    </w:p>
    <w:p>
      <w:pPr>
        <w:spacing w:before="240"/>
      </w:pPr>
      <w:r>
        <w:rPr>
          <w:b/>
          <w:i w:val="0"/>
          <w:sz w:val="26"/>
        </w:rPr>
        <w:t>Reviewer 1</w:t>
      </w:r>
    </w:p>
    <w:p>
      <w:pPr>
        <w:ind w:left="360"/>
      </w:pPr>
      <w:r>
        <w:rPr>
          <w:b/>
        </w:rPr>
        <w:t xml:space="preserve">Comment. </w:t>
      </w:r>
      <w:r>
        <w:t>All comments have been addressed satisfactorily. No further comments.</w:t>
      </w:r>
    </w:p>
    <w:p>
      <w:pPr>
        <w:ind w:left="360"/>
      </w:pPr>
      <w:r>
        <w:rPr>
          <w:b/>
        </w:rPr>
        <w:t xml:space="preserve">Response. </w:t>
      </w:r>
      <w:r>
        <w:t>Thank you for the review and for confirming the previous revision. The present revision restructures and rewrites the presentation in response to Reviewer 2. The analyses, results and conclusions that you reviewed are unchanged, and the points you raised (the framework as the principal contribution, the conditions under which fusion helps, precision rather than specificity, the recalculation after damping, the uncertainty treatment, the minimum signal set and the units) remain in the text, now in Sections 1, 4.5, 4.3, 3, 2.3, 5.2 and 3.2 respectively.</w:t>
      </w:r>
    </w:p>
    <w:p>
      <w:pPr>
        <w:spacing w:before="240"/>
      </w:pPr>
      <w:r>
        <w:rPr>
          <w:b/>
          <w:i w:val="0"/>
          <w:sz w:val="26"/>
        </w:rPr>
        <w:t>Reviewer 2</w:t>
      </w:r>
    </w:p>
    <w:p>
      <w:pPr>
        <w:ind w:left="360"/>
      </w:pPr>
      <w:r>
        <w:rPr>
          <w:b/>
        </w:rPr>
        <w:t xml:space="preserve">Comment. </w:t>
      </w:r>
      <w:r>
        <w:t>Despite the revisions, the manuscript remains poorly structured and presented. The text often resembles a fragment of program code or a technical development log rather than a properly written scientific paper. Look at your equations!!! The excessive use of fragmented explanations, implementation-oriented details, and abrupt transitions significantly impairs readability and obscures the scientific narrative. The manuscript requires substantial editorial restructuring to ensure a coherent presentation of the research problem, methodology, results, and scientific contribution. The authors should rewrite the text in a clear, concise, and academically appropriate style, rather than merely correcting individual formatting issues. The overall presentation must meet the standards expected of a scientific publication.</w:t>
      </w:r>
    </w:p>
    <w:p>
      <w:pPr>
        <w:ind w:left="360"/>
      </w:pPr>
      <w:r>
        <w:rPr>
          <w:b/>
        </w:rPr>
        <w:t xml:space="preserve">Response. </w:t>
      </w:r>
      <w:r>
        <w:t>Thank you for this comment, which is justified. The previous revision answered the ten scientific points of the first review by adding analyses where they were needed, and the result read like the record of a development rather than a paper. The equations were the clearest symptom. The manuscript has now been rewritten as a whole: its structure, its prose and its typesetting are new, and its content and numbers are unchanged. The changes are as follows.</w:t>
      </w:r>
    </w:p>
    <w:p>
      <w:pPr>
        <w:ind w:left="720"/>
      </w:pPr>
      <w:r>
        <w:rPr>
          <w:b/>
        </w:rPr>
        <w:t xml:space="preserve">Equations. </w:t>
      </w:r>
      <w:r>
        <w:t>All seventeen equations are now display equations typeset in the Office Math equation editor, with proper fractions, radicals, subscripts and superscripts and the equation number at the right margin. In the previous version they were plain text strings such as “Q_ind = Q_G · φ(X_LM, ρ_G/ρ_L, Fr_G)”, which is what the reviewer saw. Symbols in the running text are set the same way: italic variables and upright labels, so that X_LM, u₁ and ρ₁₂ no longer appear with underscores. The equations are gathered in one section (Section 3, Mathematical model), which opens by stating the order in which they are applied. Each group is introduced by a sentence and followed by a paragraph that explains its origin and assumptions.</w:t>
      </w:r>
    </w:p>
    <w:p>
      <w:pPr>
        <w:ind w:left="720"/>
      </w:pPr>
      <w:r>
        <w:rPr>
          <w:b/>
        </w:rPr>
        <w:t xml:space="preserve">Program-code content removed. </w:t>
      </w:r>
      <w:r>
        <w:t>Algorithm 1, which was written as pseudo-code, is removed. The decision procedure is now described in prose (Section 2.4), and the order of the calculation is given in the opening paragraph of Section 3. Script and function names no longer appear in the main text; they are confined to the Data availability statement and to the provenance table in Appendix A (Table A1).</w:t>
      </w:r>
    </w:p>
    <w:p>
      <w:pPr>
        <w:ind w:left="720"/>
      </w:pPr>
      <w:r>
        <w:rPr>
          <w:b/>
        </w:rPr>
        <w:t xml:space="preserve">Development-log content removed. </w:t>
      </w:r>
      <w:r>
        <w:t>Statements about what had been added or left unchanged in the revision are removed. Examples are “(new)”, “the new analyses are in Sections 5.9–5.12” and “Tables 3, 5 and 6 and Figs 2–8 are the original results and are unchanged”. The two Monte Carlo samples remain, because they are a property of the method; they are now described once, in Section 3.2, as part of the design of the study.</w:t>
      </w:r>
    </w:p>
    <w:p>
      <w:pPr>
        <w:ind w:left="720"/>
      </w:pPr>
      <w:r>
        <w:rPr>
          <w:b/>
        </w:rPr>
        <w:t xml:space="preserve">Structure. </w:t>
      </w:r>
      <w:r>
        <w:t>The paper now runs in a single sequence: research problem, estimation architecture, mathematical model, computational design, results, discussion and conclusions. The four-part introduction with its numbered list of contributions is now one continuous introduction. It moves from the literature to the gap and then to three research questions, whose answers are stated at the end of the introduction and again in the conclusions. Third-level headings, bold run-in labels and bulleted lists, including the bulleted Limitations, are replaced by connected paragraphs. Each Results subsection opens with the question it answers and closes with its interpretation. The validation design, previously in the Methods, is now in the Discussion (Section 5.5), next to the limitations it addresses.</w:t>
      </w:r>
    </w:p>
    <w:p>
      <w:pPr>
        <w:ind w:left="720"/>
      </w:pPr>
      <w:r>
        <w:rPr>
          <w:b/>
        </w:rPr>
        <w:t xml:space="preserve">Provenance and verification. </w:t>
      </w:r>
      <w:r>
        <w:t>A new Section 3.1 states the origin of each equation (established, adapted from the literature, or specific to this study) and its assumptions. Appendix A gives this equation by equation (Table A1) and reports the executable checks of the implementation (Table A2). The implementation details that the reviewer found intrusive in the text are kept, but in this one place.</w:t>
      </w:r>
    </w:p>
    <w:p>
      <w:pPr>
        <w:ind w:left="720"/>
      </w:pPr>
      <w:r>
        <w:rPr>
          <w:b/>
        </w:rPr>
        <w:t xml:space="preserve">Figures, references and nomenclature. </w:t>
      </w:r>
      <w:r>
        <w:t>The figure labels now match the text. The internal acronym “SWCL” and the shorthand “E1/E2” are removed from Figs. 2, 3 and 12. The title of Fig. 7 no longer uses “accuracy”, which the paper reserves for measured quantities. Fig. 1 now shows the consistency index with the covariance term of Eq. (11) and uses the symbols of the text. The figures were regenerated from the deposited code with the fixed seeds, and their data are unchanged. References are numbered in order of citation. The nomenclature, with a units column, is placed after the Conclusions.</w:t>
      </w:r>
    </w:p>
    <w:p>
      <w:pPr>
        <w:spacing w:before="120"/>
        <w:ind w:left="360"/>
      </w:pPr>
      <w:r>
        <w:rPr>
          <w:b/>
          <w:i w:val="0"/>
        </w:rPr>
        <w:t>Correspondence between the previous and the present version</w:t>
      </w:r>
    </w:p>
    <w:tbl>
      <w:tblPr>
        <w:tblStyle w:val="LightGrid-Accent1"/>
        <w:tblW w:type="auto" w:w="0"/>
        <w:tblLook w:firstColumn="1" w:firstRow="1" w:lastColumn="0" w:lastRow="0" w:noHBand="0" w:noVBand="1" w:val="04A0"/>
      </w:tblPr>
      <w:tblGrid>
        <w:gridCol w:w="4536"/>
        <w:gridCol w:w="4536"/>
      </w:tblGrid>
      <w:tr>
        <w:tc>
          <w:tcPr>
            <w:tcW w:type="dxa" w:w="4536"/>
          </w:tcPr>
          <w:p>
            <w:r>
              <w:rPr>
                <w:sz w:val="18"/>
              </w:rPr>
              <w:t>Previous version (v5)</w:t>
            </w:r>
          </w:p>
        </w:tc>
        <w:tc>
          <w:tcPr>
            <w:tcW w:type="dxa" w:w="4536"/>
          </w:tcPr>
          <w:p>
            <w:r>
              <w:rPr>
                <w:sz w:val="18"/>
              </w:rPr>
              <w:t>Present version (v6)</w:t>
            </w:r>
          </w:p>
        </w:tc>
      </w:tr>
      <w:tr>
        <w:tc>
          <w:tcPr>
            <w:tcW w:type="dxa" w:w="4536"/>
          </w:tcPr>
          <w:p>
            <w:r>
              <w:rPr>
                <w:sz w:val="18"/>
              </w:rPr>
              <w:t>Abstract</w:t>
            </w:r>
          </w:p>
        </w:tc>
        <w:tc>
          <w:tcPr>
            <w:tcW w:type="dxa" w:w="4536"/>
          </w:tcPr>
          <w:p>
            <w:r>
              <w:rPr>
                <w:sz w:val="18"/>
              </w:rPr>
              <w:t>Abstract (rewritten; same results)</w:t>
            </w:r>
          </w:p>
        </w:tc>
      </w:tr>
      <w:tr>
        <w:tc>
          <w:tcPr>
            <w:tcW w:type="dxa" w:w="4536"/>
          </w:tcPr>
          <w:p>
            <w:r>
              <w:rPr>
                <w:sz w:val="18"/>
              </w:rPr>
              <w:t>1.1–1.4 Introduction (four subsections, numbered list of contributions)</w:t>
            </w:r>
          </w:p>
        </w:tc>
        <w:tc>
          <w:tcPr>
            <w:tcW w:type="dxa" w:w="4536"/>
          </w:tcPr>
          <w:p>
            <w:r>
              <w:rPr>
                <w:sz w:val="18"/>
              </w:rPr>
              <w:t>1 Introduction (continuous; research questions, novelty, status of the results)</w:t>
            </w:r>
          </w:p>
        </w:tc>
      </w:tr>
      <w:tr>
        <w:tc>
          <w:tcPr>
            <w:tcW w:type="dxa" w:w="4536"/>
          </w:tcPr>
          <w:p>
            <w:r>
              <w:rPr>
                <w:sz w:val="18"/>
              </w:rPr>
              <w:t>2 Problem formulation</w:t>
            </w:r>
          </w:p>
        </w:tc>
        <w:tc>
          <w:tcPr>
            <w:tcW w:type="dxa" w:w="4536"/>
          </w:tcPr>
          <w:p>
            <w:r>
              <w:rPr>
                <w:sz w:val="18"/>
              </w:rPr>
              <w:t>2.1 The measurement problem; Eqs. (1)–(4) in Section 3</w:t>
            </w:r>
          </w:p>
        </w:tc>
      </w:tr>
      <w:tr>
        <w:tc>
          <w:tcPr>
            <w:tcW w:type="dxa" w:w="4536"/>
          </w:tcPr>
          <w:p>
            <w:r>
              <w:rPr>
                <w:sz w:val="18"/>
              </w:rPr>
              <w:t>3.1 Architecture</w:t>
            </w:r>
          </w:p>
        </w:tc>
        <w:tc>
          <w:tcPr>
            <w:tcW w:type="dxa" w:w="4536"/>
          </w:tcPr>
          <w:p>
            <w:r>
              <w:rPr>
                <w:sz w:val="18"/>
              </w:rPr>
              <w:t>2 (opening paragraph) and Fig. 1</w:t>
            </w:r>
          </w:p>
        </w:tc>
      </w:tr>
      <w:tr>
        <w:tc>
          <w:tcPr>
            <w:tcW w:type="dxa" w:w="4536"/>
          </w:tcPr>
          <w:p>
            <w:r>
              <w:rPr>
                <w:sz w:val="18"/>
              </w:rPr>
              <w:t>3.2 Thermodynamic estimator</w:t>
            </w:r>
          </w:p>
        </w:tc>
        <w:tc>
          <w:tcPr>
            <w:tcW w:type="dxa" w:w="4536"/>
          </w:tcPr>
          <w:p>
            <w:r>
              <w:rPr>
                <w:sz w:val="18"/>
              </w:rPr>
              <w:t>2.2 Thermodynamic estimator</w:t>
            </w:r>
          </w:p>
        </w:tc>
      </w:tr>
      <w:tr>
        <w:tc>
          <w:tcPr>
            <w:tcW w:type="dxa" w:w="4536"/>
          </w:tcPr>
          <w:p>
            <w:r>
              <w:rPr>
                <w:sz w:val="18"/>
              </w:rPr>
              <w:t>3.3, 3.3.1 Diagnostic estimator and its specification</w:t>
            </w:r>
          </w:p>
        </w:tc>
        <w:tc>
          <w:tcPr>
            <w:tcW w:type="dxa" w:w="4536"/>
          </w:tcPr>
          <w:p>
            <w:r>
              <w:rPr>
                <w:sz w:val="18"/>
              </w:rPr>
              <w:t>2.3 Diagnostic estimator (Table 1)</w:t>
            </w:r>
          </w:p>
        </w:tc>
      </w:tr>
      <w:tr>
        <w:tc>
          <w:tcPr>
            <w:tcW w:type="dxa" w:w="4536"/>
          </w:tcPr>
          <w:p>
            <w:r>
              <w:rPr>
                <w:sz w:val="18"/>
              </w:rPr>
              <w:t>3.4 Reference-based calibration</w:t>
            </w:r>
          </w:p>
        </w:tc>
        <w:tc>
          <w:tcPr>
            <w:tcW w:type="dxa" w:w="4536"/>
          </w:tcPr>
          <w:p>
            <w:r>
              <w:rPr>
                <w:sz w:val="18"/>
              </w:rPr>
              <w:t>2.4 Calibration, fusion and the correction decision</w:t>
            </w:r>
          </w:p>
        </w:tc>
      </w:tr>
      <w:tr>
        <w:tc>
          <w:tcPr>
            <w:tcW w:type="dxa" w:w="4536"/>
          </w:tcPr>
          <w:p>
            <w:r>
              <w:rPr>
                <w:sz w:val="18"/>
              </w:rPr>
              <w:t>3.5, 3.5.1, 3.5.2 Fusion, damping, propagation</w:t>
            </w:r>
          </w:p>
        </w:tc>
        <w:tc>
          <w:tcPr>
            <w:tcW w:type="dxa" w:w="4536"/>
          </w:tcPr>
          <w:p>
            <w:r>
              <w:rPr>
                <w:sz w:val="18"/>
              </w:rPr>
              <w:t>3 Mathematical model (Eqs. (8)–(16) and their explanation)</w:t>
            </w:r>
          </w:p>
        </w:tc>
      </w:tr>
      <w:tr>
        <w:tc>
          <w:tcPr>
            <w:tcW w:type="dxa" w:w="4536"/>
          </w:tcPr>
          <w:p>
            <w:r>
              <w:rPr>
                <w:sz w:val="18"/>
              </w:rPr>
              <w:t>3.6 Algorithm 1 (pseudo-code)</w:t>
            </w:r>
          </w:p>
        </w:tc>
        <w:tc>
          <w:tcPr>
            <w:tcW w:type="dxa" w:w="4536"/>
          </w:tcPr>
          <w:p>
            <w:r>
              <w:rPr>
                <w:sz w:val="18"/>
              </w:rPr>
              <w:t>Removed; described in prose in 2.4 and at the opening of 3</w:t>
            </w:r>
          </w:p>
        </w:tc>
      </w:tr>
      <w:tr>
        <w:tc>
          <w:tcPr>
            <w:tcW w:type="dxa" w:w="4536"/>
          </w:tcPr>
          <w:p>
            <w:r>
              <w:rPr>
                <w:sz w:val="18"/>
              </w:rPr>
              <w:t>–</w:t>
            </w:r>
          </w:p>
        </w:tc>
        <w:tc>
          <w:tcPr>
            <w:tcW w:type="dxa" w:w="4536"/>
          </w:tcPr>
          <w:p>
            <w:r>
              <w:rPr>
                <w:sz w:val="18"/>
              </w:rPr>
              <w:t>3.1 Origin and assumptions of the equations; Appendix A, Table A1</w:t>
            </w:r>
          </w:p>
        </w:tc>
      </w:tr>
      <w:tr>
        <w:tc>
          <w:tcPr>
            <w:tcW w:type="dxa" w:w="4536"/>
          </w:tcPr>
          <w:p>
            <w:r>
              <w:rPr>
                <w:sz w:val="18"/>
              </w:rPr>
              <w:t>4.1, 4.2, 4.5 Forward model, sampling, additional experiments</w:t>
            </w:r>
          </w:p>
        </w:tc>
        <w:tc>
          <w:tcPr>
            <w:tcW w:type="dxa" w:w="4536"/>
          </w:tcPr>
          <w:p>
            <w:r>
              <w:rPr>
                <w:sz w:val="18"/>
              </w:rPr>
              <w:t>3.2 Monte Carlo propagation and operating envelope (Table 2)</w:t>
            </w:r>
          </w:p>
        </w:tc>
      </w:tr>
      <w:tr>
        <w:tc>
          <w:tcPr>
            <w:tcW w:type="dxa" w:w="4536"/>
          </w:tcPr>
          <w:p>
            <w:r>
              <w:rPr>
                <w:sz w:val="18"/>
              </w:rPr>
              <w:t>4.3 Metrics and terminology</w:t>
            </w:r>
          </w:p>
        </w:tc>
        <w:tc>
          <w:tcPr>
            <w:tcW w:type="dxa" w:w="4536"/>
          </w:tcPr>
          <w:p>
            <w:r>
              <w:rPr>
                <w:sz w:val="18"/>
              </w:rPr>
              <w:t>3.3 Metrics, terminology and verification (Eq. (17); Table A2)</w:t>
            </w:r>
          </w:p>
        </w:tc>
      </w:tr>
      <w:tr>
        <w:tc>
          <w:tcPr>
            <w:tcW w:type="dxa" w:w="4536"/>
          </w:tcPr>
          <w:p>
            <w:r>
              <w:rPr>
                <w:sz w:val="18"/>
              </w:rPr>
              <w:t>4.4 Validation design and falsification criteria</w:t>
            </w:r>
          </w:p>
        </w:tc>
        <w:tc>
          <w:tcPr>
            <w:tcW w:type="dxa" w:w="4536"/>
          </w:tcPr>
          <w:p>
            <w:r>
              <w:rPr>
                <w:sz w:val="18"/>
              </w:rPr>
              <w:t>5.5 Proposed validation</w:t>
            </w:r>
          </w:p>
        </w:tc>
      </w:tr>
      <w:tr>
        <w:tc>
          <w:tcPr>
            <w:tcW w:type="dxa" w:w="4536"/>
          </w:tcPr>
          <w:p>
            <w:r>
              <w:rPr>
                <w:sz w:val="18"/>
              </w:rPr>
              <w:t>5.1, 5.2</w:t>
            </w:r>
          </w:p>
        </w:tc>
        <w:tc>
          <w:tcPr>
            <w:tcW w:type="dxa" w:w="4536"/>
          </w:tcPr>
          <w:p>
            <w:r>
              <w:rPr>
                <w:sz w:val="18"/>
              </w:rPr>
              <w:t>4.1, 4.2</w:t>
            </w:r>
          </w:p>
        </w:tc>
      </w:tr>
      <w:tr>
        <w:tc>
          <w:tcPr>
            <w:tcW w:type="dxa" w:w="4536"/>
          </w:tcPr>
          <w:p>
            <w:r>
              <w:rPr>
                <w:sz w:val="18"/>
              </w:rPr>
              <w:t>5.3 Consistency index; 5.4 Threshold selection</w:t>
            </w:r>
          </w:p>
        </w:tc>
        <w:tc>
          <w:tcPr>
            <w:tcW w:type="dxa" w:w="4536"/>
          </w:tcPr>
          <w:p>
            <w:r>
              <w:rPr>
                <w:sz w:val="18"/>
              </w:rPr>
              <w:t>4.3 The consistency index and the acceptance threshold</w:t>
            </w:r>
          </w:p>
        </w:tc>
      </w:tr>
      <w:tr>
        <w:tc>
          <w:tcPr>
            <w:tcW w:type="dxa" w:w="4536"/>
          </w:tcPr>
          <w:p>
            <w:r>
              <w:rPr>
                <w:sz w:val="18"/>
              </w:rPr>
              <w:t>5.5–5.12</w:t>
            </w:r>
          </w:p>
        </w:tc>
        <w:tc>
          <w:tcPr>
            <w:tcW w:type="dxa" w:w="4536"/>
          </w:tcPr>
          <w:p>
            <w:r>
              <w:rPr>
                <w:sz w:val="18"/>
              </w:rPr>
              <w:t>4.4–4.11, in the same order</w:t>
            </w:r>
          </w:p>
        </w:tc>
      </w:tr>
      <w:tr>
        <w:tc>
          <w:tcPr>
            <w:tcW w:type="dxa" w:w="4536"/>
          </w:tcPr>
          <w:p>
            <w:r>
              <w:rPr>
                <w:sz w:val="18"/>
              </w:rPr>
              <w:t>6.1, 6.2, 6.3</w:t>
            </w:r>
          </w:p>
        </w:tc>
        <w:tc>
          <w:tcPr>
            <w:tcW w:type="dxa" w:w="4536"/>
          </w:tcPr>
          <w:p>
            <w:r>
              <w:rPr>
                <w:sz w:val="18"/>
              </w:rPr>
              <w:t>5.1, 5.2, 5.3</w:t>
            </w:r>
          </w:p>
        </w:tc>
      </w:tr>
      <w:tr>
        <w:tc>
          <w:tcPr>
            <w:tcW w:type="dxa" w:w="4536"/>
          </w:tcPr>
          <w:p>
            <w:r>
              <w:rPr>
                <w:sz w:val="18"/>
              </w:rPr>
              <w:t>6.4 Limitations (bulleted)</w:t>
            </w:r>
          </w:p>
        </w:tc>
        <w:tc>
          <w:tcPr>
            <w:tcW w:type="dxa" w:w="4536"/>
          </w:tcPr>
          <w:p>
            <w:r>
              <w:rPr>
                <w:sz w:val="18"/>
              </w:rPr>
              <w:t>5.4 Limitations (paragraphs)</w:t>
            </w:r>
          </w:p>
        </w:tc>
      </w:tr>
      <w:tr>
        <w:tc>
          <w:tcPr>
            <w:tcW w:type="dxa" w:w="4536"/>
          </w:tcPr>
          <w:p>
            <w:r>
              <w:rPr>
                <w:sz w:val="18"/>
              </w:rPr>
              <w:t>7 Conclusions</w:t>
            </w:r>
          </w:p>
        </w:tc>
        <w:tc>
          <w:tcPr>
            <w:tcW w:type="dxa" w:w="4536"/>
          </w:tcPr>
          <w:p>
            <w:r>
              <w:rPr>
                <w:sz w:val="18"/>
              </w:rPr>
              <w:t>6 Conclusions</w:t>
            </w:r>
          </w:p>
        </w:tc>
      </w:tr>
      <w:tr>
        <w:tc>
          <w:tcPr>
            <w:tcW w:type="dxa" w:w="4536"/>
          </w:tcPr>
          <w:p>
            <w:r>
              <w:rPr>
                <w:sz w:val="18"/>
              </w:rPr>
              <w:t>Nomenclature (before the Introduction)</w:t>
            </w:r>
          </w:p>
        </w:tc>
        <w:tc>
          <w:tcPr>
            <w:tcW w:type="dxa" w:w="4536"/>
          </w:tcPr>
          <w:p>
            <w:r>
              <w:rPr>
                <w:sz w:val="18"/>
              </w:rPr>
              <w:t>Nomenclature (after the Conclusions, with units)</w:t>
            </w:r>
          </w:p>
        </w:tc>
      </w:tr>
    </w:tbl>
    <w:p>
      <w:r>
        <w:rPr>
          <w:b w:val="0"/>
          <w:i w:val="0"/>
        </w:rPr>
      </w:r>
    </w:p>
    <w:p>
      <w:pPr>
        <w:ind w:left="360"/>
      </w:pPr>
      <w:r>
        <w:rPr>
          <w:b/>
        </w:rPr>
        <w:t xml:space="preserve">Unchanged. </w:t>
      </w:r>
      <w:r>
        <w:t>The equation numbers (1)–(17), the table numbers 1–10 and the figure numbers 1–12 are the same as in the previous version, so that the responses of the first round still point to the right objects.</w:t>
      </w:r>
    </w:p>
    <w:p>
      <w:pPr>
        <w:ind w:left="360"/>
      </w:pPr>
      <w:r>
        <w:rPr>
          <w:b/>
        </w:rPr>
        <w:t xml:space="preserve">Marked copy. </w:t>
      </w:r>
      <w:r>
        <w:t>Because the text was rewritten throughout, a change-marked copy would mark every paragraph and would not help the reader. The table above is provided in its place, and the previous version remains available for comparison.</w:t>
      </w:r>
    </w:p>
    <w:p>
      <w:pPr>
        <w:spacing w:before="200"/>
      </w:pPr>
      <w:r>
        <w:rPr>
          <w:b/>
          <w:i w:val="0"/>
          <w:sz w:val="26"/>
        </w:rPr>
        <w:t>Closing</w:t>
      </w:r>
    </w:p>
    <w:p>
      <w:r>
        <w:rPr>
          <w:b w:val="0"/>
          <w:i w:val="0"/>
        </w:rPr>
        <w:t>I am grateful to Reviewer 2 for insisting on this. The paper now presents the problem, the method, the results and their limits as one argument, and its equations can be read as equations. I would be glad to make any further changes the editor or the reviewers consider necessary.</w:t>
      </w:r>
    </w:p>
    <w:p>
      <w:r>
        <w:rPr>
          <w:b w:val="0"/>
          <w:i w:val="0"/>
        </w:rPr>
        <w:t>Leon Sandler</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