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22"/>
        </w:rPr>
        <w:t>Leon Sandler</w:t>
      </w:r>
    </w:p>
    <w:p>
      <w:pPr>
        <w:spacing w:after="0"/>
      </w:pPr>
      <w:r>
        <w:rPr>
          <w:b w:val="0"/>
          <w:i w:val="0"/>
          <w:sz w:val="22"/>
        </w:rPr>
        <w:t>Independent Researcher</w:t>
      </w:r>
    </w:p>
    <w:p>
      <w:pPr>
        <w:spacing w:after="0"/>
      </w:pPr>
      <w:r>
        <w:rPr>
          <w:b w:val="0"/>
          <w:i w:val="0"/>
          <w:sz w:val="22"/>
        </w:rPr>
        <w:t>Northbrook, IL 60062, USA</w:t>
      </w:r>
    </w:p>
    <w:p>
      <w:pPr>
        <w:spacing w:after="0"/>
      </w:pPr>
      <w:r>
        <w:rPr>
          <w:b w:val="0"/>
          <w:i w:val="0"/>
          <w:sz w:val="22"/>
        </w:rPr>
        <w:t>sandler.leon@gmail.com</w:t>
      </w:r>
    </w:p>
    <w:p>
      <w:pPr>
        <w:spacing w:after="280"/>
      </w:pPr>
      <w:r>
        <w:rPr>
          <w:b w:val="0"/>
          <w:i w:val="0"/>
          <w:sz w:val="22"/>
        </w:rPr>
        <w:t>27 October 2026</w:t>
      </w:r>
    </w:p>
    <w:p>
      <w:pPr>
        <w:spacing w:after="0"/>
      </w:pPr>
      <w:r>
        <w:rPr>
          <w:b w:val="0"/>
          <w:i w:val="0"/>
          <w:sz w:val="22"/>
        </w:rPr>
        <w:t>Dr Joze Kutin</w:t>
      </w:r>
    </w:p>
    <w:p>
      <w:pPr>
        <w:spacing w:after="0"/>
      </w:pPr>
      <w:r>
        <w:rPr>
          <w:b w:val="0"/>
          <w:i w:val="0"/>
          <w:sz w:val="22"/>
        </w:rPr>
        <w:t>Senior Associate Editor, Flow Measurement and Instrumentation</w:t>
      </w:r>
    </w:p>
    <w:p>
      <w:pPr>
        <w:spacing w:after="0"/>
      </w:pPr>
      <w:r>
        <w:rPr>
          <w:b w:val="0"/>
          <w:i w:val="0"/>
          <w:sz w:val="22"/>
        </w:rPr>
        <w:t>Elsevier</w:t>
      </w:r>
    </w:p>
    <w:p>
      <w:pPr>
        <w:spacing w:after="200"/>
      </w:pPr>
      <w:r>
        <w:rPr>
          <w:b/>
          <w:i w:val="0"/>
          <w:sz w:val="22"/>
        </w:rPr>
        <w:t>Re: Revision of manuscript FLOWMEASINST-D-26-00971 — “Hybrid Physics–Diagnostic Estimation of Liquid Loading for Wet-Gas Flowmeter Correction: A Model-Based Uncertainty Framework”</w:t>
      </w:r>
    </w:p>
    <w:p>
      <w:pPr>
        <w:spacing w:after="200"/>
      </w:pPr>
      <w:r>
        <w:rPr>
          <w:b w:val="0"/>
          <w:i w:val="0"/>
          <w:sz w:val="22"/>
        </w:rPr>
        <w:t>Dear Dr Kutin,</w:t>
      </w:r>
    </w:p>
    <w:p>
      <w:pPr>
        <w:spacing w:after="200"/>
      </w:pPr>
      <w:r>
        <w:rPr>
          <w:b w:val="0"/>
          <w:i w:val="0"/>
          <w:sz w:val="22"/>
        </w:rPr>
        <w:t>Thank you for the decision of 21 October 2026 and for the two reviews. Reviewer 1 recommended minor revisions; Reviewer 2 asked for stronger justification of the assumed diagnostic estimator, a test of the circularity of the forward model, a justification of the weighting rule, a proper characterization of the consistency index, a fuller account of the uncertainty propagation, and a clearer separation of simulated performance from demonstrated accuracy. All of the points are addressed, and a point-by-point response is provided as a separate file.</w:t>
      </w:r>
    </w:p>
    <w:p>
      <w:pPr>
        <w:spacing w:after="200"/>
      </w:pPr>
      <w:r>
        <w:rPr>
          <w:b w:val="0"/>
          <w:i w:val="0"/>
          <w:sz w:val="22"/>
        </w:rPr>
        <w:t>I should say at the outset what the revision can and cannot do. I cannot add experimental wet-gas data: this is a computational study by an independent researcher without a flow loop, and the revised manuscript says so more prominently, with a new table (Table 10) that separates what the simulations demonstrate from what is proposed. What the revision does is test the assumptions on which the conclusions depend, and it narrows the claims where those tests warrant it.</w:t>
      </w:r>
    </w:p>
    <w:p>
      <w:pPr>
        <w:spacing w:after="200"/>
      </w:pPr>
      <w:r>
        <w:rPr>
          <w:b/>
          <w:i w:val="0"/>
          <w:sz w:val="22"/>
        </w:rPr>
        <w:t>The principal changes are these.</w:t>
      </w:r>
    </w:p>
    <w:p>
      <w:pPr>
        <w:spacing w:after="200"/>
      </w:pPr>
      <w:r>
        <w:rPr>
          <w:b w:val="0"/>
          <w:i w:val="0"/>
          <w:sz w:val="22"/>
        </w:rPr>
        <w:t>An independent forward model (new Sections 4.5 and 5.12). The correction remains the Chisholm multiplier, but the simulated meter reading is now also generated with an independent published orifice correlation and with systematic and random departures of 5–10% of the over-reading. The error band of the full method grows from ±4.26% to ±5.26%, and the realized coverage of the declared interval falls from 94% to 89% unless a model-form allowance of about 15% of the over-reading is declared.</w:t>
      </w:r>
    </w:p>
    <w:p>
      <w:pPr>
        <w:spacing w:after="200"/>
      </w:pPr>
      <w:r>
        <w:rPr>
          <w:b w:val="0"/>
          <w:i w:val="0"/>
          <w:sz w:val="22"/>
        </w:rPr>
        <w:t>The diagnostic estimator and the weighting rule (new Sections 3.5.1, 5.10 and 5.11). The assumed 20% uncertainty is related to the quantile and conformal specification and varied from 10% to 60%, with a persistent site bias tested separately; the damping rule is justified and compared with alternative rules and thresholds. In the reference case the diagnostic estimator alone (±3.99%) is narrower than the full method (±4.26%); fusion is narrower only when carryover is infrequent (below about 16% of operating time), when the diagnostic estimator is poorer than assumed, or when it carries a persistent positive bias. The threshold k = 1 is not the best choice in the reference case, and the manuscript says so.</w:t>
      </w:r>
    </w:p>
    <w:p>
      <w:pPr>
        <w:spacing w:after="200"/>
      </w:pPr>
      <w:r>
        <w:rPr>
          <w:b w:val="0"/>
          <w:i w:val="0"/>
          <w:sz w:val="22"/>
        </w:rPr>
        <w:t>The consistency index (Table 4, new Section 5.9 and Fig. 9). Sensitivity, specificity, precision, false-positive rate, ROC and precision–recall curves are reported. At the adopted threshold the index has a precision of 94% but a sensitivity of 3% for carryover, so it is described as a gross-disagreement flag and not a carryover detector; the 94% is now called precision, as Reviewer 1 asked.</w:t>
      </w:r>
    </w:p>
    <w:p>
      <w:pPr>
        <w:spacing w:after="200"/>
      </w:pPr>
      <w:r>
        <w:rPr>
          <w:b w:val="0"/>
          <w:i w:val="0"/>
          <w:sz w:val="22"/>
        </w:rPr>
        <w:t>Uncertainty propagation (new Section 3.5.2, Eqs. 13–16). The damped weights and the fused uncertainty are specified; the first-order propagation, the treatment of correlations and the model-form term are written out; and Table 6 is recomputed, with the “order of magnitude” statement replaced by the ratios.</w:t>
      </w:r>
    </w:p>
    <w:p>
      <w:pPr>
        <w:spacing w:after="200"/>
      </w:pPr>
      <w:r>
        <w:rPr>
          <w:b w:val="0"/>
          <w:i w:val="0"/>
          <w:sz w:val="22"/>
        </w:rPr>
        <w:t>Presentation. Units are standardized to kgf/cm² with the SI equivalent; the Abstract states ±4.26% and ±4.28% and what each refers to; terms are defined in Section 4.3; the minimum signal set and the case without downstream tapping are described in Section 6.2.</w:t>
      </w:r>
    </w:p>
    <w:p>
      <w:pPr>
        <w:spacing w:after="200"/>
      </w:pPr>
      <w:r>
        <w:rPr>
          <w:b w:val="0"/>
          <w:i w:val="0"/>
          <w:sz w:val="22"/>
        </w:rPr>
        <w:t>Five corrections that no reviewer raised are listed in the response, among them a statement of the prevalence range over which fusion beats both estimators (5–20% in the first version, about 15–16% after a finer sweep) and a correction of the claim that the liquid-loading estimate dominates the uncertainty budget by an order of magnitude (about 3 times, and 40% of the variance at X_LM = 0.05).</w:t>
      </w:r>
    </w:p>
    <w:p>
      <w:pPr>
        <w:spacing w:after="200"/>
      </w:pPr>
      <w:r>
        <w:rPr>
          <w:b w:val="0"/>
          <w:i w:val="0"/>
          <w:sz w:val="22"/>
        </w:rPr>
        <w:t>The new analyses are deposited with the earlier code at https://github.com/sandlerleon/hybrid-liquid-loading-estimation (archived at https://doi.org/10.5281/zenodo.22760863). They include executable checks of the revision code, all of which pass; the original analysis, and Tables 3, 5 and 6 and Figs 2–8, are unchanged.</w:t>
      </w:r>
    </w:p>
    <w:p>
      <w:pPr>
        <w:spacing w:after="200"/>
      </w:pPr>
      <w:r>
        <w:rPr>
          <w:b w:val="0"/>
          <w:i w:val="0"/>
          <w:sz w:val="22"/>
        </w:rPr>
        <w:t>I have also posted the first version of the manuscript as a preprint on ChemRxiv (https://chemrxiv.org/doi/full/10.26434/chemrxiv.15009070/v1; DOI https://doi.org/10.26434/chemrxiv.15009070/v1). The preprint predates the reviews and does not contain the revision.</w:t>
      </w:r>
    </w:p>
    <w:p>
      <w:pPr>
        <w:spacing w:after="200"/>
      </w:pPr>
      <w:r>
        <w:rPr>
          <w:b w:val="0"/>
          <w:i w:val="0"/>
          <w:sz w:val="22"/>
        </w:rPr>
        <w:t>The manuscript is original, is not under consideration elsewhere, and has not been published previously except as the ChemRxiv preprint noted above. I am the sole author, I have no competing interests, and the work received no external funding. The use of a generative AI tool for drafting, literature synthesis, analysis design and code writing is disclosed in the manuscript.</w:t>
      </w:r>
    </w:p>
    <w:p>
      <w:pPr>
        <w:spacing w:after="200"/>
      </w:pPr>
      <w:r>
        <w:rPr>
          <w:b w:val="0"/>
          <w:i w:val="0"/>
          <w:sz w:val="22"/>
        </w:rPr>
        <w:t>Thank you for your consideration.</w:t>
      </w:r>
    </w:p>
    <w:p>
      <w:pPr>
        <w:spacing w:after="320"/>
      </w:pPr>
      <w:r>
        <w:rPr>
          <w:b w:val="0"/>
          <w:i w:val="0"/>
          <w:sz w:val="22"/>
        </w:rPr>
        <w:t>Sincerely,</w:t>
      </w:r>
    </w:p>
    <w:p>
      <w:pPr>
        <w:spacing w:after="320"/>
      </w:pPr>
      <w:r>
        <w:rPr>
          <w:b/>
          <w:i w:val="0"/>
          <w:sz w:val="22"/>
        </w:rPr>
        <w:t>Leon Sandler</w:t>
      </w:r>
    </w:p>
    <w:p>
      <w:pPr>
        <w:spacing w:after="320"/>
      </w:pPr>
      <w:r>
        <w:rPr>
          <w:b w:val="0"/>
          <w:i w:val="0"/>
          <w:sz w:val="22"/>
        </w:rPr>
        <w:t>Independent Researcher, Northbrook, IL, USA</w:t>
      </w:r>
    </w:p>
    <w:p>
      <w:pPr>
        <w:spacing w:after="320"/>
      </w:pPr>
      <w:r>
        <w:rPr>
          <w:b w:val="0"/>
          <w:i w:val="0"/>
          <w:sz w:val="22"/>
        </w:rPr>
        <w:t>sandler.leon@gmail.com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