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footerReference w:type="default" r:id="rId18"/>
      <w:type w:val="nextPage"/>
      <w:pgSz w:w="12240" w:h="15840"/>
      <w:pgMar w:left="1224" w:right="122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7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>
    <w:name w:val="annotation reference"/>
    <w:basedOn w:val="DefaultParagraphFont"/>
    <w:qFormat/>
    <w:rsid w:val="00805bce"/>
    <w:rPr>
      <w:sz w:val="16"/>
      <w:szCs w:val="16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17</Pages>
  <Words>8569</Words>
  <Characters>48396</Characters>
  <CharactersWithSpaces>56537</CharactersWithSpaces>
  <Paragraphs>585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Leon Sandler</dc:creator>
  <dc:description/>
  <dc:language>en-US</dc:language>
  <cp:lastModifiedBy/>
  <dcterms:modified xsi:type="dcterms:W3CDTF">2026-09-22T20:54:27Z</dcterms:modified>
  <cp:revision>2</cp:revision>
  <dc:subject/>
  <dc:title>Hybrid Physics–Diagnostic Estimation of Liquid Loading for Wet-Gas Flowmeter Correction</dc:title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1">
    <vt:filetime>2026-09-23T01:52:28Z</vt:filetime>
  </property>
</Properties>
</file>