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28"/>
        </w:rPr>
        <w:t>Highlights</w:t>
      </w:r>
    </w:p>
    <w:p>
      <w:pPr>
        <w:spacing w:after="280"/>
      </w:pPr>
      <w:r>
        <w:rPr>
          <w:b w:val="0"/>
          <w:i/>
          <w:sz w:val="21"/>
        </w:rPr>
        <w:t>Hybrid Physics–Diagnostic Estimation of Liquid Loading for Wet-Gas Flowmeter Correction: A Model-Based Uncertainty Framework</w:t>
      </w:r>
    </w:p>
    <w:p>
      <w:pPr>
        <w:pStyle w:val="ListBullet"/>
        <w:spacing w:after="120"/>
      </w:pPr>
      <w:r>
        <w:rPr>
          <w:sz w:val="22"/>
        </w:rPr>
        <w:t>Liquid loading is estimated as a latent variable; the correlation is unchanged</w:t>
      </w:r>
    </w:p>
    <w:p>
      <w:pPr>
        <w:pStyle w:val="ListBullet"/>
        <w:spacing w:after="120"/>
      </w:pPr>
      <w:r>
        <w:rPr>
          <w:sz w:val="22"/>
        </w:rPr>
        <w:t>Fusion beats the diagnostic estimator alone only when carryover is infrequent</w:t>
      </w:r>
    </w:p>
    <w:p>
      <w:pPr>
        <w:pStyle w:val="ListBullet"/>
        <w:spacing w:after="120"/>
      </w:pPr>
      <w:r>
        <w:rPr>
          <w:sz w:val="22"/>
        </w:rPr>
        <w:t>The consistency index has 94% precision but only 3% sensitivity for carryover</w:t>
      </w:r>
    </w:p>
    <w:p>
      <w:pPr>
        <w:pStyle w:val="ListBullet"/>
        <w:spacing w:after="120"/>
      </w:pPr>
      <w:r>
        <w:rPr>
          <w:sz w:val="22"/>
        </w:rPr>
        <w:t>Omitting the estimator covariance silently disables the acceptance test</w:t>
      </w:r>
    </w:p>
    <w:p>
      <w:pPr>
        <w:pStyle w:val="ListBullet"/>
        <w:spacing w:after="120"/>
      </w:pPr>
      <w:r>
        <w:rPr>
          <w:sz w:val="22"/>
        </w:rPr>
        <w:t>Modeled uncertainties only; an independent correlation widens the band by 1 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