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Stream-by-stream model reconciles 2.73 to 3.65 to 10.68 kWh/m3 exactly.</w:t>
      </w:r>
    </w:p>
    <w:p>
      <w:pPr>
        <w:pStyle w:val="ListBullet"/>
      </w:pPr>
      <w:r>
        <w:t>Near-ZLD crystallization more than triples total system energy demand.</w:t>
      </w:r>
    </w:p>
    <w:p>
      <w:pPr>
        <w:pStyle w:val="ListBullet"/>
      </w:pPr>
      <w:r>
        <w:t>Corrected market-volume source shows Mg(OH)2 plant share is ~6.2%.</w:t>
      </w:r>
    </w:p>
    <w:p>
      <w:pPr>
        <w:pStyle w:val="ListBullet"/>
      </w:pPr>
      <w:r>
        <w:t>Market-realistic mineral credit yields net LCOW of $0.42/m3 vs $0.76.</w:t>
      </w:r>
    </w:p>
    <w:p>
      <w:pPr>
        <w:pStyle w:val="ListBullet"/>
      </w:pPr>
      <w:r>
        <w:t>Full open-source code and data are archived for exact reproducibility.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