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0"/>
        </w:rPr>
        <w:t>Response to Reviewers — Revision 2</w:t>
      </w:r>
    </w:p>
    <w:p>
      <w:r>
        <w:rPr>
          <w:b/>
          <w:i w:val="0"/>
          <w:sz w:val="22"/>
        </w:rPr>
        <w:t>Manuscript DWT-D-26-01366</w:t>
      </w:r>
    </w:p>
    <w:p>
      <w:r>
        <w:rPr>
          <w:b w:val="0"/>
          <w:i/>
        </w:rPr>
        <w:t>Consistency Testing of an Integrated SWRO–Brine Valorization Architecture: Alkalinity as the Binding Constraint</w:t>
      </w:r>
    </w:p>
    <w:p>
      <w:r>
        <w:rPr>
          <w:b w:val="0"/>
          <w:i w:val="0"/>
        </w:rPr>
        <w:t>Leon Sandler, Independent Researcher, Northbrook, Illinois, USA</w:t>
      </w:r>
    </w:p>
    <w:p>
      <w:r>
        <w:rPr>
          <w:b w:val="0"/>
          <w:i w:val="0"/>
        </w:rPr>
        <w:t>3 October 2026</w:t>
      </w:r>
    </w:p>
    <w:p>
      <w:pPr>
        <w:spacing w:before="280"/>
      </w:pPr>
      <w:r>
        <w:rPr>
          <w:b w:val="0"/>
          <w:i w:val="0"/>
        </w:rPr>
        <w:t>Dear Editor and Reviewers,</w:t>
      </w:r>
    </w:p>
    <w:p>
      <w:r>
        <w:rPr>
          <w:b w:val="0"/>
          <w:i w:val="0"/>
        </w:rPr>
        <w:t>Thank you for the further review of this manuscript. I am grateful to Reviewer 2 for recommending acceptance, and to Reviewer 4 for a second reading that identified four specific weaknesses in the presentation of Revision 1. All four have been addressed in full, and I have taken Reviewer 4's fourth comment — that the response document itself should be more professional and constructive — as applying to the whole record. This document is therefore rewritten in a uniform format: each comment is quoted, each response explains what was done and where it may be found, and the responses given at the previous round are restated in the same format in the Appendix.</w:t>
      </w:r>
    </w:p>
    <w:p>
      <w:r>
        <w:rPr>
          <w:b w:val="0"/>
          <w:i w:val="0"/>
        </w:rPr>
        <w:t>One point is worth stating at the outset. No model, parameter, assumption or numerical result has been altered in Revision 2, and the two new figures plot values that were already in the manuscript's own tables. Every table and every figure carried over from Revision 1 remains reproducible from the deposited code at release tag v2.3.0; the two new figures are produced by a separate plotting script that reads those same tables, supplied with this submission for deposit alongside the model code, and the Data Availability statement now says so. The two Discussion subsections added after that review are proposals for future work: they introduce no calculation and change no reported value.</w:t>
      </w:r>
    </w:p>
    <w:p>
      <w:r>
        <w:rPr>
          <w:b w:val="0"/>
          <w:i w:val="0"/>
        </w:rPr>
        <w:t>A second point should be declared rather than left to be noticed. In preparing this revision I checked the manuscript's internal references and found five inconsistencies that no reviewer raised. They are listed below under ‘Corrections not requested by a reviewer’. One of them is substantive: the Introduction still carried a summary conclusion from before the economic reversal. The others are cross-reference and counting errors.</w:t>
      </w:r>
    </w:p>
    <w:p>
      <w:pPr>
        <w:spacing w:before="320" w:after="120"/>
      </w:pPr>
      <w:r>
        <w:rPr>
          <w:b/>
          <w:i w:val="0"/>
          <w:sz w:val="26"/>
        </w:rPr>
        <w:t>Files in this submission</w:t>
      </w:r>
    </w:p>
    <w:p>
      <w:pPr>
        <w:pStyle w:val="ListBullet"/>
        <w:spacing w:after="60"/>
        <w:ind w:left="648"/>
      </w:pPr>
      <w:r>
        <w:t>ILEDBV_Manuscript_Revised_v6.docx — the revised manuscript, with the figures embedded.</w:t>
      </w:r>
    </w:p>
    <w:p>
      <w:pPr>
        <w:pStyle w:val="ListBullet"/>
        <w:spacing w:after="60"/>
        <w:ind w:left="648"/>
      </w:pPr>
      <w:r>
        <w:t>ILEDBV_Manuscript_Revised_v6_marked.docx — the same manuscript with every paragraph changed in this revision highlighted.</w:t>
      </w:r>
    </w:p>
    <w:p>
      <w:pPr>
        <w:pStyle w:val="ListBullet"/>
        <w:spacing w:after="60"/>
        <w:ind w:left="648"/>
      </w:pPr>
      <w:r>
        <w:t>DWT_Response_to_Reviewers_R2.docx — this document.</w:t>
      </w:r>
    </w:p>
    <w:p>
      <w:pPr>
        <w:pStyle w:val="ListBullet"/>
        <w:spacing w:after="60"/>
        <w:ind w:left="648"/>
      </w:pPr>
      <w:r>
        <w:t>DWT_Revision2_Cover_Letter.docx — cover letter.</w:t>
      </w:r>
    </w:p>
    <w:p>
      <w:pPr>
        <w:pStyle w:val="ListBullet"/>
        <w:spacing w:after="60"/>
        <w:ind w:left="648"/>
      </w:pPr>
      <w:r>
        <w:t>Highlights_ILEDBV_Revised.docx — five highlights, each within the 85-character limit.</w:t>
      </w:r>
    </w:p>
    <w:p>
      <w:pPr>
        <w:pStyle w:val="ListBullet"/>
        <w:spacing w:after="60"/>
        <w:ind w:left="648"/>
      </w:pPr>
      <w:r>
        <w:t>Figure01 to Figure11, in TIFF and PNG — the eleven figures at full resolution, numbered in citation order.</w:t>
      </w:r>
    </w:p>
    <w:p>
      <w:pPr>
        <w:pStyle w:val="ListBullet"/>
        <w:spacing w:after="60"/>
        <w:ind w:left="648"/>
      </w:pPr>
      <w:r>
        <w:t>Graphical_Abstract, in TIFF and PNG.</w:t>
      </w:r>
    </w:p>
    <w:p>
      <w:pPr>
        <w:pStyle w:val="ListBullet"/>
        <w:spacing w:after="60"/>
        <w:ind w:left="648"/>
      </w:pPr>
      <w:r>
        <w:t>make_new_figures_v5.py — the plotting script for the two new figures, for deposit alongside the model code.</w:t>
      </w:r>
    </w:p>
    <w:p>
      <w:pPr>
        <w:spacing w:before="320" w:after="120"/>
      </w:pPr>
      <w:r>
        <w:rPr>
          <w:b/>
          <w:i w:val="0"/>
          <w:sz w:val="26"/>
        </w:rPr>
        <w:t>Summary of the changes in Revision 2</w:t>
      </w:r>
    </w:p>
    <w:p>
      <w:pPr>
        <w:pStyle w:val="ListBullet"/>
        <w:spacing w:after="60"/>
        <w:ind w:left="648"/>
      </w:pPr>
      <w:r>
        <w:t>Equations (1)–(14) are rebuilt as native Word equation objects in standard mathematical notation: italic variables, upright descriptive subscripts, Greek symbols, built-up fractions, true subscripts and superscripts, and typographic minus signs. They are displayed and centred, with the equation number aligned to the right margin.</w:t>
      </w:r>
    </w:p>
    <w:p>
      <w:pPr>
        <w:pStyle w:val="ListBullet"/>
        <w:spacing w:after="60"/>
        <w:ind w:left="648"/>
      </w:pPr>
      <w:r>
        <w:t>The one-line descriptors that sat beneath each equation in Revision 1 are removed and replaced by connecting prose that introduces each group of equations and defines its terms.</w:t>
      </w:r>
    </w:p>
    <w:p>
      <w:pPr>
        <w:pStyle w:val="ListBullet"/>
        <w:spacing w:after="60"/>
        <w:ind w:left="648"/>
      </w:pPr>
      <w:r>
        <w:t>Units and chemical formulae are set correctly throughout the text, the twelve tables and the Nomenclature: kWh m⁻³ rather than kWh m-3, CO₂ rather than CO2, π, φ, β, η and ΔCa rather than pi, phi, beta, eta and dCa.</w:t>
      </w:r>
    </w:p>
    <w:p>
      <w:pPr>
        <w:pStyle w:val="ListBullet"/>
        <w:spacing w:after="60"/>
        <w:ind w:left="648"/>
      </w:pPr>
      <w:r>
        <w:t>The Abstract is reduced from 369 words to 250, the journal's stated limit, and its longer sentences are divided.</w:t>
      </w:r>
    </w:p>
    <w:p>
      <w:pPr>
        <w:pStyle w:val="ListBullet"/>
        <w:spacing w:after="60"/>
        <w:ind w:left="648"/>
      </w:pPr>
      <w:r>
        <w:t>Two new figures present quantitative results that Revision 1 carried only as tables: Figure 2 (stream composition, from Table 1) and Figure 7 (cost structure, from Tables 5 and 8).</w:t>
      </w:r>
    </w:p>
    <w:p>
      <w:pPr>
        <w:pStyle w:val="ListBullet"/>
        <w:spacing w:after="60"/>
        <w:ind w:left="648"/>
      </w:pPr>
      <w:r>
        <w:t>Numbered captions are supplied for all eleven figures. Revision 1 contained no figure captions, which I had not noticed and which I believe is the main reason the manuscript read as text and numbers rather than as a figure-led paper.</w:t>
      </w:r>
    </w:p>
    <w:p>
      <w:pPr>
        <w:pStyle w:val="ListBullet"/>
        <w:spacing w:after="60"/>
        <w:ind w:left="648"/>
      </w:pPr>
      <w:r>
        <w:t>Figures are renumbered to citation order after the two insertions, and the call-out style is made uniform.</w:t>
      </w:r>
    </w:p>
    <w:p>
      <w:pPr>
        <w:pStyle w:val="ListBullet"/>
        <w:spacing w:after="60"/>
        <w:ind w:left="648"/>
      </w:pPr>
      <w:r>
        <w:t>The figures are embedded in the manuscript file, each above its caption, so that the document reads on its own; the separate high-resolution files are supplied as well.</w:t>
      </w:r>
    </w:p>
    <w:p>
      <w:pPr>
        <w:pStyle w:val="ListBullet"/>
        <w:spacing w:after="60"/>
        <w:ind w:left="648"/>
      </w:pPr>
      <w:r>
        <w:t>A graphical abstract is supplied.</w:t>
      </w:r>
    </w:p>
    <w:p>
      <w:pPr>
        <w:pStyle w:val="ListBullet"/>
        <w:spacing w:after="60"/>
        <w:ind w:left="648"/>
      </w:pPr>
      <w:r>
        <w:t>A CRediT authorship contribution statement and a declaration on the use of generative AI are added, as the journal requires.</w:t>
      </w:r>
    </w:p>
    <w:p>
      <w:pPr>
        <w:pStyle w:val="ListBullet"/>
        <w:spacing w:after="60"/>
        <w:ind w:left="648"/>
      </w:pPr>
      <w:r>
        <w:t>Sections 5.6 and 5.7 are extended, in response to Reviewer 3's comments on the membrane stage and on product quality, to state that the concentrator is bounded thermodynamically rather than designed hydraulically, and to specify the element-level and product-characterization measurements that would settle both questions. No new claim is made; the scope limits are stated in the manuscript rather than only in correspondence.</w:t>
      </w:r>
    </w:p>
    <w:p>
      <w:pPr>
        <w:pStyle w:val="ListBullet"/>
        <w:spacing w:after="60"/>
        <w:ind w:left="648"/>
      </w:pPr>
      <w:r>
        <w:rPr>
          <w:b w:val="0"/>
        </w:rPr>
        <w:t>Two forward-looking subsections are added to the Discussion. These answer editorial guidance rather than a reviewer comment, and neither affects a result. Section 5.3 now considers crosslinked graphene oxide and MXene laminate membranes as a possible alternative to the crystallization stage, and a new Section 5.5 sets out brine-derived magnesium as a precursor for metallothermic silicon production. Both are stated as research directions; both are excluded from the mass, energy, carbon and economic balances, and the corresponding qualifications are recorded in the Limitations and in Proposed validation. Ten references supporting them are added as [27] to [36]. The former Sections 5.5 and 5.6 are accordingly renumbered 5.6 and 5.7.</w:t>
      </w:r>
    </w:p>
    <w:p>
      <w:pPr>
        <w:pStyle w:val="ListBullet"/>
        <w:spacing w:after="60"/>
        <w:ind w:left="648"/>
      </w:pPr>
      <w:r>
        <w:rPr>
          <w:b w:val="0"/>
        </w:rPr>
        <w:t>A final editorial pass makes four corrections, none of which changes a result. Section 5.3 now describes the laminate membranes as potential components of alternative brine-concentration and crystallization systems, and states that membrane separation and complete crystallization are not interchangeable. The electricity-price crossings of Section 4.12 and the Conclusions are labelled modeled thresholds under the stated cost assumptions rather than demonstrated commercial break-even prices, since the capital cost of the electrochemical unit and its coproduct handling lie outside the boundary. The generative-AI declaration is rewritten to state what the tool did and what was verified, and by what. Data availability now names the plotting script for Figures 2 and 7 and the release that contains it, because that script was added after v2.3.0, which remains the tag cited for the model code.</w:t>
      </w:r>
    </w:p>
    <w:p>
      <w:pPr>
        <w:spacing w:before="320" w:after="120"/>
      </w:pPr>
      <w:r>
        <w:rPr>
          <w:b/>
          <w:i w:val="0"/>
          <w:sz w:val="26"/>
        </w:rPr>
        <w:t>Reviewer 2 — Revision 1</w:t>
      </w:r>
    </w:p>
    <w:p>
      <w:pPr>
        <w:spacing w:before="180" w:after="60"/>
        <w:ind w:left="403"/>
      </w:pPr>
      <w:r>
        <w:rPr>
          <w:b/>
        </w:rPr>
        <w:t xml:space="preserve">Comment. </w:t>
      </w:r>
      <w:r>
        <w:rPr>
          <w:i/>
        </w:rPr>
        <w:t>I am satisfied with the authors' revisions and recommend the manuscript for publication.</w:t>
      </w:r>
    </w:p>
    <w:p>
      <w:pPr>
        <w:ind w:left="403"/>
      </w:pPr>
      <w:r>
        <w:rPr>
          <w:b/>
        </w:rPr>
        <w:t xml:space="preserve">Response. </w:t>
      </w:r>
      <w:r>
        <w:t>Thank you. I am grateful for the care you gave both rounds of this manuscript. Your comments on the initial submission led to the Monte Carlo analysis that replaced the one-at-a-time sensitivity study, and to the rewriting of the environmental assessment that revealed the reagent carbon term; both are now central to the paper's conclusions. The changes made in Revision 2 are confined to presentation and do not alter any result you reviewed.</w:t>
      </w:r>
    </w:p>
    <w:p>
      <w:pPr>
        <w:spacing w:before="320" w:after="120"/>
      </w:pPr>
      <w:r>
        <w:rPr>
          <w:b/>
          <w:i w:val="0"/>
          <w:sz w:val="26"/>
        </w:rPr>
        <w:t>Reviewer 4 — Revision 1</w:t>
      </w:r>
    </w:p>
    <w:p>
      <w:r>
        <w:rPr>
          <w:b w:val="0"/>
          <w:i w:val="0"/>
        </w:rPr>
        <w:t>I appreciate that you read the manuscript a second time and set out precisely what still fell short. Each of the four comments is addressed below.</w:t>
      </w:r>
    </w:p>
    <w:p>
      <w:pPr>
        <w:spacing w:before="240" w:after="80"/>
      </w:pPr>
      <w:r>
        <w:rPr>
          <w:b/>
          <w:i w:val="0"/>
          <w:sz w:val="23"/>
        </w:rPr>
        <w:t>Comment 1 — Equations</w:t>
      </w:r>
    </w:p>
    <w:p>
      <w:pPr>
        <w:spacing w:before="180" w:after="60"/>
        <w:ind w:left="403"/>
      </w:pPr>
      <w:r>
        <w:rPr>
          <w:b/>
        </w:rPr>
        <w:t xml:space="preserve">Comment. </w:t>
      </w:r>
      <w:r>
        <w:rPr>
          <w:i/>
        </w:rPr>
        <w:t>The equations are not presented in a sufficiently rigorous and consistent scientific format. The authors should carefully revise the notation, formatting, variable definitions, and the overall presentation of all equations to conform to standard scientific conventions.</w:t>
      </w:r>
    </w:p>
    <w:p>
      <w:pPr>
        <w:ind w:left="403"/>
      </w:pPr>
      <w:r>
        <w:rPr>
          <w:b/>
        </w:rPr>
        <w:t xml:space="preserve">Response. </w:t>
      </w:r>
      <w:r>
        <w:t>Accepted. Revision 1 numbered the equations but left them in the plain-text form in which the model was written, with underscore subscripts, spelled-out Greek letters and hyphens standing in for minus signs. The same inconsistency extended beyond the equations into the running text, the tables and the Nomenclature.</w:t>
      </w:r>
    </w:p>
    <w:p>
      <w:pPr>
        <w:ind w:left="403"/>
      </w:pPr>
      <w:r>
        <w:t>All fourteen equations have been re-set. Variables are now italic and descriptive subscripts upright, following ISO 80000-2, with true subscripts and superscripts and Greek characters: the plain-text forms Q_p, C_f,i, r_i, pi, phi(S), beta, eta_pump, eta_PX, eta_II, w_min and SEC_RO used in Revision 1 no longer appear anywhere in the manuscript. Subtraction is set with a minus sign and multiplication with a multiplication sign. Each equation is displayed on its own line, centred, with its number aligned to the right margin; Eq. (14), which is a linear program, is set as an objective with an indented list of constraints and is held on a single page. All fourteen are native Word equation objects rather than styled text, so they remain editable in the equation editor and can be carried into production as equations.</w:t>
      </w:r>
    </w:p>
    <w:p>
      <w:pPr>
        <w:ind w:left="403"/>
      </w:pPr>
      <w:r>
        <w:t>The one-line descriptors that followed each equation in Revision 1 have been removed. In their place, Section 3 now introduces each group of equations in prose and defines its terms where they first appear, which is the convention the journal follows. The Nomenclature remains and has been re-set in the same notation.</w:t>
      </w:r>
    </w:p>
    <w:p>
      <w:pPr>
        <w:ind w:left="403"/>
      </w:pPr>
      <w:r>
        <w:t>The same correction has been applied to the rest of the manuscript, since the inconsistency was not confined to Section 3: units are now set as kWh m⁻³, g L⁻¹ and kg kWh⁻¹, and chemical formulae as CO₂, CaCO₃, Mg(OH)₂, Na₂CO₃ and CaSO₄·2H₂O, in the text, in all twelve tables and in the Nomenclature.</w:t>
      </w:r>
    </w:p>
    <w:p>
      <w:pPr>
        <w:spacing w:after="160"/>
        <w:ind w:left="403"/>
      </w:pPr>
      <w:r>
        <w:rPr>
          <w:b/>
        </w:rPr>
        <w:t xml:space="preserve">Change in the manuscript. </w:t>
      </w:r>
      <w:r>
        <w:t>Section 3 in its entirety, Eqs. (1)–(14), Section 4.13 for Eq. (14), the Nomenclature, and units and formulae throughout the text and tables.</w:t>
      </w:r>
    </w:p>
    <w:p>
      <w:pPr>
        <w:spacing w:before="240" w:after="80"/>
      </w:pPr>
      <w:r>
        <w:rPr>
          <w:b/>
          <w:i w:val="0"/>
          <w:sz w:val="23"/>
        </w:rPr>
        <w:t>Comment 2 — Abstract</w:t>
      </w:r>
    </w:p>
    <w:p>
      <w:pPr>
        <w:spacing w:before="180" w:after="60"/>
        <w:ind w:left="403"/>
      </w:pPr>
      <w:r>
        <w:rPr>
          <w:b/>
        </w:rPr>
        <w:t xml:space="preserve">Comment. </w:t>
      </w:r>
      <w:r>
        <w:rPr>
          <w:i/>
        </w:rPr>
        <w:t>The abstract appears to exceed 350 words. The authors should check the journal guidelines and revise the abstract to comply with the required word limit and format.</w:t>
      </w:r>
    </w:p>
    <w:p>
      <w:pPr>
        <w:ind w:left="403"/>
      </w:pPr>
      <w:r>
        <w:rPr>
          <w:b/>
        </w:rPr>
        <w:t xml:space="preserve">Response. </w:t>
      </w:r>
      <w:r>
        <w:t>You are right, and I should have checked this before resubmitting. The Revision 1 abstract was 369 words against the journal's stated limit of 250.</w:t>
      </w:r>
    </w:p>
    <w:p>
      <w:pPr>
        <w:ind w:left="403"/>
      </w:pPr>
      <w:r>
        <w:t>The abstract has been rewritten to exactly 250 words. The reduction was made by compressing the electrochemical-route material of the final third, which is developed at length in Sections 4.12 and 4.13 and in the Conclusions, rather than by removing any of the three consistency-test results. The long sentences have been divided, which also answers a comment Reviewer 1 made on the initial submission. No figure quoted in the abstract has changed.</w:t>
      </w:r>
    </w:p>
    <w:p>
      <w:pPr>
        <w:spacing w:after="160"/>
        <w:ind w:left="403"/>
      </w:pPr>
      <w:r>
        <w:rPr>
          <w:b/>
        </w:rPr>
        <w:t xml:space="preserve">Change in the manuscript. </w:t>
      </w:r>
      <w:r>
        <w:t>Abstract, rewritten; 250 words.</w:t>
      </w:r>
    </w:p>
    <w:p>
      <w:pPr>
        <w:spacing w:before="240" w:after="80"/>
      </w:pPr>
      <w:r>
        <w:rPr>
          <w:b/>
          <w:i w:val="0"/>
          <w:sz w:val="23"/>
        </w:rPr>
        <w:t>Comment 3 — Figures</w:t>
      </w:r>
    </w:p>
    <w:p>
      <w:pPr>
        <w:spacing w:before="180" w:after="60"/>
        <w:ind w:left="403"/>
      </w:pPr>
      <w:r>
        <w:rPr>
          <w:b/>
        </w:rPr>
        <w:t xml:space="preserve">Comment. </w:t>
      </w:r>
      <w:r>
        <w:rPr>
          <w:i/>
        </w:rPr>
        <w:t>The manuscript relies heavily on numerical and textual descriptions. More effective graphical presentation is recommended to help readers understand the key findings. Relevant quantitative results could be visualized, and schematic diagrams could also be included to clearly illustrate the main concepts, processes, or relationships discussed in the manuscript.</w:t>
      </w:r>
    </w:p>
    <w:p>
      <w:pPr>
        <w:ind w:left="403"/>
      </w:pPr>
      <w:r>
        <w:rPr>
          <w:b/>
        </w:rPr>
        <w:t xml:space="preserve">Response. </w:t>
      </w:r>
      <w:r>
        <w:t>This comment identified something I had missed, and I am glad of it. Revision 1 contained no figure captions at all. Nine figures were uploaded and cited in the text as 'Fig. 2', 'Fig. 3' and so on, but the manuscript file carried twelve captioned, titled tables and not one captioned figure. A reader working from the manuscript would therefore have met the findings almost entirely as numbers in tables, which is, I think, exactly the impression your comment describes.</w:t>
      </w:r>
    </w:p>
    <w:p>
      <w:pPr>
        <w:ind w:left="403"/>
      </w:pPr>
      <w:r>
        <w:t>Three things have been done. First, numbered descriptive captions are now supplied for all eleven figures, placed at the point of first citation in the same style as the table captions.</w:t>
      </w:r>
    </w:p>
    <w:p>
      <w:pPr>
        <w:ind w:left="403"/>
      </w:pPr>
      <w:r>
        <w:t>Second, two new figures present results that Revision 1 carried only as tables. Figure 2 plots the stream composition from Table 1: panel (a) shows total dissolved solids rising from 121.7 to 124.8 g L⁻¹ across the precipitation step, and panel (b) shows magnesium falling from 4.62 to 0.09 g L⁻¹ while calcium rises from 1.48 to 7.53 g L⁻¹. That calcium reversal is the paper's central finding and it was previously visible only as two numbers in an eleven-column table. Figure 7 plots the cost structure: panel (a) gives the operating-cost composition from Table 5, which shows at a glance that the precipitation reagents and not electricity are the largest line, and panel (b) gives the gross cost, the mineral credit and the net cost from Table 8 against the conventional comparator.</w:t>
      </w:r>
    </w:p>
    <w:p>
      <w:pPr>
        <w:ind w:left="403"/>
      </w:pPr>
      <w:r>
        <w:t>Third, the figures are now embedded in the manuscript file itself, each above its caption, so that the document can be read on its own; the separate high-resolution files are supplied as well. A graphical abstract is also supplied, setting out the three consistency tests, their outcomes and the binding constraint.</w:t>
      </w:r>
    </w:p>
    <w:p>
      <w:pPr>
        <w:ind w:left="403"/>
      </w:pPr>
      <w:r>
        <w:t>Both new figures are plotted directly from values already in the manuscript. No new calculation was performed and no number changed. After the two insertions the figures have been renumbered to citation order, so that the nine figures of Revision 1 now appear as Figures 1, 3, 4, 5, 6, 8, 9, 10 and 11; the renumbered files are supplied. The call-out style is also made uniform, with 'Figure N' where a call-out opens a sentence and 'Fig. N' elsewhere.</w:t>
      </w:r>
    </w:p>
    <w:p>
      <w:pPr>
        <w:ind w:left="403"/>
      </w:pPr>
      <w:r>
        <w:t>On schematic diagrams: Figure 1 is the process schematic, and in response to Reviewer 3 at the previous round it already carries stream tags, flows, salinities, pressures, reagent dosages and the embodied-carbon term. I have left it unchanged rather than add a second schematic of the same process, but I would be glad to provide one if you consider it would help.</w:t>
      </w:r>
    </w:p>
    <w:p>
      <w:pPr>
        <w:spacing w:after="160"/>
        <w:ind w:left="403"/>
      </w:pPr>
      <w:r>
        <w:rPr>
          <w:b/>
        </w:rPr>
        <w:t xml:space="preserve">Change in the manuscript. </w:t>
      </w:r>
      <w:r>
        <w:t>Figure captions for Figures 1–11 added at the point of first citation; new Figure 2 after the Table 1 commentary in Section 4.1 and new Figure 7 in Section 4.9, each with a call-out in the text; all figures renumbered to citation order; graphical abstract supplied as a separate file.</w:t>
      </w:r>
    </w:p>
    <w:p>
      <w:pPr>
        <w:spacing w:before="240" w:after="80"/>
      </w:pPr>
      <w:r>
        <w:rPr>
          <w:b/>
          <w:i w:val="0"/>
          <w:sz w:val="23"/>
        </w:rPr>
        <w:t>Comment 4 — Response to reviewer comments</w:t>
      </w:r>
    </w:p>
    <w:p>
      <w:pPr>
        <w:spacing w:before="180" w:after="60"/>
        <w:ind w:left="403"/>
      </w:pPr>
      <w:r>
        <w:rPr>
          <w:b/>
        </w:rPr>
        <w:t xml:space="preserve">Comment. </w:t>
      </w:r>
      <w:r>
        <w:rPr>
          <w:i/>
        </w:rPr>
        <w:t>The responses to the reviewer comments should be revised in a more professional and constructive manner. Each comment should be addressed carefully and respectfully, with clear explanations of the corresponding revisions or scientific justification when a suggested revision is not adopted.</w:t>
      </w:r>
    </w:p>
    <w:p>
      <w:pPr>
        <w:ind w:left="403"/>
      </w:pPr>
      <w:r>
        <w:rPr>
          <w:b/>
        </w:rPr>
        <w:t xml:space="preserve">Response. </w:t>
      </w:r>
      <w:r>
        <w:t>Accepted. The Revision 1 response was written in a compressed register, without quotation of the comment being answered and, in several places, without a pointer to where in the manuscript the change could be found.</w:t>
      </w:r>
    </w:p>
    <w:p>
      <w:pPr>
        <w:ind w:left="403"/>
      </w:pPr>
      <w:r>
        <w:t>This document is the correction. Each comment is quoted in full before it is answered; each response states what was done, why, and in which section; and each is followed by an explicit note of the change made in the manuscript. The responses given at the previous round are restated in the Appendix in the same format, so that the record as a whole is consistent rather than only the most recent round.</w:t>
      </w:r>
    </w:p>
    <w:p>
      <w:pPr>
        <w:ind w:left="403"/>
      </w:pPr>
      <w:r>
        <w:t>Where a suggestion has not been adopted, the reason is now stated rather than left implicit. There are two such places in this round. I have not added a second schematic diagram, for the reason given under Comment 3 above. And one reference named by Reviewer 2 at the initial submission is still not cited, because the identifier given resolves to a paper on heavy-metal adsorption by cellulose hydrogels rather than on solar interfacial evaporation; that is explained again in the Appendix, and I remain willing to add the intended paper if it can be identified.</w:t>
      </w:r>
    </w:p>
    <w:p>
      <w:pPr>
        <w:spacing w:after="160"/>
        <w:ind w:left="403"/>
      </w:pPr>
      <w:r>
        <w:rPr>
          <w:b/>
        </w:rPr>
        <w:t xml:space="preserve">Change in the manuscript. </w:t>
      </w:r>
      <w:r>
        <w:t>This document.</w:t>
      </w:r>
    </w:p>
    <w:p>
      <w:pPr>
        <w:spacing w:before="320" w:after="120"/>
      </w:pPr>
      <w:r>
        <w:rPr>
          <w:b/>
          <w:i w:val="0"/>
          <w:sz w:val="26"/>
        </w:rPr>
        <w:t>Reviewers 1 and 3 — Revision 1</w:t>
      </w:r>
    </w:p>
    <w:p>
      <w:r>
        <w:rPr>
          <w:b w:val="0"/>
          <w:i w:val="0"/>
        </w:rPr>
        <w:t>Neither reviewer raised further comments on Revision 1. Their comments on the initial submission, and the changes made in response, are restated in the Appendix in the format described above. No result they reviewed has changed in Revision 2; the corrections made in this round are confined to presentation.</w:t>
      </w:r>
    </w:p>
    <w:p>
      <w:pPr>
        <w:spacing w:before="320" w:after="120"/>
      </w:pPr>
      <w:r>
        <w:rPr>
          <w:b/>
          <w:i w:val="0"/>
          <w:sz w:val="26"/>
        </w:rPr>
        <w:t>Corrections not requested by a reviewer</w:t>
      </w:r>
    </w:p>
    <w:p>
      <w:r>
        <w:rPr>
          <w:b w:val="0"/>
          <w:i w:val="0"/>
        </w:rPr>
        <w:t>These five inconsistencies were found while preparing this revision. None was raised in review. They are set out here so that the editor and reviewers can see exactly what changed beyond the four comments answered above.</w:t>
      </w:r>
    </w:p>
    <w:p>
      <w:pPr>
        <w:pStyle w:val="ListBullet"/>
        <w:spacing w:after="60"/>
        <w:ind w:left="648"/>
      </w:pPr>
      <w:r>
        <w:t>Introduction. The closing sentence stated that ‘the economic case is close to evenly balanced’. That was a conclusion from before the economic reversal and it contradicted Sections 4.9 and 6, which report a modeled net levelized cost of $2.20 m⁻³ against $0.76 m⁻³ for conventional SWRO, with 271 of 300,000 sampled configurations below the comparator. The sentence now reports those figures. This is the one substantive correction in Revision 2.</w:t>
      </w:r>
    </w:p>
    <w:p>
      <w:pPr>
        <w:pStyle w:val="ListBullet"/>
        <w:spacing w:after="60"/>
        <w:ind w:left="648"/>
      </w:pPr>
      <w:r>
        <w:t>Section 3. Equation (8) was said to be tested in Section 4.7. It is tested in Section 4.5; Section 4.7 is the alkalinity test, which rests on Eq. (12). Corrected.</w:t>
      </w:r>
    </w:p>
    <w:p>
      <w:pPr>
        <w:pStyle w:val="ListBullet"/>
        <w:spacing w:after="60"/>
        <w:ind w:left="648"/>
      </w:pPr>
      <w:r>
        <w:t>Section 2.3 referred to ‘Sections 3.4–3.5’, which do not exist: Section 3 was flattened when the model section was rewritten for Revision 1. The reference now points to Eqs. (6) and (7).</w:t>
      </w:r>
    </w:p>
    <w:p>
      <w:pPr>
        <w:pStyle w:val="ListBullet"/>
        <w:spacing w:after="60"/>
        <w:ind w:left="648"/>
      </w:pPr>
      <w:r>
        <w:t>Section 4.5 referred to ‘the original Section 3.6’, a section of the initial submission rather than of this manuscript. It now reads ‘the original version of this work’.</w:t>
      </w:r>
    </w:p>
    <w:p>
      <w:pPr>
        <w:pStyle w:val="ListBullet"/>
        <w:spacing w:after="60"/>
        <w:ind w:left="648"/>
      </w:pPr>
      <w:r>
        <w:t>Parameter count. The text and Table 10 described thirteen sampled parameters while Figure 9B and Table 10 rank fourteen. Table 7 lists thirteen rows because the mineral price multiplier appears once, but it is drawn separately for the two products, which the two distinct rank correlations in Table 10 confirm: a single shared draw would give the two prices identical Spearman ρ. The count is reconciled to fourteen sampled quantities throughout, and the Table 7 caption now states the relationship between the thirteen rows and the fourteen quantities.</w:t>
      </w:r>
    </w:p>
    <w:p>
      <w:pPr>
        <w:spacing w:before="320" w:after="120"/>
      </w:pPr>
      <w:r>
        <w:rPr>
          <w:b/>
          <w:i w:val="0"/>
          <w:sz w:val="26"/>
        </w:rPr>
        <w:t>Closing</w:t>
      </w:r>
    </w:p>
    <w:p>
      <w:r>
        <w:rPr>
          <w:b w:val="0"/>
          <w:i w:val="0"/>
        </w:rPr>
        <w:t>The four comments on Revision 1 all concerned presentation, and all four are now corrected. The one substantive change in this revision is the Introduction sentence noted above, which was found in checking the manuscript rather than raised in review. I hope the paper now reads as the analysis was intended to support, and I am grateful to all four reviewers for the work that produced it.</w:t>
      </w:r>
    </w:p>
    <w:p>
      <w:pPr>
        <w:spacing w:before="200"/>
      </w:pPr>
      <w:r>
        <w:rPr>
          <w:b w:val="0"/>
          <w:i w:val="0"/>
        </w:rPr>
        <w:t>Yours sincerely,</w:t>
      </w:r>
    </w:p>
    <w:p>
      <w:r>
        <w:rPr>
          <w:b w:val="0"/>
          <w:i w:val="0"/>
        </w:rPr>
        <w:t>Leon Sandler</w:t>
      </w:r>
    </w:p>
    <w:p>
      <w:r>
        <w:rPr>
          <w:b w:val="0"/>
          <w:i w:val="0"/>
        </w:rPr>
        <w:t>sandler.leon@gmail.com | ORCID 0009-0007-4584-808X</w:t>
      </w:r>
    </w:p>
    <w:p>
      <w:r>
        <w:br w:type="page"/>
      </w:r>
    </w:p>
    <w:p>
      <w:pPr>
        <w:spacing w:after="80"/>
      </w:pPr>
      <w:r>
        <w:rPr>
          <w:b/>
          <w:i w:val="0"/>
          <w:sz w:val="28"/>
        </w:rPr>
        <w:t>Appendix — Responses to the initial-submission comments, restated</w:t>
      </w:r>
    </w:p>
    <w:p>
      <w:r>
        <w:rPr>
          <w:b w:val="0"/>
          <w:i/>
        </w:rPr>
        <w:t>These comments were answered at the previous round. They are restated here in the format of this document, in response to Reviewer 4's fourth comment. The substance is unchanged; only the presentation differs. Section numbers refer to the current manuscript and figure numbers to the current numbering.</w:t>
      </w:r>
    </w:p>
    <w:p>
      <w:pPr>
        <w:spacing w:before="320" w:after="120"/>
      </w:pPr>
      <w:r>
        <w:rPr>
          <w:b/>
          <w:i w:val="0"/>
          <w:sz w:val="26"/>
        </w:rPr>
        <w:t>Reviewer 1 — initial submission</w:t>
      </w:r>
    </w:p>
    <w:p>
      <w:pPr>
        <w:spacing w:before="180" w:after="60"/>
        <w:ind w:left="403"/>
      </w:pPr>
      <w:r>
        <w:rPr>
          <w:b/>
        </w:rPr>
        <w:t xml:space="preserve">Comment 1. </w:t>
      </w:r>
      <w:r>
        <w:rPr>
          <w:i/>
        </w:rPr>
        <w:t>The Introduction should not be divided into subsections; it is too brief. For each technology the authors should review recent progress and research advances. The manuscript does not sufficiently discuss whether partial integration has been attempted, what the technical difficulties are, and what challenges remain.</w:t>
      </w:r>
    </w:p>
    <w:p>
      <w:pPr>
        <w:ind w:left="403"/>
      </w:pPr>
      <w:r>
        <w:rPr>
          <w:b/>
        </w:rPr>
        <w:t xml:space="preserve">Response. </w:t>
      </w:r>
      <w:r>
        <w:t>The Introduction was rewritten as continuous prose with the subsections removed, and now reviews recent progress for each of the five component technologies with twenty-five references, every one verified against Crossref. A dedicated paragraph sets out which pairs of technologies have already been integrated, which have been studied only in isolation, and what the interactions between them reveal, which is the gap the study addresses.</w:t>
      </w:r>
    </w:p>
    <w:p>
      <w:pPr>
        <w:spacing w:after="160"/>
        <w:ind w:left="403"/>
      </w:pPr>
      <w:r>
        <w:rPr>
          <w:b/>
        </w:rPr>
        <w:t xml:space="preserve">Change in the manuscript. </w:t>
      </w:r>
      <w:r>
        <w:t>Section 1, rewritten.</w:t>
      </w:r>
    </w:p>
    <w:p>
      <w:pPr>
        <w:spacing w:before="180" w:after="60"/>
        <w:ind w:left="403"/>
      </w:pPr>
      <w:r>
        <w:rPr>
          <w:b/>
        </w:rPr>
        <w:t xml:space="preserve">Comment 2. </w:t>
      </w:r>
      <w:r>
        <w:rPr>
          <w:i/>
        </w:rPr>
        <w:t>Section 3 presents a series of mathematical models, but the meaning and definitions of equations and variables need clearer explanation. The equations should be formatted and standardized according to journal requirements. A calculation workflow or solution procedure should be added to the main text.</w:t>
      </w:r>
    </w:p>
    <w:p>
      <w:pPr>
        <w:ind w:left="403"/>
      </w:pPr>
      <w:r>
        <w:rPr>
          <w:b/>
        </w:rPr>
        <w:t xml:space="preserve">Response. </w:t>
      </w:r>
      <w:r>
        <w:t>Fourteen equations were numbered consecutively and set as displayed equations, a Nomenclature table was added defining every symbol with its units, and Section 3 now opens with the solution procedure, stating the order in which the balances are solved and noting that no iteration is required.</w:t>
      </w:r>
    </w:p>
    <w:p>
      <w:pPr>
        <w:ind w:left="403"/>
      </w:pPr>
      <w:r>
        <w:t>The formatting half of this comment was only partly met at that round, as Reviewer 4 observed on Revision 1. It is now met in full; see Comment 1 above.</w:t>
      </w:r>
    </w:p>
    <w:p>
      <w:pPr>
        <w:spacing w:after="160"/>
        <w:ind w:left="403"/>
      </w:pPr>
      <w:r>
        <w:rPr>
          <w:b/>
        </w:rPr>
        <w:t xml:space="preserve">Change in the manuscript. </w:t>
      </w:r>
      <w:r>
        <w:t>Section 3, Eqs. (1)–(14), Nomenclature.</w:t>
      </w:r>
    </w:p>
    <w:p>
      <w:pPr>
        <w:spacing w:before="180" w:after="60"/>
        <w:ind w:left="403"/>
      </w:pPr>
      <w:r>
        <w:rPr>
          <w:b/>
        </w:rPr>
        <w:t xml:space="preserve">Comment 3. </w:t>
      </w:r>
      <w:r>
        <w:rPr>
          <w:i/>
        </w:rPr>
        <w:t>The authors adopt models from the literature in Sections 3.1–3.10. The selection of these models should be justified more thoroughly, and model validation against independent data or established results is needed.</w:t>
      </w:r>
    </w:p>
    <w:p>
      <w:pPr>
        <w:ind w:left="403"/>
      </w:pPr>
      <w:r>
        <w:rPr>
          <w:b/>
        </w:rPr>
        <w:t xml:space="preserve">Response. </w:t>
      </w:r>
      <w:r>
        <w:t>This comment changed the basis of the paper. Rather than defending each adopted model, each subsystem is now tested against a physical or stoichiometric bound that any correct model must respect: the least work of separation for the concentrator, the polarization factor for boundary-layer effects, and the alkalinity stoichiometry for precipitation. Two of the three tests are failed by the architecture as originally specified, and that is reported rather than reconciled.</w:t>
      </w:r>
    </w:p>
    <w:p>
      <w:pPr>
        <w:spacing w:after="160"/>
        <w:ind w:left="403"/>
      </w:pPr>
      <w:r>
        <w:rPr>
          <w:b/>
        </w:rPr>
        <w:t xml:space="preserve">Change in the manuscript. </w:t>
      </w:r>
      <w:r>
        <w:t>Sections 4.5, 4.6 and 4.7; Eqs. (8), (9) and (12).</w:t>
      </w:r>
    </w:p>
    <w:p>
      <w:pPr>
        <w:spacing w:before="180" w:after="60"/>
        <w:ind w:left="403"/>
      </w:pPr>
      <w:r>
        <w:rPr>
          <w:b/>
        </w:rPr>
        <w:t xml:space="preserve">Comment 4. </w:t>
      </w:r>
      <w:r>
        <w:rPr>
          <w:i/>
        </w:rPr>
        <w:t>Section 3.6 assumes 0.5–1.0 kWh/m3 brine for the secondary concentrator. NF operation at such high salinity may require significantly more energy; 50% water recovery may be optimistic; 90% monovalent rejection means salt leakage. Clarify whether NF CAPEX and OPEX are included in the +40% uplift.</w:t>
      </w:r>
    </w:p>
    <w:p>
      <w:pPr>
        <w:ind w:left="403"/>
      </w:pPr>
      <w:r>
        <w:rPr>
          <w:b/>
        </w:rPr>
        <w:t xml:space="preserve">Response. </w:t>
      </w:r>
      <w:r>
        <w:t>This comment produced the most consequential change in the revision. Section 4.5 shows the assumed energy to lie at or below the reversible minimum of 0.94 kWh per cubic meter of brine and replaces it with a bounded estimate of 1.7–3.8 kWh m⁻³ obtained from that minimum and a 25–55% second-law efficiency; Figure 4 presents the test.</w:t>
      </w:r>
    </w:p>
    <w:p>
      <w:pPr>
        <w:ind w:left="403"/>
      </w:pPr>
      <w:r>
        <w:t>Separately, the comment exposed a mislabelling. At the rejections assumed the stage is not nanofiltration but a high-pressure, low-salt-rejection RO stage, and Section 2.4 now says so and reports that a genuine NF element at 30% monovalent rejection would give a crystallizer feed of 91.3 g L⁻¹ rather than 124.8 g L⁻¹. The +40% capital uplift is now sampled across 20–60% rather than fixed, and Table 5 gives the operating-cost composition.</w:t>
      </w:r>
    </w:p>
    <w:p>
      <w:pPr>
        <w:spacing w:after="160"/>
        <w:ind w:left="403"/>
      </w:pPr>
      <w:r>
        <w:rPr>
          <w:b/>
        </w:rPr>
        <w:t xml:space="preserve">Change in the manuscript. </w:t>
      </w:r>
      <w:r>
        <w:t>Sections 2.4 and 4.5; Figure 4; Tables 5 and 7.</w:t>
      </w:r>
    </w:p>
    <w:p>
      <w:pPr>
        <w:spacing w:before="180" w:after="60"/>
        <w:ind w:left="403"/>
      </w:pPr>
      <w:r>
        <w:rPr>
          <w:b/>
        </w:rPr>
        <w:t xml:space="preserve">Comment 5. </w:t>
      </w:r>
      <w:r>
        <w:rPr>
          <w:i/>
        </w:rPr>
        <w:t>The economic model lacks OPEX detail and relies on simplified CAPEX assumptions. Please provide a detailed OPEX breakdown with sources or assumptions. The +40% CAPEX uplift is an assumed value, not a vendor quotation.</w:t>
      </w:r>
    </w:p>
    <w:p>
      <w:pPr>
        <w:ind w:left="403"/>
      </w:pPr>
      <w:r>
        <w:rPr>
          <w:b/>
        </w:rPr>
        <w:t xml:space="preserve">Response. </w:t>
      </w:r>
      <w:r>
        <w:t>Table 5 gives a nine-line operating-cost breakdown with the basis for each line. The largest item is not electricity but the precipitation reagents, at $1.58 m⁻³ against $1.05 m⁻³ for electricity. The capital uplift is sampled across 20–60% in the Monte Carlo and is explicitly identified in the text as an assumption rather than a quotation.</w:t>
      </w:r>
    </w:p>
    <w:p>
      <w:pPr>
        <w:spacing w:after="160"/>
        <w:ind w:left="403"/>
      </w:pPr>
      <w:r>
        <w:rPr>
          <w:b/>
        </w:rPr>
        <w:t xml:space="preserve">Change in the manuscript. </w:t>
      </w:r>
      <w:r>
        <w:t>Table 5; Table 7; Section 4.9; new Figure 7 in Revision 2.</w:t>
      </w:r>
    </w:p>
    <w:p>
      <w:pPr>
        <w:spacing w:before="180" w:after="60"/>
        <w:ind w:left="403"/>
      </w:pPr>
      <w:r>
        <w:rPr>
          <w:b/>
        </w:rPr>
        <w:t xml:space="preserve">Comment 6. </w:t>
      </w:r>
      <w:r>
        <w:rPr>
          <w:i/>
        </w:rPr>
        <w:t>The manuscript should add comparisons between the present results and existing literature and studies.</w:t>
      </w:r>
    </w:p>
    <w:p>
      <w:pPr>
        <w:ind w:left="403"/>
      </w:pPr>
      <w:r>
        <w:rPr>
          <w:b/>
        </w:rPr>
        <w:t xml:space="preserve">Response. </w:t>
      </w:r>
      <w:r>
        <w:t>Section 5.1 compares the corrected specific energy against the modern SWRO range and against the audited plant measurement Reviewer 3 supplied. Section 5.2 compares the economic result against the brine-valorization literature and offers an explanation for the divergence: those assessments generally do not cost the alkalinity.</w:t>
      </w:r>
    </w:p>
    <w:p>
      <w:pPr>
        <w:spacing w:after="160"/>
        <w:ind w:left="403"/>
      </w:pPr>
      <w:r>
        <w:rPr>
          <w:b/>
        </w:rPr>
        <w:t xml:space="preserve">Change in the manuscript. </w:t>
      </w:r>
      <w:r>
        <w:t>Sections 5.1 and 5.2.</w:t>
      </w:r>
    </w:p>
    <w:p>
      <w:pPr>
        <w:spacing w:before="180" w:after="60"/>
        <w:ind w:left="403"/>
      </w:pPr>
      <w:r>
        <w:rPr>
          <w:b/>
        </w:rPr>
        <w:t xml:space="preserve">Comment 7. </w:t>
      </w:r>
      <w:r>
        <w:rPr>
          <w:i/>
        </w:rPr>
        <w:t>CaCO3 is credited at 100% sellable and full market price, which is unrealistic. Please apply a realistic sellable fraction, or discuss product quality and market barriers, and include the fraction in the sensitivity analysis.</w:t>
      </w:r>
    </w:p>
    <w:p>
      <w:pPr>
        <w:ind w:left="403"/>
      </w:pPr>
      <w:r>
        <w:rPr>
          <w:b/>
        </w:rPr>
        <w:t xml:space="preserve">Response. </w:t>
      </w:r>
      <w:r>
        <w:t>Accepted. A sellable fraction of 50–70% is now sampled for calcium carbonate, as it already was for magnesium hydroxide, and Section 4.3 discusses the purity, particle-size and brightness constraints that determine whether recovered carbonate meets any specification. Transport and refining beyond primary precipitation remain outside the system boundary and are therefore uncredited, which is now stated.</w:t>
      </w:r>
    </w:p>
    <w:p>
      <w:pPr>
        <w:spacing w:after="160"/>
        <w:ind w:left="403"/>
      </w:pPr>
      <w:r>
        <w:rPr>
          <w:b/>
        </w:rPr>
        <w:t xml:space="preserve">Change in the manuscript. </w:t>
      </w:r>
      <w:r>
        <w:t>Section 4.3; Table 7.</w:t>
      </w:r>
    </w:p>
    <w:p>
      <w:pPr>
        <w:spacing w:before="180" w:after="60"/>
        <w:ind w:left="403"/>
      </w:pPr>
      <w:r>
        <w:rPr>
          <w:b/>
        </w:rPr>
        <w:t xml:space="preserve">Comment 8. </w:t>
      </w:r>
      <w:r>
        <w:rPr>
          <w:i/>
        </w:rPr>
        <w:t>Section 3.8 adopts an MVC crystallizer energy of 11.5 kWh/m3. Please clarify how the full range is used in the sensitivity analysis, and consider alternative crystallization technologies.</w:t>
      </w:r>
    </w:p>
    <w:p>
      <w:pPr>
        <w:ind w:left="403"/>
      </w:pPr>
      <w:r>
        <w:rPr>
          <w:b/>
        </w:rPr>
        <w:t xml:space="preserve">Response. </w:t>
      </w:r>
      <w:r>
        <w:t>Crystallizer energy is sampled across 8–15 kWh m⁻³ rather than fixed at the midpoint. Section 5.3 compares mechanical vapor compression against membrane distillation crystallization, eutectic freeze crystallization and solar interfacial evaporation, and notes that because grid electricity is only about a third of the carbon account, replacing the crystallizer would not by itself make the process carbon neutral.</w:t>
      </w:r>
    </w:p>
    <w:p>
      <w:pPr>
        <w:spacing w:after="160"/>
        <w:ind w:left="403"/>
      </w:pPr>
      <w:r>
        <w:rPr>
          <w:b/>
        </w:rPr>
        <w:t xml:space="preserve">Change in the manuscript. </w:t>
      </w:r>
      <w:r>
        <w:t>Sections 2.5 and 5.3; Table 7.</w:t>
      </w:r>
    </w:p>
    <w:p>
      <w:pPr>
        <w:spacing w:before="180" w:after="60"/>
        <w:ind w:left="403"/>
      </w:pPr>
      <w:r>
        <w:rPr>
          <w:b/>
        </w:rPr>
        <w:t xml:space="preserve">Comment 9. </w:t>
      </w:r>
      <w:r>
        <w:rPr>
          <w:i/>
        </w:rPr>
        <w:t>Section 3.3 uses a linear osmotic pressure model calibrated at 35 g/L. At 121 g/L, activity coefficient effects may cause deviations. Please quantify the impact and perform a sensitivity analysis with a more accurate model.</w:t>
      </w:r>
    </w:p>
    <w:p>
      <w:pPr>
        <w:ind w:left="403"/>
      </w:pPr>
      <w:r>
        <w:rPr>
          <w:b/>
        </w:rPr>
        <w:t xml:space="preserve">Response. </w:t>
      </w:r>
      <w:r>
        <w:t>Quantified rather than acknowledged. Applying an osmotic-coefficient rise of 8–24% between 35 and 120 g L⁻¹ raises the concentrator feed from 49.0 to 50.3–52.9 bar and the total specific energy from 12.64 to 12.87 kWh m⁻³: real, but second-order, under 2% of the total, and an order of magnitude smaller than the concentrator correction itself. The published seawater property correlations appropriate for locking φ(S) are cited and the deposited code is structured to accept them. Because that substitution has not yet been made, the manuscript states in the Abstract, Section 3, Section 4.5, the Limitations and the Conclusions that every specific-energy figure is a bounded model estimate rather than a final quantitative prediction.</w:t>
      </w:r>
    </w:p>
    <w:p>
      <w:pPr>
        <w:spacing w:after="160"/>
        <w:ind w:left="403"/>
      </w:pPr>
      <w:r>
        <w:rPr>
          <w:b/>
        </w:rPr>
        <w:t xml:space="preserve">Change in the manuscript. </w:t>
      </w:r>
      <w:r>
        <w:t>Eq. (5); Sections 3, 4.5 and 5.6.</w:t>
      </w:r>
    </w:p>
    <w:p>
      <w:pPr>
        <w:spacing w:before="180" w:after="60"/>
        <w:ind w:left="403"/>
      </w:pPr>
      <w:r>
        <w:rPr>
          <w:b/>
        </w:rPr>
        <w:t xml:space="preserve">Comment 10. </w:t>
      </w:r>
      <w:r>
        <w:rPr>
          <w:i/>
        </w:rPr>
        <w:t>Excluding lithium from the economic model is conservative and reasonable. Please discuss, at least qualitatively, how a future breakthrough in lithium recovery might affect LCOW.</w:t>
      </w:r>
    </w:p>
    <w:p>
      <w:pPr>
        <w:ind w:left="403"/>
      </w:pPr>
      <w:r>
        <w:rPr>
          <w:b/>
        </w:rPr>
        <w:t xml:space="preserve">Response. </w:t>
      </w:r>
      <w:r>
        <w:t>Given the corrected economics the honest statement is quantitative rather than qualitative: the net cost gap to be closed is approximately $1.44 m⁻³, which is larger than any plausible lithium credit from seawater-derived brine at present recovery yields. Lithium remains excluded from the baseline, and this is stated.</w:t>
      </w:r>
    </w:p>
    <w:p>
      <w:pPr>
        <w:spacing w:after="160"/>
        <w:ind w:left="403"/>
      </w:pPr>
      <w:r>
        <w:rPr>
          <w:b/>
        </w:rPr>
        <w:t xml:space="preserve">Change in the manuscript. </w:t>
      </w:r>
      <w:r>
        <w:t>Section 5.6.</w:t>
      </w:r>
    </w:p>
    <w:p>
      <w:pPr>
        <w:spacing w:before="180" w:after="60"/>
        <w:ind w:left="403"/>
      </w:pPr>
      <w:r>
        <w:rPr>
          <w:b/>
        </w:rPr>
        <w:t xml:space="preserve">Comment 11. </w:t>
      </w:r>
      <w:r>
        <w:rPr>
          <w:i/>
        </w:rPr>
        <w:t>Several errors require correction: LCOW units in the conclusions, the order of the figures, the subsurface intake pretreatment SEC midpoint, reference [12] is not cited in the text, and some sentences are long.</w:t>
      </w:r>
    </w:p>
    <w:p>
      <w:pPr>
        <w:ind w:left="403"/>
      </w:pPr>
      <w:r>
        <w:rPr>
          <w:b/>
        </w:rPr>
        <w:t xml:space="preserve">Response. </w:t>
      </w:r>
      <w:r>
        <w:t>All corrected. The two levelized-cost figures concerned were withdrawn and replaced by the boundary comparison in Table 6. The figures were renumbered to citation order. Intake specific energy is now swept across the full 0.05–0.80 kWh m⁻³ range rather than fixed at the low end. The reference list was checked programmatically: all twenty-six entries are cited and none is orphaned. Long sentences in the Abstract and Introduction were divided, and the Abstract has been shortened further in Revision 2.</w:t>
      </w:r>
    </w:p>
    <w:p>
      <w:pPr>
        <w:spacing w:after="160"/>
        <w:ind w:left="403"/>
      </w:pPr>
      <w:r>
        <w:rPr>
          <w:b/>
        </w:rPr>
        <w:t xml:space="preserve">Change in the manuscript. </w:t>
      </w:r>
      <w:r>
        <w:t>Sections 2.2, 4.9 and 6; Table 6; reference list.</w:t>
      </w:r>
    </w:p>
    <w:p>
      <w:pPr>
        <w:spacing w:before="180" w:after="60"/>
        <w:ind w:left="403"/>
      </w:pPr>
      <w:r>
        <w:rPr>
          <w:b/>
        </w:rPr>
        <w:t xml:space="preserve">Comment 12. </w:t>
      </w:r>
      <w:r>
        <w:rPr>
          <w:i/>
        </w:rPr>
        <w:t>Does the conventional $0.76/m3 LCOW cover the same scope as the ILEDBV desalination-stage figure? Please provide a detailed cost comparison table listing CAPEX and OPEX contributions by stage.</w:t>
      </w:r>
    </w:p>
    <w:p>
      <w:pPr>
        <w:ind w:left="403"/>
      </w:pPr>
      <w:r>
        <w:rPr>
          <w:b/>
        </w:rPr>
        <w:t xml:space="preserve">Response. </w:t>
      </w:r>
      <w:r>
        <w:t>It did not, and the comparison as published was therefore invalid. Table 6 now sets out the two system boundaries element by element: the conventional case included a brine outfall that the integrated architecture does not have, and excluded the valorization train that it does. Comparisons in the revision are made on that table rather than between headline figures. A full stage-by-stage split of capital cost between the two cases was not added, because the capital model is a single uplift on a conventional plant cost and has no basis on which to apportion itself by stage; stating a stage-level split would imply a resolution the model does not have. The operating side is resolved line by line in Table 5 and, in Revision 2, in Figure 7.</w:t>
      </w:r>
    </w:p>
    <w:p>
      <w:pPr>
        <w:spacing w:after="160"/>
        <w:ind w:left="403"/>
      </w:pPr>
      <w:r>
        <w:rPr>
          <w:b/>
        </w:rPr>
        <w:t xml:space="preserve">Change in the manuscript. </w:t>
      </w:r>
      <w:r>
        <w:t>Table 6; Table 5; Section 4.9.</w:t>
      </w:r>
    </w:p>
    <w:p>
      <w:pPr>
        <w:spacing w:before="180" w:after="60"/>
        <w:ind w:left="403"/>
      </w:pPr>
      <w:r>
        <w:rPr>
          <w:b/>
        </w:rPr>
        <w:t xml:space="preserve">Comment 13. </w:t>
      </w:r>
      <w:r>
        <w:rPr>
          <w:i/>
        </w:rPr>
        <w:t>Data availability: GitHub and Zenodo links are provided, which is good. Please state the code version and runtime environment.</w:t>
      </w:r>
    </w:p>
    <w:p>
      <w:pPr>
        <w:ind w:left="403"/>
      </w:pPr>
      <w:r>
        <w:rPr>
          <w:b/>
        </w:rPr>
        <w:t xml:space="preserve">Response. </w:t>
      </w:r>
      <w:r>
        <w:t>Added to the Data Availability statement: repository release tag v2.3.0, Python 3.11.9 and NumPy 2.4.6, with archival DOIs for the code (10.5281/zenodo.22178234) and for the manuscript with its response letter (10.5281/zenodo.22178232). The commands that regenerate every number are listed.</w:t>
      </w:r>
    </w:p>
    <w:p>
      <w:pPr>
        <w:spacing w:after="160"/>
        <w:ind w:left="403"/>
      </w:pPr>
      <w:r>
        <w:rPr>
          <w:b/>
        </w:rPr>
        <w:t xml:space="preserve">Change in the manuscript. </w:t>
      </w:r>
      <w:r>
        <w:t>Data availability.</w:t>
      </w:r>
    </w:p>
    <w:p>
      <w:pPr>
        <w:spacing w:before="320" w:after="120"/>
      </w:pPr>
      <w:r>
        <w:rPr>
          <w:b/>
          <w:i w:val="0"/>
          <w:sz w:val="26"/>
        </w:rPr>
        <w:t>Reviewer 2 — initial submission</w:t>
      </w:r>
    </w:p>
    <w:p>
      <w:pPr>
        <w:spacing w:before="180" w:after="60"/>
        <w:ind w:left="403"/>
      </w:pPr>
      <w:r>
        <w:rPr>
          <w:b/>
        </w:rPr>
        <w:t xml:space="preserve">Comment 1. </w:t>
      </w:r>
      <w:r>
        <w:rPr>
          <w:i/>
        </w:rPr>
        <w:t>The study relies exclusively on MVC electrical crystallizers for brine finishing. Solar-driven interfacial evaporation could offset a substantial portion of MVC electrical demand. The introduction and discussion should briefly contrast MVC with solar-thermal interfacial-evaporation pathways.</w:t>
      </w:r>
    </w:p>
    <w:p>
      <w:pPr>
        <w:ind w:left="403"/>
      </w:pPr>
      <w:r>
        <w:rPr>
          <w:b/>
        </w:rPr>
        <w:t xml:space="preserve">Response. </w:t>
      </w:r>
      <w:r>
        <w:t>The contrast was added in Section 5.3 and the Introduction. Three of the four papers named are cited. I was unable to match the fourth: the identifier given, International Journal of Biological Macromolecules 370 (2026) 152880, resolves to a paper on cellulose-based hydrogels for heavy-metal ion adsorption from medical wastewater, which does not appear to concern solar interfacial evaporation. I did not substitute a paper of my own choosing in its place. If a different reference was intended I would be glad to include it.</w:t>
      </w:r>
    </w:p>
    <w:p>
      <w:pPr>
        <w:spacing w:after="160"/>
        <w:ind w:left="403"/>
      </w:pPr>
      <w:r>
        <w:rPr>
          <w:b/>
        </w:rPr>
        <w:t xml:space="preserve">Change in the manuscript. </w:t>
      </w:r>
      <w:r>
        <w:t>Sections 1 and 5.3; references [4], [5] and [6].</w:t>
      </w:r>
    </w:p>
    <w:p>
      <w:pPr>
        <w:spacing w:before="180" w:after="60"/>
        <w:ind w:left="403"/>
      </w:pPr>
      <w:r>
        <w:rPr>
          <w:b/>
        </w:rPr>
        <w:t xml:space="preserve">Comment 2. </w:t>
      </w:r>
      <w:r>
        <w:rPr>
          <w:i/>
        </w:rPr>
        <w:t>The brine-valorization CAPEX uplift is assumed rather than vendor-quoted. Probabilistic Monte-Carlo uncertainty analysis is absent. The authors should explicitly state that large CAPEX uncertainty dominates economic outcomes.</w:t>
      </w:r>
    </w:p>
    <w:p>
      <w:pPr>
        <w:ind w:left="403"/>
      </w:pPr>
      <w:r>
        <w:rPr>
          <w:b/>
        </w:rPr>
        <w:t xml:space="preserve">Response. </w:t>
      </w:r>
      <w:r>
        <w:t>A Monte Carlo over fourteen uncertain parameters with 300,000 samples now replaces the one-at-a-time tornado analysis as the primary uncertainty result. The analysis does not support the expected conclusion, and the manuscript reports what it found instead: capital uncertainty does not dominate, reagent cost does, ranking second of fourteen by rank correlation against capital uplift's tenth. The net levelized cost is $2.20 m⁻³ with a 90% interval of $1.38–$3.01.</w:t>
      </w:r>
    </w:p>
    <w:p>
      <w:pPr>
        <w:spacing w:after="160"/>
        <w:ind w:left="403"/>
      </w:pPr>
      <w:r>
        <w:rPr>
          <w:b/>
        </w:rPr>
        <w:t xml:space="preserve">Change in the manuscript. </w:t>
      </w:r>
      <w:r>
        <w:t>Sections 4.9 and 4.11; Tables 7, 8 and 10; Figures 6 and 9.</w:t>
      </w:r>
    </w:p>
    <w:p>
      <w:pPr>
        <w:spacing w:before="180" w:after="60"/>
        <w:ind w:left="403"/>
      </w:pPr>
      <w:r>
        <w:rPr>
          <w:b/>
        </w:rPr>
        <w:t xml:space="preserve">Comment 3. </w:t>
      </w:r>
      <w:r>
        <w:rPr>
          <w:i/>
        </w:rPr>
        <w:t>The environmental assessment only accounts for CO2 emissions from grid-electricity consumption. Provide a qualitative comparison with solar interfacial evaporation, and discuss environmental risks associated with subsurface intake.</w:t>
      </w:r>
    </w:p>
    <w:p>
      <w:pPr>
        <w:ind w:left="403"/>
      </w:pPr>
      <w:r>
        <w:rPr>
          <w:b/>
        </w:rPr>
        <w:t xml:space="preserve">Response. </w:t>
      </w:r>
      <w:r>
        <w:t>Section 4.4 was rewritten. The larger finding is that the original assessment counted about one third of the emissions: reagent embodied carbon adds 10.0 kg CO₂ m⁻³ against 5.2 kg from electricity, and the carbonate product fixes only 0.94 kg. Figure 8 shows the account against grid carbon intensity. Replacing the crystallizer with solar interfacial evaporation would remove most of the electricity term but none of the reagent term. Aquifer clogging and saline intrusion are now discussed explicitly as site-dependent intake risks.</w:t>
      </w:r>
    </w:p>
    <w:p>
      <w:pPr>
        <w:spacing w:after="160"/>
        <w:ind w:left="403"/>
      </w:pPr>
      <w:r>
        <w:rPr>
          <w:b/>
        </w:rPr>
        <w:t xml:space="preserve">Change in the manuscript. </w:t>
      </w:r>
      <w:r>
        <w:t>Sections 4.4 and 5.3; Figure 8.</w:t>
      </w:r>
    </w:p>
    <w:p>
      <w:pPr>
        <w:spacing w:before="180" w:after="60"/>
        <w:ind w:left="403"/>
      </w:pPr>
      <w:r>
        <w:rPr>
          <w:b/>
        </w:rPr>
        <w:t xml:space="preserve">Comment 4. </w:t>
      </w:r>
      <w:r>
        <w:rPr>
          <w:i/>
        </w:rPr>
        <w:t>The residual-liquid fraction is purely model-derived. The authors should emphasise that this value lacks pilot-scale validation, and that real-world leakage, blowdown streams and operational upsets may increase actual liquid discharge.</w:t>
      </w:r>
    </w:p>
    <w:p>
      <w:pPr>
        <w:ind w:left="403"/>
      </w:pPr>
      <w:r>
        <w:rPr>
          <w:b/>
        </w:rPr>
        <w:t xml:space="preserve">Response. </w:t>
      </w:r>
      <w:r>
        <w:t>Stated where the figure first appears rather than only in the limitations: Section 2.5 now says that the configuration is described as ZLD-capable only in the sense that it contains no designed liquid discharge stream, that the residual liquid fraction is modeled and not validated, and that leakage, blowdown and operational upsets would raise it. No claim of achieved zero liquid discharge is made anywhere in the paper. Section 5.7 proposes three bench-scale measurements that would test the three consistency tests independently.</w:t>
      </w:r>
    </w:p>
    <w:p>
      <w:pPr>
        <w:spacing w:after="160"/>
        <w:ind w:left="403"/>
      </w:pPr>
      <w:r>
        <w:rPr>
          <w:b/>
        </w:rPr>
        <w:t xml:space="preserve">Change in the manuscript. </w:t>
      </w:r>
      <w:r>
        <w:t>Sections 2.5, 5.6 and 5.7.</w:t>
      </w:r>
    </w:p>
    <w:p>
      <w:pPr>
        <w:spacing w:before="320" w:after="120"/>
      </w:pPr>
      <w:r>
        <w:rPr>
          <w:b/>
          <w:i w:val="0"/>
          <w:sz w:val="26"/>
        </w:rPr>
        <w:t>Reviewer 3 — initial submission</w:t>
      </w:r>
    </w:p>
    <w:p>
      <w:pPr>
        <w:spacing w:before="180" w:after="60"/>
        <w:ind w:left="403"/>
      </w:pPr>
      <w:r>
        <w:rPr>
          <w:b/>
        </w:rPr>
        <w:t xml:space="preserve">Comment 1. </w:t>
      </w:r>
      <w:r>
        <w:rPr>
          <w:i/>
        </w:rPr>
        <w:t>Overall: the manuscript is a preliminary design exercise rather than a sufficiently developed technical paper. The proposed configuration is based largely on rough assumptions, while key design parameters, process conditions and mineral-recovery pathways are not adequately justified.</w:t>
      </w:r>
    </w:p>
    <w:p>
      <w:pPr>
        <w:ind w:left="403"/>
      </w:pPr>
      <w:r>
        <w:rPr>
          <w:b/>
        </w:rPr>
        <w:t xml:space="preserve">Response. </w:t>
      </w:r>
      <w:r>
        <w:t>I accept this characterisation of the original. The revision responds by changing what the paper claims to be. Rather than presenting a design, it tests one against physical bounds and reports that it fails two of three tests as specified. The parameters identified as unjustified are precisely the ones the tests are built around.</w:t>
      </w:r>
    </w:p>
    <w:p>
      <w:pPr>
        <w:spacing w:after="160"/>
        <w:ind w:left="403"/>
      </w:pPr>
      <w:r>
        <w:rPr>
          <w:b/>
        </w:rPr>
        <w:t xml:space="preserve">Change in the manuscript. </w:t>
      </w:r>
      <w:r>
        <w:t>Title, Abstract, Sections 4.5–4.7 and 6.</w:t>
      </w:r>
    </w:p>
    <w:p>
      <w:pPr>
        <w:spacing w:before="180" w:after="60"/>
        <w:ind w:left="403"/>
      </w:pPr>
      <w:r>
        <w:rPr>
          <w:b/>
        </w:rPr>
        <w:t xml:space="preserve">Comment 2. </w:t>
      </w:r>
      <w:r>
        <w:rPr>
          <w:i/>
        </w:rPr>
        <w:t>The authors should review more recent literature on the specific energy consumption of modern SWRO plants. It is well established that modern plants are typically in the range of 2.5–3.5 kWh/m3.</w:t>
      </w:r>
    </w:p>
    <w:p>
      <w:pPr>
        <w:ind w:left="403"/>
      </w:pPr>
      <w:r>
        <w:rPr>
          <w:b/>
        </w:rPr>
        <w:t xml:space="preserve">Response. </w:t>
      </w:r>
      <w:r>
        <w:t>The paper you named is cited and its audited 1.794 kWh m⁻³ measurement is quoted in the Introduction and in Section 5.1. The 3.95 kWh m⁻³ comparator is withdrawn, and the energy claim built on it is withdrawn with it.</w:t>
      </w:r>
    </w:p>
    <w:p>
      <w:pPr>
        <w:spacing w:after="160"/>
        <w:ind w:left="403"/>
      </w:pPr>
      <w:r>
        <w:rPr>
          <w:b/>
        </w:rPr>
        <w:t xml:space="preserve">Change in the manuscript. </w:t>
      </w:r>
      <w:r>
        <w:t>Sections 1 and 5.1; reference [16].</w:t>
      </w:r>
    </w:p>
    <w:p>
      <w:pPr>
        <w:spacing w:before="180" w:after="60"/>
        <w:ind w:left="403"/>
      </w:pPr>
      <w:r>
        <w:rPr>
          <w:b/>
        </w:rPr>
        <w:t xml:space="preserve">Comment 3. </w:t>
      </w:r>
      <w:r>
        <w:rPr>
          <w:i/>
        </w:rPr>
        <w:t>The term ILEDBV is used without definition. Please clarify the background, origin and technical basis of this process, and whether Figure 1 is based on an existing process, a demonstrated system, or the author's conceptual design.</w:t>
      </w:r>
    </w:p>
    <w:p>
      <w:pPr>
        <w:ind w:left="403"/>
      </w:pPr>
      <w:r>
        <w:rPr>
          <w:b/>
        </w:rPr>
        <w:t xml:space="preserve">Response. </w:t>
      </w:r>
      <w:r>
        <w:t>The acronym is expanded at first use. Figure 1 is now described explicitly, both in the text and in its caption, as the author's conceptual integration of five separately published component technologies rather than a description of an existing installation.</w:t>
      </w:r>
    </w:p>
    <w:p>
      <w:pPr>
        <w:spacing w:after="160"/>
        <w:ind w:left="403"/>
      </w:pPr>
      <w:r>
        <w:rPr>
          <w:b/>
        </w:rPr>
        <w:t xml:space="preserve">Change in the manuscript. </w:t>
      </w:r>
      <w:r>
        <w:t>Sections 1 and 2; caption to Figure 1.</w:t>
      </w:r>
    </w:p>
    <w:p>
      <w:pPr>
        <w:spacing w:before="180" w:after="60"/>
        <w:ind w:left="403"/>
      </w:pPr>
      <w:r>
        <w:rPr>
          <w:b/>
        </w:rPr>
        <w:t xml:space="preserve">Comment 4. </w:t>
      </w:r>
      <w:r>
        <w:rPr>
          <w:i/>
        </w:rPr>
        <w:t>More detailed design information for the SWRO system is required: average design flux, target final product-water quality, and whether a second-pass BWRO system was considered for boron or chloride control.</w:t>
      </w:r>
    </w:p>
    <w:p>
      <w:pPr>
        <w:ind w:left="403"/>
      </w:pPr>
      <w:r>
        <w:rPr>
          <w:b/>
        </w:rPr>
        <w:t xml:space="preserve">Response. </w:t>
      </w:r>
      <w:r>
        <w:t>Section 2.3 is new and addresses this directly. First-pass permeate is approximately 250 mg L⁻¹ TDS and 140 mg L⁻¹ chloride, both comfortably potable, so the parameter that decides whether a second pass is needed is boron. Boron rejection is not a single number — it falls as elements age and rises with temperature and pH — so across seawater boron of 4.6–5.5 mg L⁻¹ and rejection of 72–88%, first-pass permeate boron is 0.55–1.54 mg L⁻¹. That complies with the WHO guideline of 2.4 mg L⁻¹ in every case and with the EU limit of 1.5 mg L⁻¹ in all but the most severe, but it straddles the 1.0 mg L⁻¹ figure common in municipal supply contracts and exceeds a 0.5 mg L⁻¹ irrigation limit in every case. The second pass is therefore presented as a conditional requirement, and the energy comparison in Section 5.1 is reported both with and without it. A gravity-fed second pass was considered and rejected: 12 bar requires 122 m of static head.</w:t>
      </w:r>
    </w:p>
    <w:p>
      <w:pPr>
        <w:spacing w:after="160"/>
        <w:ind w:left="403"/>
      </w:pPr>
      <w:r>
        <w:rPr>
          <w:b/>
        </w:rPr>
        <w:t xml:space="preserve">Change in the manuscript. </w:t>
      </w:r>
      <w:r>
        <w:t>Section 2.3; Section 5.1.</w:t>
      </w:r>
    </w:p>
    <w:p>
      <w:pPr>
        <w:spacing w:before="180" w:after="60"/>
        <w:ind w:left="403"/>
      </w:pPr>
      <w:r>
        <w:rPr>
          <w:b/>
        </w:rPr>
        <w:t xml:space="preserve">Comment 5. </w:t>
      </w:r>
      <w:r>
        <w:rPr>
          <w:i/>
        </w:rPr>
        <w:t>Although NF is described as a secondary brine concentration step, almost no design information is provided. Which membrane, what rejections, what recovery, what operating pressure and design flux?</w:t>
      </w:r>
    </w:p>
    <w:p>
      <w:pPr>
        <w:ind w:left="403"/>
      </w:pPr>
      <w:r>
        <w:rPr>
          <w:b/>
        </w:rPr>
        <w:t xml:space="preserve">Response. </w:t>
      </w:r>
      <w:r>
        <w:t>Your question exposed a mislabelling, and I am grateful for it. At the rejections assumed, 90% monovalent and 98% divalent, the stage is not nanofiltration. Section 2.4 renames it a high-pressure, low-salt-rejection RO stage, states the assumed rejections explicitly, and reports that a genuine NF element at 30% monovalent rejection would give a crystallizer feed of 91.3 g L⁻¹ rather than 124.8 g L⁻¹ and a materially different downstream duty. A membrane-element selection and a design flux are not given, because the stage is modeled thermodynamically rather than hydraulically; Section 4.5 bounds its energy from the least work of separation and a second-law efficiency range instead, which is the form in which the result is reported.</w:t>
      </w:r>
    </w:p>
    <w:p>
      <w:pPr>
        <w:ind w:left="403"/>
      </w:pPr>
      <w:r>
        <w:t>In Revision 2 that limit is stated in the manuscript as well as here. Section 5.6 now records that no element is selected and no design flux, operating pressure or recovery schedule is specified, that the analysis therefore bounds what the stage must consume without establishing that an element can deliver the modeled separation at a practical flux, and that fouling and scaling at this salinity are not represented. Section 5.7 specifies the measurements that would settle it: water flux, ion-specific rejection, the operating pressure required, the recovery achievable and the sensitivity of each to concentration polarization, scaling and fouling.</w:t>
      </w:r>
    </w:p>
    <w:p>
      <w:pPr>
        <w:spacing w:after="160"/>
        <w:ind w:left="403"/>
      </w:pPr>
      <w:r>
        <w:rPr>
          <w:b/>
        </w:rPr>
        <w:t xml:space="preserve">Change in the manuscript. </w:t>
      </w:r>
      <w:r>
        <w:t>Sections 2.4, 4.5, 5.6 and 5.7.</w:t>
      </w:r>
    </w:p>
    <w:p>
      <w:pPr>
        <w:spacing w:before="180" w:after="60"/>
        <w:ind w:left="403"/>
      </w:pPr>
      <w:r>
        <w:rPr>
          <w:b/>
        </w:rPr>
        <w:t xml:space="preserve">Comment 6. </w:t>
      </w:r>
      <w:r>
        <w:rPr>
          <w:i/>
        </w:rPr>
        <w:t>More detailed information is required for the precipitation and mineral-recovery systems: reagents and dosages, residence time, reactor volume, solid–liquid separation, product water content and expected purity.</w:t>
      </w:r>
    </w:p>
    <w:p>
      <w:pPr>
        <w:ind w:left="403"/>
      </w:pPr>
      <w:r>
        <w:rPr>
          <w:b/>
        </w:rPr>
        <w:t xml:space="preserve">Response. </w:t>
      </w:r>
      <w:r>
        <w:t>Table 4 gives the full design basis: reagent identity and dosage on a stoichiometric basis with the excess stated, residence times, reactor volumes per unit feed, the separation train and the assumed cake solids. Product purity is discussed against the sodium chloride background that governs it, rather than asserted, since it is not measured here.</w:t>
      </w:r>
    </w:p>
    <w:p>
      <w:pPr>
        <w:spacing w:after="160"/>
        <w:ind w:left="403"/>
      </w:pPr>
      <w:r>
        <w:rPr>
          <w:b/>
        </w:rPr>
        <w:t xml:space="preserve">Change in the manuscript. </w:t>
      </w:r>
      <w:r>
        <w:t>Table 4; Sections 4.3 and 5.6.</w:t>
      </w:r>
    </w:p>
    <w:p>
      <w:pPr>
        <w:spacing w:before="180" w:after="60"/>
        <w:ind w:left="403"/>
      </w:pPr>
      <w:r>
        <w:rPr>
          <w:b/>
        </w:rPr>
        <w:t xml:space="preserve">Comment 7. </w:t>
      </w:r>
      <w:r>
        <w:rPr>
          <w:i/>
        </w:rPr>
        <w:t>What brine concentration was assumed at the inlet to the crystallizer? The authors should provide the salinity profile across the entire process and discuss the changes in major ionic composition through each treatment step.</w:t>
      </w:r>
    </w:p>
    <w:p>
      <w:pPr>
        <w:ind w:left="403"/>
      </w:pPr>
      <w:r>
        <w:rPr>
          <w:b/>
        </w:rPr>
        <w:t xml:space="preserve">Response. </w:t>
      </w:r>
      <w:r>
        <w:t>Table 1 is new and gives the ion-by-ion composition of every stream; the crystallizer feed is 124.8 g L⁻¹. The table also exposed something the original analysis had missed: calcium rises from 1.48 to 7.53 g L⁻¹ across the precipitation train, because lime returns one calcium ion per magnesium precipitated, and total dissolved solids rise rather than fall. That finding became Section 4.7 and, in Revision 2, Figure 2.</w:t>
      </w:r>
    </w:p>
    <w:p>
      <w:pPr>
        <w:spacing w:after="160"/>
        <w:ind w:left="403"/>
      </w:pPr>
      <w:r>
        <w:rPr>
          <w:b/>
        </w:rPr>
        <w:t xml:space="preserve">Change in the manuscript. </w:t>
      </w:r>
      <w:r>
        <w:t>Table 1; Sections 4.1 and 4.7; Figure 2.</w:t>
      </w:r>
    </w:p>
    <w:p>
      <w:pPr>
        <w:spacing w:before="180" w:after="60"/>
        <w:ind w:left="403"/>
      </w:pPr>
      <w:r>
        <w:rPr>
          <w:b/>
        </w:rPr>
        <w:t xml:space="preserve">Comment 8. </w:t>
      </w:r>
      <w:r>
        <w:rPr>
          <w:i/>
        </w:rPr>
        <w:t>Recovery yield and product purity are critical parameters in any economic assessment of mineral recovery. These aspects should be discussed in considerably greater detail and supported by an adequate literature review.</w:t>
      </w:r>
    </w:p>
    <w:p>
      <w:pPr>
        <w:ind w:left="403"/>
      </w:pPr>
      <w:r>
        <w:rPr>
          <w:b/>
        </w:rPr>
        <w:t xml:space="preserve">Response. </w:t>
      </w:r>
      <w:r>
        <w:t>Discussed in Sections 4.3 and 5.6 with reference to work quantifying how the sodium chloride background affects yield, purity, particle morphology and carbonate polymorph, and to product-quality-directed studies that have produced specification-grade solids from seawater and brine feeds.</w:t>
      </w:r>
    </w:p>
    <w:p>
      <w:pPr>
        <w:spacing w:after="160"/>
        <w:ind w:left="403"/>
      </w:pPr>
      <w:r>
        <w:rPr>
          <w:b/>
        </w:rPr>
        <w:t xml:space="preserve">Change in the manuscript. </w:t>
      </w:r>
      <w:r>
        <w:t>Sections 4.3 and 5.6; references [9] and [17].</w:t>
      </w:r>
    </w:p>
    <w:p>
      <w:pPr>
        <w:spacing w:before="180" w:after="60"/>
        <w:ind w:left="403"/>
      </w:pPr>
      <w:r>
        <w:rPr>
          <w:b/>
        </w:rPr>
        <w:t xml:space="preserve">Comment 9. </w:t>
      </w:r>
      <w:r>
        <w:rPr>
          <w:i/>
        </w:rPr>
        <w:t>The required product quality and market price ranges for both CaCO3 and Mg(OH)2 vary significantly by application. Without defining the target product quality, the economic assessment remains too vague.</w:t>
      </w:r>
    </w:p>
    <w:p>
      <w:pPr>
        <w:ind w:left="403"/>
      </w:pPr>
      <w:r>
        <w:rPr>
          <w:b/>
        </w:rPr>
        <w:t xml:space="preserve">Response. </w:t>
      </w:r>
      <w:r>
        <w:t>Given the corrected reagent costs, the economic result no longer turns on which grade is targeted: the reagent cost exceeds the mineral credit across the full range of prices and sellable fractions sampled, including the most favourable corner of that range. The manuscript states this directly rather than leaving the sensitivity implicit, and the sellable fractions are sampled rather than assumed.</w:t>
      </w:r>
    </w:p>
    <w:p>
      <w:pPr>
        <w:ind w:left="403"/>
      </w:pPr>
      <w:r>
        <w:t>Revision 2 adds the corresponding experimental requirement to Section 5.7: the recovered solids should be characterized for purity, moisture, particle size and brightness and judged against a stated industrial specification, so that the sellable fractions assumed here are replaced by demonstrated grades. Measured values from all three proposed measurements would then replace the assumed parameters in the deposited model, which would report whether a practically achievable configuration still satisfies the three consistency tests.</w:t>
      </w:r>
    </w:p>
    <w:p>
      <w:pPr>
        <w:spacing w:after="160"/>
        <w:ind w:left="403"/>
      </w:pPr>
      <w:r>
        <w:rPr>
          <w:b/>
        </w:rPr>
        <w:t xml:space="preserve">Change in the manuscript. </w:t>
      </w:r>
      <w:r>
        <w:t>Sections 4.3, 4.9 and 5.7; Tables 7 and 8.</w:t>
      </w:r>
    </w:p>
    <w:p>
      <w:pPr>
        <w:spacing w:before="180" w:after="60"/>
        <w:ind w:left="403"/>
      </w:pPr>
      <w:r>
        <w:rPr>
          <w:b/>
        </w:rPr>
        <w:t xml:space="preserve">Comment 10. </w:t>
      </w:r>
      <w:r>
        <w:rPr>
          <w:i/>
        </w:rPr>
        <w:t>It is unclear why subsurface intake systems are discussed in the subsection on brine-management challenges. All equations should be presented using proper mathematical notation rather than underscore-based text formatting, with consistent equation numbering. All tables should be assigned table numbers and descriptive titles.</w:t>
      </w:r>
    </w:p>
    <w:p>
      <w:pPr>
        <w:ind w:left="403"/>
      </w:pPr>
      <w:r>
        <w:rPr>
          <w:b/>
        </w:rPr>
        <w:t xml:space="preserve">Response. </w:t>
      </w:r>
      <w:r>
        <w:t>The intake discussion was moved out of the brine-management material into Section 2.2, and all twelve tables were given numbers and descriptive captions.</w:t>
      </w:r>
    </w:p>
    <w:p>
      <w:pPr>
        <w:ind w:left="403"/>
      </w:pPr>
      <w:r>
        <w:t>On equation notation, the numbering was corrected at that round but the underscore-based formatting was not, which Reviewer 4 rightly identified again on Revision 1. It is corrected in full in Revision 2; see Comment 1 above. I should have acted on your original comment completely the first time.</w:t>
      </w:r>
    </w:p>
    <w:p>
      <w:pPr>
        <w:spacing w:after="160"/>
        <w:ind w:left="403"/>
      </w:pPr>
      <w:r>
        <w:rPr>
          <w:b/>
        </w:rPr>
        <w:t xml:space="preserve">Change in the manuscript. </w:t>
      </w:r>
      <w:r>
        <w:t>Section 2.2; Eqs. (1)–(14); Tables 1–12.</w:t>
      </w:r>
    </w:p>
    <w:p>
      <w:pPr>
        <w:spacing w:before="320" w:after="120"/>
      </w:pPr>
      <w:r>
        <w:rPr>
          <w:b/>
          <w:i w:val="0"/>
          <w:sz w:val="26"/>
        </w:rPr>
        <w:t>Reviewer 4 — initial submission</w:t>
      </w:r>
    </w:p>
    <w:p>
      <w:pPr>
        <w:spacing w:before="180" w:after="60"/>
        <w:ind w:left="403"/>
      </w:pPr>
      <w:r>
        <w:rPr>
          <w:b/>
        </w:rPr>
        <w:t xml:space="preserve">Comment 1. </w:t>
      </w:r>
      <w:r>
        <w:rPr>
          <w:i/>
        </w:rPr>
        <w:t>The manuscript does not follow the typical structure and formatting of a scientific research paper. The overall presentation, including equations, figures, and methodology, resembles a short technical report.</w:t>
      </w:r>
    </w:p>
    <w:p>
      <w:pPr>
        <w:ind w:left="403"/>
      </w:pPr>
      <w:r>
        <w:rPr>
          <w:b/>
        </w:rPr>
        <w:t xml:space="preserve">Response. </w:t>
      </w:r>
      <w:r>
        <w:t>The manuscript was restructured throughout: a continuous-prose Introduction, a formal model section with numbered equations and a Nomenclature, twelve captioned tables and a Results section organised around the three consistency tests. The figure and equation presentation was not brought to the same standard at that round, as your comments on Revision 1 made clear; that is now done.</w:t>
      </w:r>
    </w:p>
    <w:p>
      <w:pPr>
        <w:spacing w:after="160"/>
        <w:ind w:left="403"/>
      </w:pPr>
      <w:r>
        <w:rPr>
          <w:b/>
        </w:rPr>
        <w:t xml:space="preserve">Change in the manuscript. </w:t>
      </w:r>
      <w:r>
        <w:t>Throughout; see Comments 1 and 3 above.</w:t>
      </w:r>
    </w:p>
    <w:p>
      <w:pPr>
        <w:spacing w:before="180" w:after="60"/>
        <w:ind w:left="403"/>
      </w:pPr>
      <w:r>
        <w:rPr>
          <w:b/>
        </w:rPr>
        <w:t xml:space="preserve">Comment 2. </w:t>
      </w:r>
      <w:r>
        <w:rPr>
          <w:i/>
        </w:rPr>
        <w:t>The scientific contribution is limited. The authors should clearly explain what new scientific knowledge is provided beyond integrating these technologies.</w:t>
      </w:r>
    </w:p>
    <w:p>
      <w:pPr>
        <w:ind w:left="403"/>
      </w:pPr>
      <w:r>
        <w:rPr>
          <w:b/>
        </w:rPr>
        <w:t xml:space="preserve">Response. </w:t>
      </w:r>
      <w:r>
        <w:t>The contribution is restated and is no longer the integration. It is a set of three consistency tests that any brine-valorization architecture must pass, together with the finding that magnesium recovery from a chloride brine is limited by alkalinity rather than by magnesium. That result generalizes beyond this architecture, because two equivalents of base per mole of product are required however the base is supplied, and it is what the title now names.</w:t>
      </w:r>
    </w:p>
    <w:p>
      <w:pPr>
        <w:spacing w:after="160"/>
        <w:ind w:left="403"/>
      </w:pPr>
      <w:r>
        <w:rPr>
          <w:b/>
        </w:rPr>
        <w:t xml:space="preserve">Change in the manuscript. </w:t>
      </w:r>
      <w:r>
        <w:t>Title; Abstract; Sections 4.5–4.7, 4.12 and 4.13; Section 6.</w:t>
      </w:r>
    </w:p>
    <w:p>
      <w:pPr>
        <w:spacing w:before="180" w:after="60"/>
        <w:ind w:left="403"/>
      </w:pPr>
      <w:r>
        <w:rPr>
          <w:b/>
        </w:rPr>
        <w:t xml:space="preserve">Comment 3. </w:t>
      </w:r>
      <w:r>
        <w:rPr>
          <w:i/>
        </w:rPr>
        <w:t>The Introduction requires major revision. The literature review is insufficient and poorly organized, and the research gap is not clearly identified.</w:t>
      </w:r>
    </w:p>
    <w:p>
      <w:pPr>
        <w:ind w:left="403"/>
      </w:pPr>
      <w:r>
        <w:rPr>
          <w:b/>
        </w:rPr>
        <w:t xml:space="preserve">Response. </w:t>
      </w:r>
      <w:r>
        <w:t>The Introduction was rewritten; the detail is given under Reviewer 1, comment 1, in this appendix.</w:t>
      </w:r>
    </w:p>
    <w:p>
      <w:pPr>
        <w:spacing w:after="160"/>
        <w:ind w:left="403"/>
      </w:pPr>
      <w:r>
        <w:rPr>
          <w:b/>
        </w:rPr>
        <w:t xml:space="preserve">Change in the manuscript. </w:t>
      </w:r>
      <w:r>
        <w:t>Section 1.</w:t>
      </w:r>
    </w:p>
    <w:p>
      <w:pPr>
        <w:spacing w:before="180" w:after="60"/>
        <w:ind w:left="403"/>
      </w:pPr>
      <w:r>
        <w:rPr>
          <w:b/>
        </w:rPr>
        <w:t xml:space="preserve">Comment 4. </w:t>
      </w:r>
      <w:r>
        <w:rPr>
          <w:i/>
        </w:rPr>
        <w:t>Several parts of the manuscript appear to be AI-generated or heavily AI-assisted. The manuscript contains generic statements and claims that are not adequately supported by scientific evidence.</w:t>
      </w:r>
    </w:p>
    <w:p>
      <w:pPr>
        <w:ind w:left="403"/>
      </w:pPr>
      <w:r>
        <w:rPr>
          <w:b/>
        </w:rPr>
        <w:t xml:space="preserve">Response. </w:t>
      </w:r>
      <w:r>
        <w:t>I took this seriously and can identify a specific cause for the impression. The abstract field submitted through the editorial system began with a stray sentence, 'Here is a tightened 200-word abstract based on the manuscript:', which appeared on the cover page of the PDF sent to reviewers. That was an editing error on my part; it should not have reached review and it was removed.</w:t>
      </w:r>
    </w:p>
    <w:p>
      <w:pPr>
        <w:ind w:left="403"/>
      </w:pPr>
      <w:r>
        <w:t>Beyond that, the revision replaced unsupported generic statements with results derived from stated physical bounds, and every reference was verified against Crossref rather than cited from memory. Generative AI was used as a drafting and analysis aid; all modelling decisions, the interpretation and the responsibility for the content are mine. In Revision 2 this is stated formally in a declaration on the use of generative AI, as the journal requires, rather than only in correspondence.</w:t>
      </w:r>
    </w:p>
    <w:p>
      <w:pPr>
        <w:spacing w:after="160"/>
        <w:ind w:left="403"/>
      </w:pPr>
      <w:r>
        <w:rPr>
          <w:b/>
        </w:rPr>
        <w:t xml:space="preserve">Change in the manuscript. </w:t>
      </w:r>
      <w:r>
        <w:t>Throughout; Declaration of generative AI and AI-assisted technologies.</w:t>
      </w:r>
    </w:p>
    <w:p>
      <w:pPr>
        <w:spacing w:before="180" w:after="60"/>
        <w:ind w:left="403"/>
      </w:pPr>
      <w:r>
        <w:rPr>
          <w:b/>
        </w:rPr>
        <w:t xml:space="preserve">Comment 5. </w:t>
      </w:r>
      <w:r>
        <w:rPr>
          <w:i/>
        </w:rPr>
        <w:t>The equations are not presented with sufficient scientific rigor. Several assumptions, variables, system boundaries, and parameter sources are unclear. The calculation procedure should be revised so that the analysis can be independently reproduced.</w:t>
      </w:r>
    </w:p>
    <w:p>
      <w:pPr>
        <w:ind w:left="403"/>
      </w:pPr>
      <w:r>
        <w:rPr>
          <w:b/>
        </w:rPr>
        <w:t xml:space="preserve">Response. </w:t>
      </w:r>
      <w:r>
        <w:t>Equations (1)–(14) are numbered and defined, the system boundary is stated per balance, the solution procedure is given at the head of Section 3, and the complete model is deposited so that every table and figure can be regenerated from it with the commands listed in the Data Availability statement. The derivation of Eq. (8) and the three idealisations it embeds are set out explicitly rather than left implicit. The presentation of the equations themselves is corrected in Revision 2.</w:t>
      </w:r>
    </w:p>
    <w:p>
      <w:pPr>
        <w:spacing w:after="160"/>
        <w:ind w:left="403"/>
      </w:pPr>
      <w:r>
        <w:rPr>
          <w:b/>
        </w:rPr>
        <w:t xml:space="preserve">Change in the manuscript. </w:t>
      </w:r>
      <w:r>
        <w:t>Section 3; Eqs. (1)–(14); Data availability.</w:t>
      </w:r>
    </w:p>
    <w:p>
      <w:pPr>
        <w:spacing w:before="180" w:after="60"/>
        <w:ind w:left="403"/>
      </w:pPr>
      <w:r>
        <w:rPr>
          <w:b/>
        </w:rPr>
        <w:t xml:space="preserve">Comment 6. </w:t>
      </w:r>
      <w:r>
        <w:rPr>
          <w:i/>
        </w:rPr>
        <w:t>The energy consumption reported in Figures 2 and 3 appears excessively high. The conventional SWRO baseline of 3.95 kWh/m3 is questionable for comparison with a modern SWRO system equipped with efficient energy recovery.</w:t>
      </w:r>
    </w:p>
    <w:p>
      <w:pPr>
        <w:ind w:left="403"/>
      </w:pPr>
      <w:r>
        <w:rPr>
          <w:b/>
        </w:rPr>
        <w:t xml:space="preserve">Response. </w:t>
      </w:r>
      <w:r>
        <w:t>Accepted without qualification. The comparator is withdrawn, and with it the 31% advantage claim built on it. Section 5.1 now compares against the 2.5–3.5 kWh m⁻³ range and the audited 1.794 kWh m⁻³ measurement, and concludes that the architecture offers no material energy advantage at the desalination stage. This comment and the corresponding one from Reviewer 3 are the reason the paper is reframed around what it does to the concentrate rather than what it saves at the membrane.</w:t>
      </w:r>
    </w:p>
    <w:p>
      <w:pPr>
        <w:spacing w:after="160"/>
        <w:ind w:left="403"/>
      </w:pPr>
      <w:r>
        <w:rPr>
          <w:b/>
        </w:rPr>
        <w:t xml:space="preserve">Change in the manuscript. </w:t>
      </w:r>
      <w:r>
        <w:t>Sections 5.1 and 6; Table 2; Figure 3.</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