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Subsurface-Intake SWRO and Brine-Valorization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after="160"/>
      </w:pPr>
      <w:r>
        <w:rPr>
          <w:b w:val="0"/>
          <w:i w:val="0"/>
          <w:sz w:val="21"/>
        </w:rPr>
        <w:t>Three analyses were added that no reviewer requested, because preparing the revision raised a question the original could not answer: the first version contained two independent errors, and the manuscript did not say which one reversed the economic conclusion. An ablation (new Section 4.10) shows it was not the thermodynamic correction. After correcting the concentrator to its reversible bound the architecture still costs $0.64 m-3, below the $0.76 m-3 comparator; the reversal is carried by costing the precipitation reagents explicitly, worth 6.8 times as much. A rank-correlation attribution and an admissibility map (new Section 4.11) reach the same conclusion independently and state what would have to change for the architecture to compete: the recovered minerals must be worth 2.1 times their modelled value at present reagent prices. We think this makes the paper more useful than a bare negative result, and it supports the title rather than the section ordering.</w:t>
      </w:r>
    </w:p>
    <w:p>
      <w:pPr>
        <w:spacing w:after="160"/>
      </w:pPr>
      <w:r>
        <w:rPr>
          <w:b w:val="0"/>
          <w:i w:val="0"/>
          <w:sz w:val="21"/>
        </w:rPr>
        <w:t>A further section was added for the same reason. Having established that alkalinity is the binding constraint, the paper stopped there, which left it diagnosing a problem it had the means to address. Section 4.12 now evaluates the electrochemical alkalinity route already tabulated in Section 4.7 and reports what it does: the calcium balance closes exactly, reagent carbon becomes net negative, and the reagent bill is replaced by 27.1 kWh m-3 of electrochemical demand. Because that substitutes an energy price for a commodity price it has a crossing the purchased-alkali route does not — the comparator is reached below $0.033 kWh-1, where route A remains above it even at zero electricity cost. We report this as conditional: the capital cost of the electrochemical stage is not modelled, the chlorine co-product is neither costed nor credited, and the same demand drawn at grid carbon intensity is worse than the route it replaces. The abstract and conclusions were rewritten accordingly, and Figure 8 is new.</w:t>
      </w:r>
    </w:p>
    <w:p>
      <w:pPr>
        <w:spacing w:after="160"/>
      </w:pPr>
      <w:r>
        <w:rPr>
          <w:b w:val="0"/>
          <w:i w:val="0"/>
          <w:sz w:val="21"/>
        </w:rPr>
        <w:t>One correction follows from that work. The previous draft stated that no sampled combination produced a net cost below the conventional comparator. The deposited Monte Carlo shows that 271 of 300,000 did, the best reaching $0.35 m-3. The text now reports the count, the fraction and the best case. We are grateful the error was caught before review rather than during it.</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Thirteen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4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4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5.4.</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5. Figures are renumbered to citation order. Intake SEC is now swept across the full 0.05-0.80 kWh m-3 range rather than fixed at the low end. The reference list was checked programmatically: all 25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5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the repository with release tag v2.0.1, Python 3.11.9 and NumPy 2.4.6, and archival DOIs for both the code (10.5281/zenodo.22178234) and this manuscript with its response letter (10.5281/zenodo.22178232). The commands that regenerate every number are listed.</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eleven uncertain parameters with 300,000 samples now replaces the one-at-a-time tornado as the primary uncertainty result (Table 7,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5.5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3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5.4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(1)-(13); all seven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seven captioned tables and six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(1)-(13)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