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sz w:val="30"/>
        </w:rPr>
        <w:t>Response to Reviewers — DWT-D-26-01366</w:t>
      </w:r>
    </w:p>
    <w:p>
      <w:pPr>
        <w:spacing w:after="160"/>
      </w:pPr>
      <w:r>
        <w:rPr>
          <w:b w:val="0"/>
          <w:i/>
          <w:sz w:val="20"/>
        </w:rPr>
        <w:t>Process and Technoeconomic Assessment of Integrated Subsurface-Intake SWRO, Isobaric Energy Recovery, and Near-Zero-Liquid-Discharge Brine Valorization</w:t>
      </w:r>
    </w:p>
    <w:p>
      <w:pPr>
        <w:spacing w:after="160"/>
      </w:pPr>
      <w:r>
        <w:rPr>
          <w:b w:val="0"/>
          <w:i/>
          <w:sz w:val="20"/>
        </w:rPr>
        <w:t>Revised title: Consistency Testing of an Integrated SWRO–Brine Valorization Architecture: Alkalinity as the Binding Constraint</w:t>
      </w:r>
    </w:p>
    <w:p>
      <w:pPr>
        <w:spacing w:before="300" w:after="100"/>
      </w:pPr>
      <w:r>
        <w:rPr>
          <w:b/>
          <w:sz w:val="24"/>
        </w:rPr>
        <w:t>Summary of the revision</w:t>
      </w:r>
    </w:p>
    <w:p>
      <w:pPr>
        <w:spacing w:after="160"/>
      </w:pPr>
      <w:r>
        <w:rPr>
          <w:b w:val="0"/>
          <w:i w:val="0"/>
          <w:sz w:val="21"/>
        </w:rPr>
        <w:t>I am grateful to all four reviewers. The comments identified two errors that changed the paper's conclusions, and the revision follows where they led rather than defending the original position.</w:t>
      </w:r>
    </w:p>
    <w:p>
      <w:pPr>
        <w:spacing w:after="160"/>
      </w:pPr>
      <w:r>
        <w:rPr>
          <w:b w:val="0"/>
          <w:i w:val="0"/>
          <w:sz w:val="21"/>
        </w:rPr>
        <w:t>First, Reviewer 1 questioned the brine-concentrator energy. Checking it against the least work of separation showed the assumed range of 0.5-1.0 kWh per cubic metre of brine to lie at or below the reversible minimum of 0.94 kWh m-3 for that feed. The assumption was not merely optimistic but thermodynamically inadmissible. The revision replaces it with a bounded estimate of 1.7-3.8 kWh m-3, obtained from the reversible minimum and a 25-55% second-law efficiency range. We are careful to call this a bounded estimate rather than an attainable value, since it is derived rather than measured.</w:t>
      </w:r>
    </w:p>
    <w:p>
      <w:pPr>
        <w:spacing w:after="160"/>
      </w:pPr>
      <w:r>
        <w:rPr>
          <w:b w:val="0"/>
          <w:i w:val="0"/>
          <w:sz w:val="21"/>
        </w:rPr>
        <w:t>Second, Reviewers 1 and 3 asked for reagent detail and a proper OPEX breakdown. Costing the precipitation reagents explicitly rather than as a share of operating cost revealed that soda ash and lime cost a median $1.70 per cubic metre of permeate against a realisable mineral credit of $1.25. The economic case does not close, and the embodied carbon of those same reagents, 10.0 kg CO2 m-3, is roughly double the grid-electricity emissions the original counted.</w:t>
      </w:r>
    </w:p>
    <w:p>
      <w:pPr>
        <w:spacing w:after="160"/>
      </w:pPr>
      <w:r>
        <w:rPr>
          <w:b/>
          <w:i w:val="0"/>
          <w:sz w:val="21"/>
        </w:rPr>
        <w:t>Reviewers 3 and 4 both judged the energy comparator unsound, and they were right. The claim of a 31% advantage over conventional SWRO is withdrawn. The paper is reframed around a consistency-testing method and reports honestly that the architecture fails two of its own three tests as specified. I recognise this is an unusual revision, but I believe a quantified negative result anchored to physical bounds is more useful than the original claim.</w:t>
      </w:r>
    </w:p>
    <w:p>
      <w:pPr>
        <w:spacing w:after="160"/>
      </w:pPr>
      <w:r>
        <w:rPr>
          <w:b w:val="0"/>
          <w:i w:val="0"/>
          <w:sz w:val="21"/>
        </w:rPr>
        <w:t>Three analyses were added that no reviewer requested, because preparing the revision raised a question the original could not answer: the first version contained two independent errors, and the manuscript did not say which one reversed the economic conclusion. An ablation (new Section 4.10) shows it was not the thermodynamic correction. After correcting the concentrator to its reversible bound the architecture still costs $0.64 m-3, below the $0.76 m-3 comparator; the reversal is carried by costing the precipitation reagents explicitly, worth 6.8 times as much. A rank-correlation attribution and an admissibility map (new Section 4.11) reach the same conclusion independently and state what would have to change for the architecture to compete: the recovered minerals must be worth 2.1 times their modelled value at present reagent prices. We think this makes the paper more useful than a bare negative result, and it supports the title rather than the section ordering.</w:t>
      </w:r>
    </w:p>
    <w:p>
      <w:pPr>
        <w:spacing w:after="160"/>
      </w:pPr>
      <w:r>
        <w:rPr>
          <w:b w:val="0"/>
          <w:i w:val="0"/>
          <w:sz w:val="21"/>
        </w:rPr>
        <w:t>A further section was added for the same reason. Having established that alkalinity is the binding constraint, the paper stopped there, which left it diagnosing a problem it had the means to address. Section 4.12 now evaluates the electrochemical alkalinity route already tabulated in Section 4.7 and reports what it does: the calcium balance closes exactly, reagent carbon becomes net negative, and the reagent bill is replaced by 27.1 kWh m-3 of electrochemical demand. Because that substitutes an energy price for a commodity price it has a crossing the purchased-alkali route does not — the comparator is reached below $0.033 kWh-1, where route A remains above it even at zero electricity cost. We report this as conditional: the capital cost of the electrochemical stage is not modelled, the chlorine co-product is neither costed nor credited, and the same demand drawn at grid carbon intensity is worse than the route it replaces. The abstract and conclusions were rewritten accordingly, and Figure 8 is new.</w:t>
      </w:r>
    </w:p>
    <w:p>
      <w:pPr>
        <w:spacing w:after="160"/>
      </w:pPr>
      <w:r>
        <w:rPr>
          <w:b w:val="0"/>
          <w:i w:val="0"/>
          <w:sz w:val="21"/>
        </w:rPr>
        <w:t>One correction follows from that work. The previous draft stated that no sampled combination produced a net cost below the conventional comparator. The deposited Monte Carlo shows that 271 of 300,000 did, the best reaching $0.35 m-3. The text now reports the count, the fraction and the best case. We are grateful the error was caught before review rather than during it.</w:t>
      </w:r>
    </w:p>
    <w:p>
      <w:pPr>
        <w:spacing w:after="160"/>
      </w:pPr>
      <w:r>
        <w:rPr>
          <w:b w:val="0"/>
          <w:i w:val="0"/>
          <w:sz w:val="21"/>
        </w:rPr>
        <w:t>This version makes three further changes. First, Section 4.13 treats alkalinity supply and calcium closure as one design problem rather than route by route: a linear program, Eq. (14), chooses among lime, purchased NaOH and on-site electrochemical base, soda ash and dosed CO2, and a gypsum step that removes the calcium lime imports, with the calcium balance imposed as a constraint. Closing the balance costs $0.44 m-3 at the base case with the gypsum step and $0.73 without it, and above $0.069 kWh-1 no on-site base can close the loop against the comparator, because the reversible limit of water dissociation binds (Tables 11-12, Figure 9). Section 5.4 sets out what an alkalinity pathway would have to achieve on that basis. The paper is positioned as quantifying the conditions for closure, not as reporting a working process, and the abstract's electrochemical sentences now state that the result is modeled and exclude electrochemical capital and coproduct handling. Second, a double count was found and corrected in Section 4.12: the dosed CO2 of route D had been credited both as a reagent and again as carbon fixed in the product. On solar-dominated supply the route emits +1.07 kg CO2 m-3, not the +0.13 previously reported, and +21.2 on the Saudi grid mix rather than +20.3; the conclusion that route D requires low-carbon power is unchanged. Third, a structural check found that Figures 2-6 and Tables 5 and 8 were submitted but never cited in the text, and that Figure 5 had been drawn from a separate 200,000-sample run; all are now cited in order and Figure 5 is redrawn from the same 300,000-sample draw that produces Table 8.</w:t>
      </w:r>
    </w:p>
    <w:p>
      <w:pPr>
        <w:spacing w:before="300" w:after="100"/>
      </w:pPr>
      <w:r>
        <w:rPr>
          <w:b/>
          <w:sz w:val="26"/>
        </w:rPr>
        <w:t>Reviewer 1</w:t>
      </w:r>
    </w:p>
    <w:p>
      <w:pPr>
        <w:spacing w:before="180" w:after="60"/>
      </w:pPr>
      <w:r>
        <w:rPr>
          <w:b/>
          <w:sz w:val="21"/>
        </w:rPr>
        <w:t xml:space="preserve">1.  </w:t>
      </w:r>
      <w:r>
        <w:rPr>
          <w:i/>
          <w:sz w:val="20"/>
        </w:rPr>
        <w:t>Introduction should not be subdivided; too brief; review recent progress for each technology; discuss partial integrations and remaining challenges.</w:t>
      </w:r>
    </w:p>
    <w:p>
      <w:pPr>
        <w:spacing w:after="120"/>
        <w:ind w:left="288"/>
      </w:pPr>
      <w:r>
        <w:rPr>
          <w:sz w:val="21"/>
        </w:rPr>
        <w:t>The Introduction is rewritten as continuous prose with the subsections removed, and now reviews recent progress for each of the five technologies with 25 references, every one verified against Crossref. A dedicated paragraph sets out which pairs of technologies have already been integrated, which have been studied only in isolation, and what the interactions between them reveal - which is the gap the study addresses.</w:t>
      </w:r>
    </w:p>
    <w:p>
      <w:pPr>
        <w:spacing w:before="180" w:after="60"/>
      </w:pPr>
      <w:r>
        <w:rPr>
          <w:b/>
          <w:sz w:val="21"/>
        </w:rPr>
        <w:t xml:space="preserve">2.  </w:t>
      </w:r>
      <w:r>
        <w:rPr>
          <w:i/>
          <w:sz w:val="20"/>
        </w:rPr>
        <w:t>Equations and variables need clearer definition and journal formatting; add a calculation workflow.</w:t>
      </w:r>
    </w:p>
    <w:p>
      <w:pPr>
        <w:spacing w:after="120"/>
        <w:ind w:left="288"/>
      </w:pPr>
      <w:r>
        <w:rPr>
          <w:sz w:val="21"/>
        </w:rPr>
        <w:t>Fourteen equations are now numbered consecutively and set as displayed equations. A Nomenclature table defines every symbol with units. Section 3 opens with the solution procedure, stating the order in which the balances are solved and noting that no iteration is required.</w:t>
      </w:r>
    </w:p>
    <w:p>
      <w:pPr>
        <w:spacing w:before="180" w:after="60"/>
      </w:pPr>
      <w:r>
        <w:rPr>
          <w:b/>
          <w:sz w:val="21"/>
        </w:rPr>
        <w:t xml:space="preserve">3.  </w:t>
      </w:r>
      <w:r>
        <w:rPr>
          <w:i/>
          <w:sz w:val="20"/>
        </w:rPr>
        <w:t>Justify the choice of models; validate against independent data.</w:t>
      </w:r>
    </w:p>
    <w:p>
      <w:pPr>
        <w:spacing w:after="120"/>
        <w:ind w:left="288"/>
      </w:pPr>
      <w:r>
        <w:rPr>
          <w:sz w:val="21"/>
        </w:rPr>
        <w:t>The revision changes the basis of justification. Rather than defending each adopted model, each subsystem is now tested against a physical or stoichiometric bound that any correct model must respect - the least work of separation for the concentrator, the polarization factor for boundary-layer effects, and the alkalinity stoichiometry for precipitation. Two of the three tests are failed by the architecture as originally specified, which is reported.</w:t>
      </w:r>
    </w:p>
    <w:p>
      <w:pPr>
        <w:spacing w:before="180" w:after="60"/>
      </w:pPr>
      <w:r>
        <w:rPr>
          <w:b/>
          <w:sz w:val="21"/>
        </w:rPr>
        <w:t xml:space="preserve">4.  </w:t>
      </w:r>
      <w:r>
        <w:rPr>
          <w:i/>
          <w:sz w:val="20"/>
        </w:rPr>
        <w:t>NF concentrator energy questionable at 63.5 to 121 g/L; 50% recovery optimistic; monovalent leakage; cite high-salinity NF literature; fouling and scaling; CAPEX/OPEX inclusion.</w:t>
      </w:r>
    </w:p>
    <w:p>
      <w:pPr>
        <w:spacing w:after="120"/>
        <w:ind w:left="288"/>
      </w:pPr>
      <w:r>
        <w:rPr>
          <w:sz w:val="21"/>
        </w:rPr>
        <w:t>This comment produced the most consequential change in the revision. Section 4.5 shows the assumed energy to be below the reversible minimum and replaces it with a bounded estimate; Figure 3 presents the test. Separately, the stage was mislabelled: at 90% monovalent rejection it is not nanofiltration but a high-pressure, low-salt-rejection RO stage, and Section 2.4 now says so and reports what a genuine NF element would give instead. The +40% uplift is now stated as a sampled range rather than a point value, and Table 5 gives the OPEX composition.</w:t>
      </w:r>
    </w:p>
    <w:p>
      <w:pPr>
        <w:spacing w:before="180" w:after="60"/>
      </w:pPr>
      <w:r>
        <w:rPr>
          <w:b/>
          <w:sz w:val="21"/>
        </w:rPr>
        <w:t xml:space="preserve">5.  </w:t>
      </w:r>
      <w:r>
        <w:rPr>
          <w:i/>
          <w:sz w:val="20"/>
        </w:rPr>
        <w:t>Economic model lacks OPEX detail; +40% CAPEX uplift assumed; show 20-60% sensitivity; ZLD crystallizer CAPEX may make +40% optimistic.</w:t>
      </w:r>
    </w:p>
    <w:p>
      <w:pPr>
        <w:spacing w:after="120"/>
        <w:ind w:left="288"/>
      </w:pPr>
      <w:r>
        <w:rPr>
          <w:sz w:val="21"/>
        </w:rPr>
        <w:t>Table 5 now gives a nine-line OPEX breakdown with the basis for each line. The largest item is not electricity but the precipitation reagents. The CAPEX uplift is sampled across 20-60% in the Monte Carlo rather than fixed, and the uplift is explicitly identified as an assumption rather than a quotation.</w:t>
      </w:r>
    </w:p>
    <w:p>
      <w:pPr>
        <w:spacing w:before="180" w:after="60"/>
      </w:pPr>
      <w:r>
        <w:rPr>
          <w:b/>
          <w:sz w:val="21"/>
        </w:rPr>
        <w:t xml:space="preserve">6.  </w:t>
      </w:r>
      <w:r>
        <w:rPr>
          <w:i/>
          <w:sz w:val="20"/>
        </w:rPr>
        <w:t>Add comparison with existing literature.</w:t>
      </w:r>
    </w:p>
    <w:p>
      <w:pPr>
        <w:spacing w:after="120"/>
        <w:ind w:left="288"/>
      </w:pPr>
      <w:r>
        <w:rPr>
          <w:sz w:val="21"/>
        </w:rPr>
        <w:t>Section 5.1 compares the corrected SEC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before="180" w:after="60"/>
      </w:pPr>
      <w:r>
        <w:rPr>
          <w:b/>
          <w:sz w:val="21"/>
        </w:rPr>
        <w:t xml:space="preserve">7.  </w:t>
      </w:r>
      <w:r>
        <w:rPr>
          <w:i/>
          <w:sz w:val="20"/>
        </w:rPr>
        <w:t>CaCO3 credited at 100% sellable and full price is unrealistic.</w:t>
      </w:r>
    </w:p>
    <w:p>
      <w:pPr>
        <w:spacing w:after="120"/>
        <w:ind w:left="288"/>
      </w:pPr>
      <w:r>
        <w:rPr>
          <w:sz w:val="21"/>
        </w:rPr>
        <w:t>Accepted. A sellable fraction of 50-70% is now sampled for calcium carbonate, as it already was for magnesium hydroxide, and Section 4.3 discusses the purity, particle size and brightness constraints that determine whether recovered carbonate meets any specification. Transport and refining remain outside the boundary and are therefore uncredited, which is stated. The fraction is included in the Monte Carlo.</w:t>
      </w:r>
    </w:p>
    <w:p>
      <w:pPr>
        <w:spacing w:before="180" w:after="60"/>
      </w:pPr>
      <w:r>
        <w:rPr>
          <w:b/>
          <w:sz w:val="21"/>
        </w:rPr>
        <w:t xml:space="preserve">8.  </w:t>
      </w:r>
      <w:r>
        <w:rPr>
          <w:i/>
          <w:sz w:val="20"/>
        </w:rPr>
        <w:t>MVC at 11.5 kWh/m3 may be at the upper bound; discuss degradation and scaling; consider membrane distillation and freeze crystallization.</w:t>
      </w:r>
    </w:p>
    <w:p>
      <w:pPr>
        <w:spacing w:after="120"/>
        <w:ind w:left="288"/>
      </w:pPr>
      <w:r>
        <w:rPr>
          <w:sz w:val="21"/>
        </w:rPr>
        <w:t>Crystallizer energy is sampled across 8-15 kWh m-3 rather than fixed at the midpoint. Section 5.3 compares MVC against membrane distillation crystallization, eutectic freeze crystallization and solar interfacial evaporation, and notes that because grid electricity is only about a third of the carbon account, replacing MVC would not by itself make the process carbon neutral.</w:t>
      </w:r>
    </w:p>
    <w:p>
      <w:pPr>
        <w:spacing w:before="180" w:after="60"/>
      </w:pPr>
      <w:r>
        <w:rPr>
          <w:b/>
          <w:sz w:val="21"/>
        </w:rPr>
        <w:t xml:space="preserve">9.  </w:t>
      </w:r>
      <w:r>
        <w:rPr>
          <w:i/>
          <w:sz w:val="20"/>
        </w:rPr>
        <w:t>Linear osmotic model will deviate at 121 g/L; quantify the impact; run a sensitivity with a more accurate model.</w:t>
      </w:r>
    </w:p>
    <w:p>
      <w:pPr>
        <w:spacing w:after="120"/>
        <w:ind w:left="288"/>
      </w:pPr>
      <w:r>
        <w:rPr>
          <w:sz w:val="21"/>
        </w:rPr>
        <w:t>Quantified rather than acknowledged. Applying an osmotic-coefficient rise of 8-24% between 35 and 120 g L-1 raises the concentrator feed from 49.0 to 50.3-52.9 bar and total SEC from 12.64 to 12.87 kWh m-3 - real but second-order, under 2%, and an order of magnitude smaller than the concentrator correction. The published seawater property correlations appropriate for locking phi(S) are now cited, and the deposited code is structured to accept them. Because that substitution has not yet been made, the manuscript now states in the Abstract, Section 3, Section 4.5, the Limitations and the Conclusions that every specific-energy figure is a bounded model estimate rather than a final quantitative prediction.</w:t>
      </w:r>
    </w:p>
    <w:p>
      <w:pPr>
        <w:spacing w:before="180" w:after="60"/>
      </w:pPr>
      <w:r>
        <w:rPr>
          <w:b/>
          <w:sz w:val="21"/>
        </w:rPr>
        <w:t xml:space="preserve">10.  </w:t>
      </w:r>
      <w:r>
        <w:rPr>
          <w:i/>
          <w:sz w:val="20"/>
        </w:rPr>
        <w:t>Discuss qualitatively how a lithium breakthrough would affect LCOW.</w:t>
      </w:r>
    </w:p>
    <w:p>
      <w:pPr>
        <w:spacing w:after="120"/>
        <w:ind w:left="288"/>
      </w:pPr>
      <w:r>
        <w:rPr>
          <w:sz w:val="21"/>
        </w:rPr>
        <w:t>Given the corrected economics, the honest statement is quantitative: the net cost gap to be closed is now approximately $1.44 m-3, which is far larger than any plausible lithium credit from seawater-derived brine at present recovery yields. Lithium remains excluded from the baseline and this is stated in Section 5.5.</w:t>
      </w:r>
    </w:p>
    <w:p>
      <w:pPr>
        <w:spacing w:before="180" w:after="60"/>
      </w:pPr>
      <w:r>
        <w:rPr>
          <w:b/>
          <w:sz w:val="21"/>
        </w:rPr>
        <w:t xml:space="preserve">11.  </w:t>
      </w:r>
      <w:r>
        <w:rPr>
          <w:i/>
          <w:sz w:val="20"/>
        </w:rPr>
        <w:t>Numerical and editorial errors: LCOW units, figure order, intake SEC midpoint, uncited reference [12], long sentences.</w:t>
      </w:r>
    </w:p>
    <w:p>
      <w:pPr>
        <w:spacing w:after="120"/>
        <w:ind w:left="288"/>
      </w:pPr>
      <w:r>
        <w:rPr>
          <w:sz w:val="21"/>
        </w:rPr>
        <w:t>All corrected. The two LCOW figures concerned are withdrawn and replaced by the boundary comparison in Table 6. Figures are renumbered to citation order. Intake SEC is now swept across the full 0.05-0.80 kWh m-3 range rather than fixed at the low end. The reference list was checked programmatically: all 26 entries are cited and none is orphaned. Long sentences in the Abstract and Introduction have been split.</w:t>
      </w:r>
    </w:p>
    <w:p>
      <w:pPr>
        <w:spacing w:before="180" w:after="60"/>
      </w:pPr>
      <w:r>
        <w:rPr>
          <w:b/>
          <w:sz w:val="21"/>
        </w:rPr>
        <w:t xml:space="preserve">12.  </w:t>
      </w:r>
      <w:r>
        <w:rPr>
          <w:i/>
          <w:sz w:val="20"/>
        </w:rPr>
        <w:t>Does the conventional $0.76/m3 baseline cover the same scope as the ILEDBV figure? Provide a stage cost comparison.</w:t>
      </w:r>
    </w:p>
    <w:p>
      <w:pPr>
        <w:spacing w:after="120"/>
        <w:ind w:left="288"/>
      </w:pPr>
      <w:r>
        <w:rPr>
          <w:sz w:val="21"/>
        </w:rPr>
        <w:t>It did not, and the comparison was therefore invalid. Table 6 sets out the boundary element by element: the conventional case included a brine outfall the integrated architecture does not have, and excluded the valorization train it does. Comparisons in the revision are made on that table rather than headline to headline.</w:t>
      </w:r>
    </w:p>
    <w:p>
      <w:pPr>
        <w:spacing w:before="180" w:after="60"/>
      </w:pPr>
      <w:r>
        <w:rPr>
          <w:b/>
          <w:sz w:val="21"/>
        </w:rPr>
        <w:t xml:space="preserve">13.  </w:t>
      </w:r>
      <w:r>
        <w:rPr>
          <w:i/>
          <w:sz w:val="20"/>
        </w:rPr>
        <w:t>State code version and runtime environment.</w:t>
      </w:r>
    </w:p>
    <w:p>
      <w:pPr>
        <w:spacing w:after="120"/>
        <w:ind w:left="288"/>
      </w:pPr>
      <w:r>
        <w:rPr>
          <w:sz w:val="21"/>
        </w:rPr>
        <w:t>Added to Data Availability: the repository with release tag v2.1.0, Python 3.11.9 and NumPy 2.4.6, and archival DOIs for both the code (10.5281/zenodo.22178234) and this manuscript with its response letter (10.5281/zenodo.22178232). The commands that regenerate every number are listed.</w:t>
      </w:r>
    </w:p>
    <w:p>
      <w:pPr>
        <w:spacing w:before="300" w:after="100"/>
      </w:pPr>
      <w:r>
        <w:rPr>
          <w:b/>
          <w:sz w:val="26"/>
        </w:rPr>
        <w:t>Reviewer 2</w:t>
      </w:r>
    </w:p>
    <w:p>
      <w:pPr>
        <w:spacing w:before="180" w:after="60"/>
      </w:pPr>
      <w:r>
        <w:rPr>
          <w:b/>
          <w:sz w:val="21"/>
        </w:rPr>
        <w:t xml:space="preserve">1.  </w:t>
      </w:r>
      <w:r>
        <w:rPr>
          <w:i/>
          <w:sz w:val="20"/>
        </w:rPr>
        <w:t>Contrast MVC with solar-driven interfacial evaporation; four papers named.</w:t>
      </w:r>
    </w:p>
    <w:p>
      <w:pPr>
        <w:spacing w:after="120"/>
        <w:ind w:left="288"/>
      </w:pPr>
      <w:r>
        <w:rPr>
          <w:sz w:val="21"/>
        </w:rPr>
        <w:t>Added in Section 5.3. Three of the four named papers are cited. I was unable to match the fourth: International Journal of Biological Macromolecules 370 (2026) 152880 resolves to 'Efficient fabrication of cellulose-based hydrogels for effective heavy metal ion adsorption from oral medical wastewater', which does not appear to concern solar interfacial evaporation. If a different reference was intended I would be glad to include it.</w:t>
      </w:r>
    </w:p>
    <w:p>
      <w:pPr>
        <w:spacing w:before="180" w:after="60"/>
      </w:pPr>
      <w:r>
        <w:rPr>
          <w:b/>
          <w:sz w:val="21"/>
        </w:rPr>
        <w:t xml:space="preserve">2.  </w:t>
      </w:r>
      <w:r>
        <w:rPr>
          <w:i/>
          <w:sz w:val="20"/>
        </w:rPr>
        <w:t>No probabilistic uncertainty analysis; state that CAPEX uncertainty dominates.</w:t>
      </w:r>
    </w:p>
    <w:p>
      <w:pPr>
        <w:spacing w:after="120"/>
        <w:ind w:left="288"/>
      </w:pPr>
      <w:r>
        <w:rPr>
          <w:sz w:val="21"/>
        </w:rPr>
        <w:t>A Monte Carlo over thirteen uncertain parameters with 300,000 samples now replaces the one-at-a-time tornado as the primary uncertainty result (Tables 7 and 8, Figure 5). CAPEX uncertainty turns out not to dominate: reagent cost does. The net levelized cost is $2.20 m-3 with a 90% interval of $1.38-$3.01.</w:t>
      </w:r>
    </w:p>
    <w:p>
      <w:pPr>
        <w:spacing w:before="180" w:after="60"/>
      </w:pPr>
      <w:r>
        <w:rPr>
          <w:b/>
          <w:sz w:val="21"/>
        </w:rPr>
        <w:t xml:space="preserve">3.  </w:t>
      </w:r>
      <w:r>
        <w:rPr>
          <w:i/>
          <w:sz w:val="20"/>
        </w:rPr>
        <w:t>Environmental assessment covers only grid CO2; add solar comparison and subsurface intake risks.</w:t>
      </w:r>
    </w:p>
    <w:p>
      <w:pPr>
        <w:spacing w:after="120"/>
        <w:ind w:left="288"/>
      </w:pPr>
      <w:r>
        <w:rPr>
          <w:sz w:val="21"/>
        </w:rPr>
        <w:t>Section 4.4 is rewritten. The larger finding is that the original assessment counted only about a third of the emissions: reagent embodied carbon adds 10.0 kg CO2 m-3 against 5.2 kg from electricity, and the carbonate product fixes only 0.94 kg. Figure 6 shows the account against grid carbon intensity. Aquifer clogging and saline intrusion are now discussed explicitly as site-dependent intake risks.</w:t>
      </w:r>
    </w:p>
    <w:p>
      <w:pPr>
        <w:spacing w:before="180" w:after="60"/>
      </w:pPr>
      <w:r>
        <w:rPr>
          <w:b/>
          <w:sz w:val="21"/>
        </w:rPr>
        <w:t xml:space="preserve">4.  </w:t>
      </w:r>
      <w:r>
        <w:rPr>
          <w:i/>
          <w:sz w:val="20"/>
        </w:rPr>
        <w:t>Residual liquid fraction is model-derived; emphasise the lack of pilot validation.</w:t>
      </w:r>
    </w:p>
    <w:p>
      <w:pPr>
        <w:spacing w:after="120"/>
        <w:ind w:left="288"/>
      </w:pPr>
      <w:r>
        <w:rPr>
          <w:sz w:val="21"/>
        </w:rPr>
        <w:t>Stated where the figure first appears rather than only in Limitations, together with the observation that leakage, blowdown and operational upsets would raise the real value. Section 5.6 proposes three specific bench-scale measurements that would test the three consistency tests independently.</w:t>
      </w:r>
    </w:p>
    <w:p>
      <w:pPr>
        <w:spacing w:before="300" w:after="100"/>
      </w:pPr>
      <w:r>
        <w:rPr>
          <w:b/>
          <w:sz w:val="26"/>
        </w:rPr>
        <w:t>Reviewer 3</w:t>
      </w:r>
    </w:p>
    <w:p>
      <w:pPr>
        <w:spacing w:before="180" w:after="60"/>
      </w:pPr>
      <w:r>
        <w:rPr>
          <w:b/>
          <w:sz w:val="21"/>
        </w:rPr>
        <w:t xml:space="preserve">Overall.  </w:t>
      </w:r>
      <w:r>
        <w:rPr>
          <w:i/>
          <w:sz w:val="20"/>
        </w:rPr>
        <w:t>A preliminary design exercise rather than a sufficiently developed technical paper; key parameters and pathways not adequately justified.</w:t>
      </w:r>
    </w:p>
    <w:p>
      <w:pPr>
        <w:spacing w:after="120"/>
        <w:ind w:left="288"/>
      </w:pPr>
      <w:r>
        <w:rPr>
          <w:sz w:val="21"/>
        </w:rPr>
        <w:t>I accept the characterisation of the original. The revision responds by changing what the paper claims to be: rather than presenting a design, it tests one against physical bounds and reports that it fails two of three tests as specified. The parameters the reviewer identified as unjustified are precisely the ones the tests were built around.</w:t>
      </w:r>
    </w:p>
    <w:p>
      <w:pPr>
        <w:spacing w:before="180" w:after="60"/>
      </w:pPr>
      <w:r>
        <w:rPr>
          <w:b/>
          <w:sz w:val="21"/>
        </w:rPr>
        <w:t xml:space="preserve">p.2.  </w:t>
      </w:r>
      <w:r>
        <w:rPr>
          <w:i/>
          <w:sz w:val="20"/>
        </w:rPr>
        <w:t>Review recent SWRO SEC literature; modern plants are 2.5-3.5 kWh/m3; see doi 10.1016/j.ecmx.2026.101682.</w:t>
      </w:r>
    </w:p>
    <w:p>
      <w:pPr>
        <w:spacing w:after="120"/>
        <w:ind w:left="288"/>
      </w:pPr>
      <w:r>
        <w:rPr>
          <w:sz w:val="21"/>
        </w:rPr>
        <w:t>The named paper is cited and its 1.794 kWh m-3 measurement quoted in the Introduction and Section 5.1. The 3.95 kWh m-3 comparator is withdrawn and the energy claim with it.</w:t>
      </w:r>
    </w:p>
    <w:p>
      <w:pPr>
        <w:spacing w:before="180" w:after="60"/>
      </w:pPr>
      <w:r>
        <w:rPr>
          <w:b/>
          <w:sz w:val="21"/>
        </w:rPr>
        <w:t xml:space="preserve">p.3.  </w:t>
      </w:r>
      <w:r>
        <w:rPr>
          <w:i/>
          <w:sz w:val="20"/>
        </w:rPr>
        <w:t>'ILEDBV' undefined; unclear how Figure 1 was developed.</w:t>
      </w:r>
    </w:p>
    <w:p>
      <w:pPr>
        <w:spacing w:after="120"/>
        <w:ind w:left="288"/>
      </w:pPr>
      <w:r>
        <w:rPr>
          <w:sz w:val="21"/>
        </w:rPr>
        <w:t>The acronym is expanded at first use. Figure 1 is now explicitly described as the author's conceptual integration of five separately published component technologies, not a description of an existing installation.</w:t>
      </w:r>
    </w:p>
    <w:p>
      <w:pPr>
        <w:spacing w:before="180" w:after="60"/>
      </w:pPr>
      <w:r>
        <w:rPr>
          <w:b/>
          <w:sz w:val="21"/>
        </w:rPr>
        <w:t xml:space="preserve">4.1.  </w:t>
      </w:r>
      <w:r>
        <w:rPr>
          <w:i/>
          <w:sz w:val="20"/>
        </w:rPr>
        <w:t>SWRO design detail needed: design flux, target product quality, second-pass BWRO for boron or chloride and if not, why.</w:t>
      </w:r>
    </w:p>
    <w:p>
      <w:pPr>
        <w:spacing w:after="120"/>
        <w:ind w:left="288"/>
      </w:pPr>
      <w:r>
        <w:rPr>
          <w:sz w:val="21"/>
        </w:rPr>
        <w:t>Section 2.3 is new and addresses this directly. First-pass permeate is approximately 250 mg L-1 TDS and 140 mg L-1 chloride, both comfortably potable, so the parameter that decides whether a second pass is needed is boron. Boron rejection is not a single number - it falls as elements age and rises with temperature and pH - so across seawater boron of 4.6-5.5 mg L-1 and rejection of 72-88%, first-pass permeate boron is 0.55-1.54 mg L-1. That complies with the WHO guideline of 2.4 mg L-1 in every case, and with the EU limit of 1.5 mg L-1 in all but the most severe, but it straddles the 1.0 mg L-1 figure common in municipal supply contracts and exceeds a 0.5 mg L-1 irrigation limit in every case. The second pass is therefore presented as a conditional requirement rather than an absolute one, and the energy comparison in Section 5.1 is reported both with and without it. A gravity-fed second pass was also considered and rejected: 12 bar requires 122 m of static head.</w:t>
      </w:r>
    </w:p>
    <w:p>
      <w:pPr>
        <w:spacing w:before="180" w:after="60"/>
      </w:pPr>
      <w:r>
        <w:rPr>
          <w:b/>
          <w:sz w:val="21"/>
        </w:rPr>
        <w:t xml:space="preserve">p.9 NF.  </w:t>
      </w:r>
      <w:r>
        <w:rPr>
          <w:i/>
          <w:sz w:val="20"/>
        </w:rPr>
        <w:t>Which NF membrane; what rejections; what recovery, pressure and flux.</w:t>
      </w:r>
    </w:p>
    <w:p>
      <w:pPr>
        <w:spacing w:after="120"/>
        <w:ind w:left="288"/>
      </w:pPr>
      <w:r>
        <w:rPr>
          <w:sz w:val="21"/>
        </w:rPr>
        <w:t>The reviewer's question exposed a mislabelling. At the rejections assumed the stage is not nanofiltration. Section 2.4 renames it a high-pressure, low-salt-rejection RO stage, states the assumed rejections explicitly, and reports that a genuine NF element at 30% monovalent rejection would give a crystallizer feed of 91.3 g L-1 rather than 124.8 g L-1.</w:t>
      </w:r>
    </w:p>
    <w:p>
      <w:pPr>
        <w:spacing w:before="180" w:after="60"/>
      </w:pPr>
      <w:r>
        <w:rPr>
          <w:b/>
          <w:sz w:val="21"/>
        </w:rPr>
        <w:t xml:space="preserve">p.9 Precip.  </w:t>
      </w:r>
      <w:r>
        <w:rPr>
          <w:i/>
          <w:sz w:val="20"/>
        </w:rPr>
        <w:t>Reagents, dosages, residence time, reactor volume, solid-liquid separation, product water content and purity.</w:t>
      </w:r>
    </w:p>
    <w:p>
      <w:pPr>
        <w:spacing w:after="120"/>
        <w:ind w:left="288"/>
      </w:pPr>
      <w:r>
        <w:rPr>
          <w:sz w:val="21"/>
        </w:rPr>
        <w:t>Table 4 gives the full design basis: reagent identity and dosage on a stoichiometric basis with stated excess, residence times, reactor volumes per unit feed, the separation train, and assumed cake solids. Product purity is discussed against the sodium chloride background that governs it.</w:t>
      </w:r>
    </w:p>
    <w:p>
      <w:pPr>
        <w:spacing w:before="180" w:after="60"/>
      </w:pPr>
      <w:r>
        <w:rPr>
          <w:b/>
          <w:sz w:val="21"/>
        </w:rPr>
        <w:t xml:space="preserve">p.9 MVC.  </w:t>
      </w:r>
      <w:r>
        <w:rPr>
          <w:i/>
          <w:sz w:val="20"/>
        </w:rPr>
        <w:t>Crystallizer inlet concentration; salinity profile and ionic composition through each step.</w:t>
      </w:r>
    </w:p>
    <w:p>
      <w:pPr>
        <w:spacing w:after="120"/>
        <w:ind w:left="288"/>
      </w:pPr>
      <w:r>
        <w:rPr>
          <w:sz w:val="21"/>
        </w:rPr>
        <w:t>Table 1 is new and gives the ion-by-ion composition of every stream. The crystallizer feed is 124.8 g L-1. The table also exposed something the original analysis missed: calcium rises from 1.48 to 7.53 g L-1 across the precipitation train because lime returns one calcium ion per magnesium precipitated, and total dissolved solids rise rather than fall.</w:t>
      </w:r>
    </w:p>
    <w:p>
      <w:pPr>
        <w:spacing w:before="180" w:after="60"/>
      </w:pPr>
      <w:r>
        <w:rPr>
          <w:b/>
          <w:sz w:val="21"/>
        </w:rPr>
        <w:t xml:space="preserve">4.3.  </w:t>
      </w:r>
      <w:r>
        <w:rPr>
          <w:i/>
          <w:sz w:val="20"/>
        </w:rPr>
        <w:t>Recovery yield and product purity depend on many factors; discuss in greater detail with literature support.</w:t>
      </w:r>
    </w:p>
    <w:p>
      <w:pPr>
        <w:spacing w:after="120"/>
        <w:ind w:left="288"/>
      </w:pPr>
      <w:r>
        <w:rPr>
          <w:sz w:val="21"/>
        </w:rPr>
        <w:t>Discussed in Sections 4.3 and 5.5 with reference to work quantifying how the sodium chloride background affects yield, purity, morphology and carbonate polymorph, and to product-quality-directed studies that have produced specification-grade solids from brine feeds.</w:t>
      </w:r>
    </w:p>
    <w:p>
      <w:pPr>
        <w:spacing w:before="180" w:after="60"/>
      </w:pPr>
      <w:r>
        <w:rPr>
          <w:b/>
          <w:sz w:val="21"/>
        </w:rPr>
        <w:t xml:space="preserve">4.4.  </w:t>
      </w:r>
      <w:r>
        <w:rPr>
          <w:i/>
          <w:sz w:val="20"/>
        </w:rPr>
        <w:t>Product quality and price vary by application; the economic assessment is too vague.</w:t>
      </w:r>
    </w:p>
    <w:p>
      <w:pPr>
        <w:spacing w:after="120"/>
        <w:ind w:left="288"/>
      </w:pPr>
      <w:r>
        <w:rPr>
          <w:sz w:val="21"/>
        </w:rPr>
        <w:t>Given the corrected reagent costs, the economics no longer turn on which grade is targeted: the reagent cost exceeds the mineral credit across the full range of prices and sellable fractions sampled. This is stated rather than obscured.</w:t>
      </w:r>
    </w:p>
    <w:p>
      <w:pPr>
        <w:spacing w:before="180" w:after="60"/>
      </w:pPr>
      <w:r>
        <w:rPr>
          <w:b/>
          <w:sz w:val="21"/>
        </w:rPr>
        <w:t xml:space="preserve">Minor.  </w:t>
      </w:r>
      <w:r>
        <w:rPr>
          <w:i/>
          <w:sz w:val="20"/>
        </w:rPr>
        <w:t>Misplaced intake discussion; equation notation; equation numbering; table numbers and titles.</w:t>
      </w:r>
    </w:p>
    <w:p>
      <w:pPr>
        <w:spacing w:after="120"/>
        <w:ind w:left="288"/>
      </w:pPr>
      <w:r>
        <w:rPr>
          <w:sz w:val="21"/>
        </w:rPr>
        <w:t>All corrected. The intake discussion is moved out of the brine-management material into Section 2.2; equations are properly set and numbered (1)-(14); all twelve tables are numbered with descriptive captions.</w:t>
      </w:r>
    </w:p>
    <w:p>
      <w:pPr>
        <w:spacing w:before="300" w:after="100"/>
      </w:pPr>
      <w:r>
        <w:rPr>
          <w:b/>
          <w:sz w:val="26"/>
        </w:rPr>
        <w:t>Reviewer 4</w:t>
      </w:r>
    </w:p>
    <w:p>
      <w:pPr>
        <w:spacing w:before="180" w:after="60"/>
      </w:pPr>
      <w:r>
        <w:rPr>
          <w:b/>
          <w:sz w:val="21"/>
        </w:rPr>
        <w:t xml:space="preserve">1.  </w:t>
      </w:r>
      <w:r>
        <w:rPr>
          <w:i/>
          <w:sz w:val="20"/>
        </w:rPr>
        <w:t>Does not follow the structure and formatting of a research paper; reads as a short technical report.</w:t>
      </w:r>
    </w:p>
    <w:p>
      <w:pPr>
        <w:spacing w:after="120"/>
        <w:ind w:left="288"/>
      </w:pPr>
      <w:r>
        <w:rPr>
          <w:sz w:val="21"/>
        </w:rPr>
        <w:t>The manuscript is restructured throughout, with a continuous-prose Introduction, a formal model section with numbered equations and a nomenclature, twelve captioned tables and nine figures.</w:t>
      </w:r>
    </w:p>
    <w:p>
      <w:pPr>
        <w:spacing w:before="180" w:after="60"/>
      </w:pPr>
      <w:r>
        <w:rPr>
          <w:b/>
          <w:sz w:val="21"/>
        </w:rPr>
        <w:t xml:space="preserve">2.  </w:t>
      </w:r>
      <w:r>
        <w:rPr>
          <w:i/>
          <w:sz w:val="20"/>
        </w:rPr>
        <w:t>Scientific contribution beyond integration is unclear.</w:t>
      </w:r>
    </w:p>
    <w:p>
      <w:pPr>
        <w:spacing w:after="120"/>
        <w:ind w:left="288"/>
      </w:pPr>
      <w:r>
        <w:rPr>
          <w:sz w:val="21"/>
        </w:rPr>
        <w:t>The contribution is restated and is no longer the integration. It is a set of three consistency tests that any brine-valorization architecture must pass, and the finding that magnesium recovery from a chloride brine is limited by alkalinity rather than by magnesium - a result that generalizes beyond this architecture, since two equivalents of base per mole of product are required however the base is supplied.</w:t>
      </w:r>
    </w:p>
    <w:p>
      <w:pPr>
        <w:spacing w:before="180" w:after="60"/>
      </w:pPr>
      <w:r>
        <w:rPr>
          <w:b/>
          <w:sz w:val="21"/>
        </w:rPr>
        <w:t xml:space="preserve">3.  </w:t>
      </w:r>
      <w:r>
        <w:rPr>
          <w:i/>
          <w:sz w:val="20"/>
        </w:rPr>
        <w:t>Introduction requires major revision; research gap not identified.</w:t>
      </w:r>
    </w:p>
    <w:p>
      <w:pPr>
        <w:spacing w:after="120"/>
        <w:ind w:left="288"/>
      </w:pPr>
      <w:r>
        <w:rPr>
          <w:sz w:val="21"/>
        </w:rPr>
        <w:t>Rewritten; see the response to Reviewer 1, comment 1.</w:t>
      </w:r>
    </w:p>
    <w:p>
      <w:pPr>
        <w:spacing w:before="180" w:after="60"/>
      </w:pPr>
      <w:r>
        <w:rPr>
          <w:b/>
          <w:sz w:val="21"/>
        </w:rPr>
        <w:t xml:space="preserve">4.  </w:t>
      </w:r>
      <w:r>
        <w:rPr>
          <w:i/>
          <w:sz w:val="20"/>
        </w:rPr>
        <w:t>Several parts appear AI-generated; generic statements and unsupported claims.</w:t>
      </w:r>
    </w:p>
    <w:p>
      <w:pPr>
        <w:spacing w:after="120"/>
        <w:ind w:left="288"/>
      </w:pPr>
      <w:r>
        <w:rPr>
          <w:sz w:val="21"/>
        </w:rPr>
        <w:t>I take this seriously and can identify a specific cause.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has been removed. Beyond that, the revision replaces unsupported generic statements with results derived from stated physical bounds, and every reference has been verified against Crossref rather than cited from memory. Generative AI was used as a drafting and analysis aid; all modelling decisions, the interpretation, and responsibility for the content are mine.</w:t>
      </w:r>
    </w:p>
    <w:p>
      <w:pPr>
        <w:spacing w:before="180" w:after="60"/>
      </w:pPr>
      <w:r>
        <w:rPr>
          <w:b/>
          <w:sz w:val="21"/>
        </w:rPr>
        <w:t xml:space="preserve">5.  </w:t>
      </w:r>
      <w:r>
        <w:rPr>
          <w:i/>
          <w:sz w:val="20"/>
        </w:rPr>
        <w:t>Equations lack rigour; assumptions, variables, boundaries and sources unclear; the calculation should be independently reproducible.</w:t>
      </w:r>
    </w:p>
    <w:p>
      <w:pPr>
        <w:spacing w:after="120"/>
        <w:ind w:left="288"/>
      </w:pPr>
      <w:r>
        <w:rPr>
          <w:sz w:val="21"/>
        </w:rPr>
        <w:t>Equations (1)-(14) are numbered and defined, the system boundary is stated per balance, the solution procedure is given in Section 3, and the complete model is deposited so that every table and figure can be regenerated from it.</w:t>
      </w:r>
    </w:p>
    <w:p>
      <w:pPr>
        <w:spacing w:before="180" w:after="60"/>
      </w:pPr>
      <w:r>
        <w:rPr>
          <w:b/>
          <w:sz w:val="21"/>
        </w:rPr>
        <w:t xml:space="preserve">6.  </w:t>
      </w:r>
      <w:r>
        <w:rPr>
          <w:i/>
          <w:sz w:val="20"/>
        </w:rPr>
        <w:t>Energy consumption appears excessively high; the 3.95 kWh/m3 conventional baseline is questionable when 2.2-2.4 is achievable.</w:t>
      </w:r>
    </w:p>
    <w:p>
      <w:pPr>
        <w:spacing w:after="120"/>
        <w:ind w:left="288"/>
      </w:pPr>
      <w:r>
        <w:rPr>
          <w:sz w:val="21"/>
        </w:rPr>
        <w:t>Accepted without qualification. The comparator is withdrawn, as is the 31% advantage claim built on it. Section 5.1 now compares against the 2.5-3.5 kWh m-3 range and the audited 1.794 kWh m-3 measurement, and concludes that the architecture offers no material energy advantage at the desalination stage. Reviewers 3 and 4 were both correct on this point and it is the reason the paper is reframed.</w:t>
      </w:r>
    </w:p>
    <w:p>
      <w:pPr>
        <w:spacing w:before="300" w:after="100"/>
      </w:pPr>
      <w:r>
        <w:rPr>
          <w:b/>
          <w:sz w:val="26"/>
        </w:rPr>
        <w:t>Closing</w:t>
      </w:r>
    </w:p>
    <w:p>
      <w:pPr>
        <w:spacing w:after="160"/>
      </w:pPr>
      <w:r>
        <w:rPr>
          <w:b w:val="0"/>
          <w:i w:val="0"/>
          <w:sz w:val="21"/>
        </w:rPr>
        <w:t>The revision is substantially different from the original, and its conclusions are less favourable to the architecture than those I first submitted. I believe that is the correct outcome of the review, and that a result anchored to thermodynamic and stoichiometric bounds - including where those bounds are not met - is of more use to this field than the claim it replaces. I am grateful to the reviewers for the care that produced it.</w:t>
      </w:r>
    </w:p>
    <w:p>
      <w:pPr>
        <w:spacing w:after="160"/>
      </w:pPr>
      <w:r>
        <w:rPr>
          <w:b/>
          <w:i w:val="0"/>
          <w:sz w:val="21"/>
        </w:rPr>
        <w:t>Leon Sandler</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