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Assumed brine-concentrator energy lies below the least work of separation</w:t>
      </w:r>
    </w:p>
    <w:p>
      <w:pPr>
        <w:pStyle w:val="ListBullet"/>
      </w:pPr>
      <w:r>
        <w:t>Alkalinity, not magnesium, limits Mg recovery from SWRO brine by precipitation</w:t>
      </w:r>
    </w:p>
    <w:p>
      <w:pPr>
        <w:pStyle w:val="ListBullet"/>
      </w:pPr>
      <w:r>
        <w:t>Lime dosing releases 5.3 times more calcium than the carbonate step removes</w:t>
      </w:r>
    </w:p>
    <w:p>
      <w:pPr>
        <w:pStyle w:val="ListBullet"/>
      </w:pPr>
      <w:r>
        <w:t>Explicit reagent costing gives net LCOW of $2.20/m3 vs $0.76/m3 for SWRO</w:t>
      </w:r>
    </w:p>
    <w:p>
      <w:pPr>
        <w:pStyle w:val="ListBullet"/>
      </w:pPr>
      <w:r>
        <w:t>No on-site base closes the calcium loop above $0.069/kWh electricity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