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b/>
          <w:sz w:val="30"/>
        </w:rPr>
        <w:t>Response to Reviewers — DWT-D-26-01366</w:t>
      </w:r>
    </w:p>
    <w:p>
      <w:pPr>
        <w:spacing w:after="160"/>
      </w:pPr>
      <w:r>
        <w:rPr>
          <w:b w:val="0"/>
          <w:i/>
          <w:sz w:val="20"/>
        </w:rPr>
        <w:t>Process and Technoeconomic Assessment of Integrated Subsurface-Intake SWRO, Isobaric Energy Recovery, and Near-Zero-Liquid-Discharge Brine Valorization</w:t>
      </w:r>
    </w:p>
    <w:p>
      <w:pPr>
        <w:spacing w:after="160"/>
      </w:pPr>
      <w:r>
        <w:rPr>
          <w:b w:val="0"/>
          <w:i/>
          <w:sz w:val="20"/>
        </w:rPr>
        <w:t>Revised title: Consistency Testing of an Integrated Subsurface-Intake SWRO and Brine-Valorization Architecture: Alkalinity as the Binding Constraint</w:t>
      </w:r>
    </w:p>
    <w:p>
      <w:pPr>
        <w:spacing w:before="300" w:after="100"/>
      </w:pPr>
      <w:r>
        <w:rPr>
          <w:b/>
          <w:sz w:val="24"/>
        </w:rPr>
        <w:t>Summary of the revision</w:t>
      </w:r>
    </w:p>
    <w:p>
      <w:pPr>
        <w:spacing w:after="160"/>
      </w:pPr>
      <w:r>
        <w:rPr>
          <w:b w:val="0"/>
          <w:i w:val="0"/>
          <w:sz w:val="21"/>
        </w:rPr>
        <w:t>I am grateful to all four reviewers. The comments identified two errors that changed the paper's conclusions, and the revision follows where they led rather than defending the original position.</w:t>
      </w:r>
    </w:p>
    <w:p>
      <w:pPr>
        <w:spacing w:after="160"/>
      </w:pPr>
      <w:r>
        <w:rPr>
          <w:b w:val="0"/>
          <w:i w:val="0"/>
          <w:sz w:val="21"/>
        </w:rPr>
        <w:t>First, Reviewer 1 questioned the brine-concentrator energy. Checking it against the least work of separation showed the assumed range of 0.5-1.0 kWh per cubic metre of brine to lie at or below the reversible minimum of 0.94 kWh m-3 for that feed. The assumption was not merely optimistic but thermodynamically inadmissible. The revision replaces it with a bounded estimate of 1.7-3.8 kWh m-3, obtained from the reversible minimum and a 25-55% second-law efficiency range. We are careful to call this a bounded estimate rather than an attainable value, since it is derived rather than measured.</w:t>
      </w:r>
    </w:p>
    <w:p>
      <w:pPr>
        <w:spacing w:after="160"/>
      </w:pPr>
      <w:r>
        <w:rPr>
          <w:b w:val="0"/>
          <w:i w:val="0"/>
          <w:sz w:val="21"/>
        </w:rPr>
        <w:t>Second, Reviewers 1 and 3 asked for reagent detail and a proper OPEX breakdown. Costing the precipitation reagents explicitly rather than as a share of operating cost revealed that soda ash and lime cost a median $1.70 per cubic metre of permeate against a realisable mineral credit of $1.25. The economic case does not close, and the embodied carbon of those same reagents, 10.0 kg CO2 m-3, is roughly double the grid-electricity emissions the original counted.</w:t>
      </w:r>
    </w:p>
    <w:p>
      <w:pPr>
        <w:spacing w:after="160"/>
      </w:pPr>
      <w:r>
        <w:rPr>
          <w:b/>
          <w:i w:val="0"/>
          <w:sz w:val="21"/>
        </w:rPr>
        <w:t>Reviewers 3 and 4 both judged the energy comparator unsound, and they were right. The claim of a 31% advantage over conventional SWRO is withdrawn. The paper is reframed around a consistency-testing method and reports honestly that the architecture fails two of its own three tests as specified. I recognise this is an unusual revision, but I believe a quantified negative result anchored to physical bounds is more useful than the original claim.</w:t>
      </w:r>
    </w:p>
    <w:p>
      <w:pPr>
        <w:spacing w:before="300" w:after="100"/>
      </w:pPr>
      <w:r>
        <w:rPr>
          <w:b/>
          <w:sz w:val="26"/>
        </w:rPr>
        <w:t>Reviewer 1</w:t>
      </w:r>
    </w:p>
    <w:p>
      <w:pPr>
        <w:spacing w:before="180" w:after="60"/>
      </w:pPr>
      <w:r>
        <w:rPr>
          <w:b/>
          <w:sz w:val="21"/>
        </w:rPr>
        <w:t xml:space="preserve">1.  </w:t>
      </w:r>
      <w:r>
        <w:rPr>
          <w:i/>
          <w:sz w:val="20"/>
        </w:rPr>
        <w:t>Introduction should not be subdivided; too brief; review recent progress for each technology; discuss partial integrations and remaining challenges.</w:t>
      </w:r>
    </w:p>
    <w:p>
      <w:pPr>
        <w:spacing w:after="120"/>
        <w:ind w:left="288"/>
      </w:pPr>
      <w:r>
        <w:rPr>
          <w:sz w:val="21"/>
        </w:rPr>
        <w:t>The Introduction is rewritten as continuous prose with the subsections removed, and now reviews recent progress for each of the five technologies with 25 references, every one verified against Crossref. A dedicated paragraph sets out which pairs of technologies have already been integrated, which have been studied only in isolation, and what the interactions between them reveal - which is the gap the study addresses.</w:t>
      </w:r>
    </w:p>
    <w:p>
      <w:pPr>
        <w:spacing w:before="180" w:after="60"/>
      </w:pPr>
      <w:r>
        <w:rPr>
          <w:b/>
          <w:sz w:val="21"/>
        </w:rPr>
        <w:t xml:space="preserve">2.  </w:t>
      </w:r>
      <w:r>
        <w:rPr>
          <w:i/>
          <w:sz w:val="20"/>
        </w:rPr>
        <w:t>Equations and variables need clearer definition and journal formatting; add a calculation workflow.</w:t>
      </w:r>
    </w:p>
    <w:p>
      <w:pPr>
        <w:spacing w:after="120"/>
        <w:ind w:left="288"/>
      </w:pPr>
      <w:r>
        <w:rPr>
          <w:sz w:val="21"/>
        </w:rPr>
        <w:t>Thirteen equations are now numbered consecutively and set as displayed equations. A Nomenclature table defines every symbol with units. Section 3 opens with the solution procedure, stating the order in which the balances are solved and noting that no iteration is required.</w:t>
      </w:r>
    </w:p>
    <w:p>
      <w:pPr>
        <w:spacing w:before="180" w:after="60"/>
      </w:pPr>
      <w:r>
        <w:rPr>
          <w:b/>
          <w:sz w:val="21"/>
        </w:rPr>
        <w:t xml:space="preserve">3.  </w:t>
      </w:r>
      <w:r>
        <w:rPr>
          <w:i/>
          <w:sz w:val="20"/>
        </w:rPr>
        <w:t>Justify the choice of models; validate against independent data.</w:t>
      </w:r>
    </w:p>
    <w:p>
      <w:pPr>
        <w:spacing w:after="120"/>
        <w:ind w:left="288"/>
      </w:pPr>
      <w:r>
        <w:rPr>
          <w:sz w:val="21"/>
        </w:rPr>
        <w:t>The revision changes the basis of justification. Rather than defending each adopted model, each subsystem is now tested against a physical or stoichiometric bound that any correct model must respect - the least work of separation for the concentrator, the polarization factor for boundary-layer effects, and the alkalinity stoichiometry for precipitation. Two of the three tests are failed by the architecture as originally specified, which is reported.</w:t>
      </w:r>
    </w:p>
    <w:p>
      <w:pPr>
        <w:spacing w:before="180" w:after="60"/>
      </w:pPr>
      <w:r>
        <w:rPr>
          <w:b/>
          <w:sz w:val="21"/>
        </w:rPr>
        <w:t xml:space="preserve">4.  </w:t>
      </w:r>
      <w:r>
        <w:rPr>
          <w:i/>
          <w:sz w:val="20"/>
        </w:rPr>
        <w:t>NF concentrator energy questionable at 63.5 to 121 g/L; 50% recovery optimistic; monovalent leakage; cite high-salinity NF literature; fouling and scaling; CAPEX/OPEX inclusion.</w:t>
      </w:r>
    </w:p>
    <w:p>
      <w:pPr>
        <w:spacing w:after="120"/>
        <w:ind w:left="288"/>
      </w:pPr>
      <w:r>
        <w:rPr>
          <w:sz w:val="21"/>
        </w:rPr>
        <w:t>This comment produced the most consequential change in the revision. Section 4.5 shows the assumed energy to be below the reversible minimum and replaces it with a bounded estimate; Figure 3 presents the test. Separately, the stage was mislabelled: at 90% monovalent rejection it is not nanofiltration but a high-pressure, low-salt-rejection RO stage, and Section 2.4 now says so and reports what a genuine NF element would give instead. The +40% uplift is now stated as a sampled range rather than a point value, and Table 4 gives the OPEX composition.</w:t>
      </w:r>
    </w:p>
    <w:p>
      <w:pPr>
        <w:spacing w:before="180" w:after="60"/>
      </w:pPr>
      <w:r>
        <w:rPr>
          <w:b/>
          <w:sz w:val="21"/>
        </w:rPr>
        <w:t xml:space="preserve">5.  </w:t>
      </w:r>
      <w:r>
        <w:rPr>
          <w:i/>
          <w:sz w:val="20"/>
        </w:rPr>
        <w:t>Economic model lacks OPEX detail; +40% CAPEX uplift assumed; show 20-60% sensitivity; ZLD crystallizer CAPEX may make +40% optimistic.</w:t>
      </w:r>
    </w:p>
    <w:p>
      <w:pPr>
        <w:spacing w:after="120"/>
        <w:ind w:left="288"/>
      </w:pPr>
      <w:r>
        <w:rPr>
          <w:sz w:val="21"/>
        </w:rPr>
        <w:t>Table 4 now gives a nine-line OPEX breakdown with the basis for each line. The largest item is not electricity but the precipitation reagents. The CAPEX uplift is sampled across 20-60% in the Monte Carlo rather than fixed, and the uplift is explicitly identified as an assumption rather than a quotation.</w:t>
      </w:r>
    </w:p>
    <w:p>
      <w:pPr>
        <w:spacing w:before="180" w:after="60"/>
      </w:pPr>
      <w:r>
        <w:rPr>
          <w:b/>
          <w:sz w:val="21"/>
        </w:rPr>
        <w:t xml:space="preserve">6.  </w:t>
      </w:r>
      <w:r>
        <w:rPr>
          <w:i/>
          <w:sz w:val="20"/>
        </w:rPr>
        <w:t>Add comparison with existing literature.</w:t>
      </w:r>
    </w:p>
    <w:p>
      <w:pPr>
        <w:spacing w:after="120"/>
        <w:ind w:left="288"/>
      </w:pPr>
      <w:r>
        <w:rPr>
          <w:sz w:val="21"/>
        </w:rPr>
        <w:t>Section 5.1 compares the corrected SEC against the modern SWRO range and against the audited plant measurement Reviewer 3 supplied. Section 5.2 compares the economic result against the brine-valorization literature and offers an explanation for the divergence: those assessments generally do not cost the alkalinity.</w:t>
      </w:r>
    </w:p>
    <w:p>
      <w:pPr>
        <w:spacing w:before="180" w:after="60"/>
      </w:pPr>
      <w:r>
        <w:rPr>
          <w:b/>
          <w:sz w:val="21"/>
        </w:rPr>
        <w:t xml:space="preserve">7.  </w:t>
      </w:r>
      <w:r>
        <w:rPr>
          <w:i/>
          <w:sz w:val="20"/>
        </w:rPr>
        <w:t>CaCO3 credited at 100% sellable and full price is unrealistic.</w:t>
      </w:r>
    </w:p>
    <w:p>
      <w:pPr>
        <w:spacing w:after="120"/>
        <w:ind w:left="288"/>
      </w:pPr>
      <w:r>
        <w:rPr>
          <w:sz w:val="21"/>
        </w:rPr>
        <w:t>Accepted. A sellable fraction of 50-70% is now sampled for calcium carbonate, as it already was for magnesium hydroxide, and Section 4.3 discusses the purity, particle size and brightness constraints that determine whether recovered carbonate meets any specification. Transport and refining remain outside the boundary and are therefore uncredited, which is stated. The fraction is included in the Monte Carlo.</w:t>
      </w:r>
    </w:p>
    <w:p>
      <w:pPr>
        <w:spacing w:before="180" w:after="60"/>
      </w:pPr>
      <w:r>
        <w:rPr>
          <w:b/>
          <w:sz w:val="21"/>
        </w:rPr>
        <w:t xml:space="preserve">8.  </w:t>
      </w:r>
      <w:r>
        <w:rPr>
          <w:i/>
          <w:sz w:val="20"/>
        </w:rPr>
        <w:t>MVC at 11.5 kWh/m3 may be at the upper bound; discuss degradation and scaling; consider membrane distillation and freeze crystallization.</w:t>
      </w:r>
    </w:p>
    <w:p>
      <w:pPr>
        <w:spacing w:after="120"/>
        <w:ind w:left="288"/>
      </w:pPr>
      <w:r>
        <w:rPr>
          <w:sz w:val="21"/>
        </w:rPr>
        <w:t>Crystallizer energy is sampled across 8-15 kWh m-3 rather than fixed at the midpoint. Section 5.3 compares MVC against membrane distillation crystallization, eutectic freeze crystallization and solar interfacial evaporation, and notes that because grid electricity is only about a third of the carbon account, replacing MVC would not by itself make the process carbon neutral.</w:t>
      </w:r>
    </w:p>
    <w:p>
      <w:pPr>
        <w:spacing w:before="180" w:after="60"/>
      </w:pPr>
      <w:r>
        <w:rPr>
          <w:b/>
          <w:sz w:val="21"/>
        </w:rPr>
        <w:t xml:space="preserve">9.  </w:t>
      </w:r>
      <w:r>
        <w:rPr>
          <w:i/>
          <w:sz w:val="20"/>
        </w:rPr>
        <w:t>Linear osmotic model will deviate at 121 g/L; quantify the impact; run a sensitivity with a more accurate model.</w:t>
      </w:r>
    </w:p>
    <w:p>
      <w:pPr>
        <w:spacing w:after="120"/>
        <w:ind w:left="288"/>
      </w:pPr>
      <w:r>
        <w:rPr>
          <w:sz w:val="21"/>
        </w:rPr>
        <w:t>Quantified rather than acknowledged. Applying an osmotic-coefficient rise of 8-24% between 35 and 120 g L-1 raises the concentrator feed from 49.0 to 50.3-52.9 bar and total SEC from 12.64 to 12.87 kWh m-3 - real but second-order, under 2%, and an order of magnitude smaller than the concentrator correction. The published seawater property correlations appropriate for locking phi(S) are now cited, and the deposited code is structured to accept them. Because that substitution has not yet been made, the manuscript now states in the Abstract, Section 3, Section 4.5, the Limitations and the Conclusions that every specific-energy figure is a bounded model estimate rather than a final quantitative prediction.</w:t>
      </w:r>
    </w:p>
    <w:p>
      <w:pPr>
        <w:spacing w:before="180" w:after="60"/>
      </w:pPr>
      <w:r>
        <w:rPr>
          <w:b/>
          <w:sz w:val="21"/>
        </w:rPr>
        <w:t xml:space="preserve">10.  </w:t>
      </w:r>
      <w:r>
        <w:rPr>
          <w:i/>
          <w:sz w:val="20"/>
        </w:rPr>
        <w:t>Discuss qualitatively how a lithium breakthrough would affect LCOW.</w:t>
      </w:r>
    </w:p>
    <w:p>
      <w:pPr>
        <w:spacing w:after="120"/>
        <w:ind w:left="288"/>
      </w:pPr>
      <w:r>
        <w:rPr>
          <w:sz w:val="21"/>
        </w:rPr>
        <w:t>Given the corrected economics, the honest statement is quantitative: the net cost gap to be closed is now approximately $1.44 m-3, which is far larger than any plausible lithium credit from seawater-derived brine at present recovery yields. Lithium remains excluded from the baseline and this is stated in Section 5.4.</w:t>
      </w:r>
    </w:p>
    <w:p>
      <w:pPr>
        <w:spacing w:before="180" w:after="60"/>
      </w:pPr>
      <w:r>
        <w:rPr>
          <w:b/>
          <w:sz w:val="21"/>
        </w:rPr>
        <w:t xml:space="preserve">11.  </w:t>
      </w:r>
      <w:r>
        <w:rPr>
          <w:i/>
          <w:sz w:val="20"/>
        </w:rPr>
        <w:t>Numerical and editorial errors: LCOW units, figure order, intake SEC midpoint, uncited reference [12], long sentences.</w:t>
      </w:r>
    </w:p>
    <w:p>
      <w:pPr>
        <w:spacing w:after="120"/>
        <w:ind w:left="288"/>
      </w:pPr>
      <w:r>
        <w:rPr>
          <w:sz w:val="21"/>
        </w:rPr>
        <w:t>All corrected. The two LCOW figures concerned are withdrawn and replaced by the boundary comparison in Table 5. Figures are renumbered to citation order. Intake SEC is now swept across the full 0.05-0.80 kWh m-3 range rather than fixed at the low end. The reference list was checked programmatically: all 25 entries are cited and none is orphaned. Long sentences in the Abstract and Introduction have been split.</w:t>
      </w:r>
    </w:p>
    <w:p>
      <w:pPr>
        <w:spacing w:before="180" w:after="60"/>
      </w:pPr>
      <w:r>
        <w:rPr>
          <w:b/>
          <w:sz w:val="21"/>
        </w:rPr>
        <w:t xml:space="preserve">12.  </w:t>
      </w:r>
      <w:r>
        <w:rPr>
          <w:i/>
          <w:sz w:val="20"/>
        </w:rPr>
        <w:t>Does the conventional $0.76/m3 baseline cover the same scope as the ILEDBV figure? Provide a stage cost comparison.</w:t>
      </w:r>
    </w:p>
    <w:p>
      <w:pPr>
        <w:spacing w:after="120"/>
        <w:ind w:left="288"/>
      </w:pPr>
      <w:r>
        <w:rPr>
          <w:sz w:val="21"/>
        </w:rPr>
        <w:t>It did not, and the comparison was therefore invalid. Table 5 sets out the boundary element by element: the conventional case included a brine outfall the integrated architecture does not have, and excluded the valorization train it does. Comparisons in the revision are made on that table rather than headline to headline.</w:t>
      </w:r>
    </w:p>
    <w:p>
      <w:pPr>
        <w:spacing w:before="180" w:after="60"/>
      </w:pPr>
      <w:r>
        <w:rPr>
          <w:b/>
          <w:sz w:val="21"/>
        </w:rPr>
        <w:t xml:space="preserve">13.  </w:t>
      </w:r>
      <w:r>
        <w:rPr>
          <w:i/>
          <w:sz w:val="20"/>
        </w:rPr>
        <w:t>State code version and runtime environment.</w:t>
      </w:r>
    </w:p>
    <w:p>
      <w:pPr>
        <w:spacing w:after="120"/>
        <w:ind w:left="288"/>
      </w:pPr>
      <w:r>
        <w:rPr>
          <w:sz w:val="21"/>
        </w:rPr>
        <w:t>Added to Data Availability: the repository with release tag v2.0.1, Python 3.11.9 and NumPy 2.4.6, and archival DOIs for both the code (10.5281/zenodo.22178234) and this manuscript with its response letter (10.5281/zenodo.22178232). The commands that regenerate every number are listed.</w:t>
      </w:r>
    </w:p>
    <w:p>
      <w:pPr>
        <w:spacing w:before="300" w:after="100"/>
      </w:pPr>
      <w:r>
        <w:rPr>
          <w:b/>
          <w:sz w:val="26"/>
        </w:rPr>
        <w:t>Reviewer 2</w:t>
      </w:r>
    </w:p>
    <w:p>
      <w:pPr>
        <w:spacing w:before="180" w:after="60"/>
      </w:pPr>
      <w:r>
        <w:rPr>
          <w:b/>
          <w:sz w:val="21"/>
        </w:rPr>
        <w:t xml:space="preserve">1.  </w:t>
      </w:r>
      <w:r>
        <w:rPr>
          <w:i/>
          <w:sz w:val="20"/>
        </w:rPr>
        <w:t>Contrast MVC with solar-driven interfacial evaporation; four papers named.</w:t>
      </w:r>
    </w:p>
    <w:p>
      <w:pPr>
        <w:spacing w:after="120"/>
        <w:ind w:left="288"/>
      </w:pPr>
      <w:r>
        <w:rPr>
          <w:sz w:val="21"/>
        </w:rPr>
        <w:t>Added in Section 5.3. Three of the four named papers are cited. I was unable to match the fourth: International Journal of Biological Macromolecules 370 (2026) 152880 resolves to 'Efficient fabrication of cellulose-based hydrogels for effective heavy metal ion adsorption from oral medical wastewater', which does not appear to concern solar interfacial evaporation. If a different reference was intended I would be glad to include it.</w:t>
      </w:r>
    </w:p>
    <w:p>
      <w:pPr>
        <w:spacing w:before="180" w:after="60"/>
      </w:pPr>
      <w:r>
        <w:rPr>
          <w:b/>
          <w:sz w:val="21"/>
        </w:rPr>
        <w:t xml:space="preserve">2.  </w:t>
      </w:r>
      <w:r>
        <w:rPr>
          <w:i/>
          <w:sz w:val="20"/>
        </w:rPr>
        <w:t>No probabilistic uncertainty analysis; state that CAPEX uncertainty dominates.</w:t>
      </w:r>
    </w:p>
    <w:p>
      <w:pPr>
        <w:spacing w:after="120"/>
        <w:ind w:left="288"/>
      </w:pPr>
      <w:r>
        <w:rPr>
          <w:sz w:val="21"/>
        </w:rPr>
        <w:t>A Monte Carlo over eleven uncertain parameters with 300,000 samples now replaces the one-at-a-time tornado as the primary uncertainty result (Table 7, Figure 5). CAPEX uncertainty turns out not to dominate: reagent cost does. The net levelized cost is $2.20 m-3 with a 90% interval of $1.38-$3.01.</w:t>
      </w:r>
    </w:p>
    <w:p>
      <w:pPr>
        <w:spacing w:before="180" w:after="60"/>
      </w:pPr>
      <w:r>
        <w:rPr>
          <w:b/>
          <w:sz w:val="21"/>
        </w:rPr>
        <w:t xml:space="preserve">3.  </w:t>
      </w:r>
      <w:r>
        <w:rPr>
          <w:i/>
          <w:sz w:val="20"/>
        </w:rPr>
        <w:t>Environmental assessment covers only grid CO2; add solar comparison and subsurface intake risks.</w:t>
      </w:r>
    </w:p>
    <w:p>
      <w:pPr>
        <w:spacing w:after="120"/>
        <w:ind w:left="288"/>
      </w:pPr>
      <w:r>
        <w:rPr>
          <w:sz w:val="21"/>
        </w:rPr>
        <w:t>Section 4.4 is rewritten. The larger finding is that the original assessment counted only about a third of the emissions: reagent embodied carbon adds 10.0 kg CO2 m-3 against 5.2 kg from electricity, and the carbonate product fixes only 0.94 kg. Figure 6 shows the account against grid carbon intensity. Aquifer clogging and saline intrusion are now discussed explicitly as site-dependent intake risks.</w:t>
      </w:r>
    </w:p>
    <w:p>
      <w:pPr>
        <w:spacing w:before="180" w:after="60"/>
      </w:pPr>
      <w:r>
        <w:rPr>
          <w:b/>
          <w:sz w:val="21"/>
        </w:rPr>
        <w:t xml:space="preserve">4.  </w:t>
      </w:r>
      <w:r>
        <w:rPr>
          <w:i/>
          <w:sz w:val="20"/>
        </w:rPr>
        <w:t>Residual liquid fraction is model-derived; emphasise the lack of pilot validation.</w:t>
      </w:r>
    </w:p>
    <w:p>
      <w:pPr>
        <w:spacing w:after="120"/>
        <w:ind w:left="288"/>
      </w:pPr>
      <w:r>
        <w:rPr>
          <w:sz w:val="21"/>
        </w:rPr>
        <w:t>Stated where the figure first appears rather than only in Limitations, together with the observation that leakage, blowdown and operational upsets would raise the real value. Section 5.5 proposes three specific bench-scale measurements that would test the three consistency tests independently.</w:t>
      </w:r>
    </w:p>
    <w:p>
      <w:pPr>
        <w:spacing w:before="300" w:after="100"/>
      </w:pPr>
      <w:r>
        <w:rPr>
          <w:b/>
          <w:sz w:val="26"/>
        </w:rPr>
        <w:t>Reviewer 3</w:t>
      </w:r>
    </w:p>
    <w:p>
      <w:pPr>
        <w:spacing w:before="180" w:after="60"/>
      </w:pPr>
      <w:r>
        <w:rPr>
          <w:b/>
          <w:sz w:val="21"/>
        </w:rPr>
        <w:t xml:space="preserve">Overall.  </w:t>
      </w:r>
      <w:r>
        <w:rPr>
          <w:i/>
          <w:sz w:val="20"/>
        </w:rPr>
        <w:t>A preliminary design exercise rather than a sufficiently developed technical paper; key parameters and pathways not adequately justified.</w:t>
      </w:r>
    </w:p>
    <w:p>
      <w:pPr>
        <w:spacing w:after="120"/>
        <w:ind w:left="288"/>
      </w:pPr>
      <w:r>
        <w:rPr>
          <w:sz w:val="21"/>
        </w:rPr>
        <w:t>I accept the characterisation of the original. The revision responds by changing what the paper claims to be: rather than presenting a design, it tests one against physical bounds and reports that it fails two of three tests as specified. The parameters the reviewer identified as unjustified are precisely the ones the tests were built around.</w:t>
      </w:r>
    </w:p>
    <w:p>
      <w:pPr>
        <w:spacing w:before="180" w:after="60"/>
      </w:pPr>
      <w:r>
        <w:rPr>
          <w:b/>
          <w:sz w:val="21"/>
        </w:rPr>
        <w:t xml:space="preserve">p.2.  </w:t>
      </w:r>
      <w:r>
        <w:rPr>
          <w:i/>
          <w:sz w:val="20"/>
        </w:rPr>
        <w:t>Review recent SWRO SEC literature; modern plants are 2.5-3.5 kWh/m3; see doi 10.1016/j.ecmx.2026.101682.</w:t>
      </w:r>
    </w:p>
    <w:p>
      <w:pPr>
        <w:spacing w:after="120"/>
        <w:ind w:left="288"/>
      </w:pPr>
      <w:r>
        <w:rPr>
          <w:sz w:val="21"/>
        </w:rPr>
        <w:t>The named paper is cited and its 1.794 kWh m-3 measurement quoted in the Introduction and Section 5.1. The 3.95 kWh m-3 comparator is withdrawn and the energy claim with it.</w:t>
      </w:r>
    </w:p>
    <w:p>
      <w:pPr>
        <w:spacing w:before="180" w:after="60"/>
      </w:pPr>
      <w:r>
        <w:rPr>
          <w:b/>
          <w:sz w:val="21"/>
        </w:rPr>
        <w:t xml:space="preserve">p.3.  </w:t>
      </w:r>
      <w:r>
        <w:rPr>
          <w:i/>
          <w:sz w:val="20"/>
        </w:rPr>
        <w:t>'ILEDBV' undefined; unclear how Figure 1 was developed.</w:t>
      </w:r>
    </w:p>
    <w:p>
      <w:pPr>
        <w:spacing w:after="120"/>
        <w:ind w:left="288"/>
      </w:pPr>
      <w:r>
        <w:rPr>
          <w:sz w:val="21"/>
        </w:rPr>
        <w:t>The acronym is expanded at first use. Figure 1 is now explicitly described as the author's conceptual integration of five separately published component technologies, not a description of an existing installation.</w:t>
      </w:r>
    </w:p>
    <w:p>
      <w:pPr>
        <w:spacing w:before="180" w:after="60"/>
      </w:pPr>
      <w:r>
        <w:rPr>
          <w:b/>
          <w:sz w:val="21"/>
        </w:rPr>
        <w:t xml:space="preserve">4.1.  </w:t>
      </w:r>
      <w:r>
        <w:rPr>
          <w:i/>
          <w:sz w:val="20"/>
        </w:rPr>
        <w:t>SWRO design detail needed: design flux, target product quality, second-pass BWRO for boron or chloride and if not, why.</w:t>
      </w:r>
    </w:p>
    <w:p>
      <w:pPr>
        <w:spacing w:after="120"/>
        <w:ind w:left="288"/>
      </w:pPr>
      <w:r>
        <w:rPr>
          <w:sz w:val="21"/>
        </w:rPr>
        <w:t>Section 2.3 is new and addresses this directly. First-pass permeate is approximately 250 mg L-1 TDS and 140 mg L-1 chloride, both comfortably potable, so the parameter that decides whether a second pass is needed is boron. Boron rejection is not a single number - it falls as elements age and rises with temperature and pH - so across seawater boron of 4.6-5.5 mg L-1 and rejection of 72-88%, first-pass permeate boron is 0.55-1.54 mg L-1. That complies with the WHO guideline of 2.4 mg L-1 in every case, and with the EU limit of 1.5 mg L-1 in all but the most severe, but it straddles the 1.0 mg L-1 figure common in municipal supply contracts and exceeds a 0.5 mg L-1 irrigation limit in every case. The second pass is therefore presented as a conditional requirement rather than an absolute one, and the energy comparison in Section 5.1 is reported both with and without it. A gravity-fed second pass was also considered and rejected: 12 bar requires 122 m of static head.</w:t>
      </w:r>
    </w:p>
    <w:p>
      <w:pPr>
        <w:spacing w:before="180" w:after="60"/>
      </w:pPr>
      <w:r>
        <w:rPr>
          <w:b/>
          <w:sz w:val="21"/>
        </w:rPr>
        <w:t xml:space="preserve">p.9 NF.  </w:t>
      </w:r>
      <w:r>
        <w:rPr>
          <w:i/>
          <w:sz w:val="20"/>
        </w:rPr>
        <w:t>Which NF membrane; what rejections; what recovery, pressure and flux.</w:t>
      </w:r>
    </w:p>
    <w:p>
      <w:pPr>
        <w:spacing w:after="120"/>
        <w:ind w:left="288"/>
      </w:pPr>
      <w:r>
        <w:rPr>
          <w:sz w:val="21"/>
        </w:rPr>
        <w:t>The reviewer's question exposed a mislabelling. At the rejections assumed the stage is not nanofiltration. Section 2.4 renames it a high-pressure, low-salt-rejection RO stage, states the assumed rejections explicitly, and reports that a genuine NF element at 30% monovalent rejection would give a crystallizer feed of 91.3 g L-1 rather than 124.8 g L-1.</w:t>
      </w:r>
    </w:p>
    <w:p>
      <w:pPr>
        <w:spacing w:before="180" w:after="60"/>
      </w:pPr>
      <w:r>
        <w:rPr>
          <w:b/>
          <w:sz w:val="21"/>
        </w:rPr>
        <w:t xml:space="preserve">p.9 Precip.  </w:t>
      </w:r>
      <w:r>
        <w:rPr>
          <w:i/>
          <w:sz w:val="20"/>
        </w:rPr>
        <w:t>Reagents, dosages, residence time, reactor volume, solid-liquid separation, product water content and purity.</w:t>
      </w:r>
    </w:p>
    <w:p>
      <w:pPr>
        <w:spacing w:after="120"/>
        <w:ind w:left="288"/>
      </w:pPr>
      <w:r>
        <w:rPr>
          <w:sz w:val="21"/>
        </w:rPr>
        <w:t>Table 3 gives the full design basis: reagent identity and dosage on a stoichiometric basis with stated excess, residence times, reactor volumes per unit feed, the separation train, and assumed cake solids. Product purity is discussed against the sodium chloride background that governs it.</w:t>
      </w:r>
    </w:p>
    <w:p>
      <w:pPr>
        <w:spacing w:before="180" w:after="60"/>
      </w:pPr>
      <w:r>
        <w:rPr>
          <w:b/>
          <w:sz w:val="21"/>
        </w:rPr>
        <w:t xml:space="preserve">p.9 MVC.  </w:t>
      </w:r>
      <w:r>
        <w:rPr>
          <w:i/>
          <w:sz w:val="20"/>
        </w:rPr>
        <w:t>Crystallizer inlet concentration; salinity profile and ionic composition through each step.</w:t>
      </w:r>
    </w:p>
    <w:p>
      <w:pPr>
        <w:spacing w:after="120"/>
        <w:ind w:left="288"/>
      </w:pPr>
      <w:r>
        <w:rPr>
          <w:sz w:val="21"/>
        </w:rPr>
        <w:t>Table 1 is new and gives the ion-by-ion composition of every stream. The crystallizer feed is 124.8 g L-1. The table also exposed something the original analysis missed: calcium rises from 1.48 to 7.53 g L-1 across the precipitation train because lime returns one calcium ion per magnesium precipitated, and total dissolved solids rise rather than fall.</w:t>
      </w:r>
    </w:p>
    <w:p>
      <w:pPr>
        <w:spacing w:before="180" w:after="60"/>
      </w:pPr>
      <w:r>
        <w:rPr>
          <w:b/>
          <w:sz w:val="21"/>
        </w:rPr>
        <w:t xml:space="preserve">4.3.  </w:t>
      </w:r>
      <w:r>
        <w:rPr>
          <w:i/>
          <w:sz w:val="20"/>
        </w:rPr>
        <w:t>Recovery yield and product purity depend on many factors; discuss in greater detail with literature support.</w:t>
      </w:r>
    </w:p>
    <w:p>
      <w:pPr>
        <w:spacing w:after="120"/>
        <w:ind w:left="288"/>
      </w:pPr>
      <w:r>
        <w:rPr>
          <w:sz w:val="21"/>
        </w:rPr>
        <w:t>Discussed in Sections 4.3 and 5.4 with reference to work quantifying how the sodium chloride background affects yield, purity, morphology and carbonate polymorph, and to product-quality-directed studies that have produced specification-grade solids from brine feeds.</w:t>
      </w:r>
    </w:p>
    <w:p>
      <w:pPr>
        <w:spacing w:before="180" w:after="60"/>
      </w:pPr>
      <w:r>
        <w:rPr>
          <w:b/>
          <w:sz w:val="21"/>
        </w:rPr>
        <w:t xml:space="preserve">4.4.  </w:t>
      </w:r>
      <w:r>
        <w:rPr>
          <w:i/>
          <w:sz w:val="20"/>
        </w:rPr>
        <w:t>Product quality and price vary by application; the economic assessment is too vague.</w:t>
      </w:r>
    </w:p>
    <w:p>
      <w:pPr>
        <w:spacing w:after="120"/>
        <w:ind w:left="288"/>
      </w:pPr>
      <w:r>
        <w:rPr>
          <w:sz w:val="21"/>
        </w:rPr>
        <w:t>Given the corrected reagent costs, the economics no longer turn on which grade is targeted: the reagent cost exceeds the mineral credit across the full range of prices and sellable fractions sampled. This is stated rather than obscured.</w:t>
      </w:r>
    </w:p>
    <w:p>
      <w:pPr>
        <w:spacing w:before="180" w:after="60"/>
      </w:pPr>
      <w:r>
        <w:rPr>
          <w:b/>
          <w:sz w:val="21"/>
        </w:rPr>
        <w:t xml:space="preserve">Minor.  </w:t>
      </w:r>
      <w:r>
        <w:rPr>
          <w:i/>
          <w:sz w:val="20"/>
        </w:rPr>
        <w:t>Misplaced intake discussion; equation notation; equation numbering; table numbers and titles.</w:t>
      </w:r>
    </w:p>
    <w:p>
      <w:pPr>
        <w:spacing w:after="120"/>
        <w:ind w:left="288"/>
      </w:pPr>
      <w:r>
        <w:rPr>
          <w:sz w:val="21"/>
        </w:rPr>
        <w:t>All corrected. The intake discussion is moved out of the brine-management material into Section 2.2; equations are properly set and numbered (1)-(13); all seven tables are numbered with descriptive captions.</w:t>
      </w:r>
    </w:p>
    <w:p>
      <w:pPr>
        <w:spacing w:before="300" w:after="100"/>
      </w:pPr>
      <w:r>
        <w:rPr>
          <w:b/>
          <w:sz w:val="26"/>
        </w:rPr>
        <w:t>Reviewer 4</w:t>
      </w:r>
    </w:p>
    <w:p>
      <w:pPr>
        <w:spacing w:before="180" w:after="60"/>
      </w:pPr>
      <w:r>
        <w:rPr>
          <w:b/>
          <w:sz w:val="21"/>
        </w:rPr>
        <w:t xml:space="preserve">1.  </w:t>
      </w:r>
      <w:r>
        <w:rPr>
          <w:i/>
          <w:sz w:val="20"/>
        </w:rPr>
        <w:t>Does not follow the structure and formatting of a research paper; reads as a short technical report.</w:t>
      </w:r>
    </w:p>
    <w:p>
      <w:pPr>
        <w:spacing w:after="120"/>
        <w:ind w:left="288"/>
      </w:pPr>
      <w:r>
        <w:rPr>
          <w:sz w:val="21"/>
        </w:rPr>
        <w:t>The manuscript is restructured throughout, with a continuous-prose Introduction, a formal model section with numbered equations and a nomenclature, seven captioned tables and six figures.</w:t>
      </w:r>
    </w:p>
    <w:p>
      <w:pPr>
        <w:spacing w:before="180" w:after="60"/>
      </w:pPr>
      <w:r>
        <w:rPr>
          <w:b/>
          <w:sz w:val="21"/>
        </w:rPr>
        <w:t xml:space="preserve">2.  </w:t>
      </w:r>
      <w:r>
        <w:rPr>
          <w:i/>
          <w:sz w:val="20"/>
        </w:rPr>
        <w:t>Scientific contribution beyond integration is unclear.</w:t>
      </w:r>
    </w:p>
    <w:p>
      <w:pPr>
        <w:spacing w:after="120"/>
        <w:ind w:left="288"/>
      </w:pPr>
      <w:r>
        <w:rPr>
          <w:sz w:val="21"/>
        </w:rPr>
        <w:t>The contribution is restated and is no longer the integration. It is a set of three consistency tests that any brine-valorization architecture must pass, and the finding that magnesium recovery from a chloride brine is limited by alkalinity rather than by magnesium - a result that generalizes beyond this architecture, since two equivalents of base per mole of product are required however the base is supplied.</w:t>
      </w:r>
    </w:p>
    <w:p>
      <w:pPr>
        <w:spacing w:before="180" w:after="60"/>
      </w:pPr>
      <w:r>
        <w:rPr>
          <w:b/>
          <w:sz w:val="21"/>
        </w:rPr>
        <w:t xml:space="preserve">3.  </w:t>
      </w:r>
      <w:r>
        <w:rPr>
          <w:i/>
          <w:sz w:val="20"/>
        </w:rPr>
        <w:t>Introduction requires major revision; research gap not identified.</w:t>
      </w:r>
    </w:p>
    <w:p>
      <w:pPr>
        <w:spacing w:after="120"/>
        <w:ind w:left="288"/>
      </w:pPr>
      <w:r>
        <w:rPr>
          <w:sz w:val="21"/>
        </w:rPr>
        <w:t>Rewritten; see the response to Reviewer 1, comment 1.</w:t>
      </w:r>
    </w:p>
    <w:p>
      <w:pPr>
        <w:spacing w:before="180" w:after="60"/>
      </w:pPr>
      <w:r>
        <w:rPr>
          <w:b/>
          <w:sz w:val="21"/>
        </w:rPr>
        <w:t xml:space="preserve">4.  </w:t>
      </w:r>
      <w:r>
        <w:rPr>
          <w:i/>
          <w:sz w:val="20"/>
        </w:rPr>
        <w:t>Several parts appear AI-generated; generic statements and unsupported claims.</w:t>
      </w:r>
    </w:p>
    <w:p>
      <w:pPr>
        <w:spacing w:after="120"/>
        <w:ind w:left="288"/>
      </w:pPr>
      <w:r>
        <w:rPr>
          <w:sz w:val="21"/>
        </w:rPr>
        <w:t>I take this seriously and can identify a specific cause. The abstract field submitted through the editorial system began with a stray sentence, 'Here is a tightened 200-word abstract based on the manuscript:', which appeared on the cover page of the PDF sent to reviewers. That was an editing error on my part, it should not have reached review, and it has been removed. Beyond that, the revision replaces unsupported generic statements with results derived from stated physical bounds, and every reference has been verified against Crossref rather than cited from memory. Generative AI was used as a drafting and analysis aid; all modelling decisions, the interpretation, and responsibility for the content are mine.</w:t>
      </w:r>
    </w:p>
    <w:p>
      <w:pPr>
        <w:spacing w:before="180" w:after="60"/>
      </w:pPr>
      <w:r>
        <w:rPr>
          <w:b/>
          <w:sz w:val="21"/>
        </w:rPr>
        <w:t xml:space="preserve">5.  </w:t>
      </w:r>
      <w:r>
        <w:rPr>
          <w:i/>
          <w:sz w:val="20"/>
        </w:rPr>
        <w:t>Equations lack rigour; assumptions, variables, boundaries and sources unclear; the calculation should be independently reproducible.</w:t>
      </w:r>
    </w:p>
    <w:p>
      <w:pPr>
        <w:spacing w:after="120"/>
        <w:ind w:left="288"/>
      </w:pPr>
      <w:r>
        <w:rPr>
          <w:sz w:val="21"/>
        </w:rPr>
        <w:t>Equations (1)-(13) are numbered and defined, the system boundary is stated per balance, the solution procedure is given in Section 3, and the complete model is deposited so that every table and figure can be regenerated from it.</w:t>
      </w:r>
    </w:p>
    <w:p>
      <w:pPr>
        <w:spacing w:before="180" w:after="60"/>
      </w:pPr>
      <w:r>
        <w:rPr>
          <w:b/>
          <w:sz w:val="21"/>
        </w:rPr>
        <w:t xml:space="preserve">6.  </w:t>
      </w:r>
      <w:r>
        <w:rPr>
          <w:i/>
          <w:sz w:val="20"/>
        </w:rPr>
        <w:t>Energy consumption appears excessively high; the 3.95 kWh/m3 conventional baseline is questionable when 2.2-2.4 is achievable.</w:t>
      </w:r>
    </w:p>
    <w:p>
      <w:pPr>
        <w:spacing w:after="120"/>
        <w:ind w:left="288"/>
      </w:pPr>
      <w:r>
        <w:rPr>
          <w:sz w:val="21"/>
        </w:rPr>
        <w:t>Accepted without qualification. The comparator is withdrawn, as is the 31% advantage claim built on it. Section 5.1 now compares against the 2.5-3.5 kWh m-3 range and the audited 1.794 kWh m-3 measurement, and concludes that the architecture offers no material energy advantage at the desalination stage. Reviewers 3 and 4 were both correct on this point and it is the reason the paper is reframed.</w:t>
      </w:r>
    </w:p>
    <w:p>
      <w:pPr>
        <w:spacing w:before="300" w:after="100"/>
      </w:pPr>
      <w:r>
        <w:rPr>
          <w:b/>
          <w:sz w:val="26"/>
        </w:rPr>
        <w:t>Closing</w:t>
      </w:r>
    </w:p>
    <w:p>
      <w:pPr>
        <w:spacing w:after="160"/>
      </w:pPr>
      <w:r>
        <w:rPr>
          <w:b w:val="0"/>
          <w:i w:val="0"/>
          <w:sz w:val="21"/>
        </w:rPr>
        <w:t>The revision is substantially different from the original, and its conclusions are less favourable to the architecture than those I first submitted. I believe that is the correct outcome of the review, and that a result anchored to thermodynamic and stoichiometric bounds - including where those bounds are not met - is of more use to this field than the claim it replaces. I am grateful to the reviewers for the care that produced it.</w:t>
      </w:r>
    </w:p>
    <w:p>
      <w:pPr>
        <w:spacing w:after="160"/>
      </w:pPr>
      <w:r>
        <w:rPr>
          <w:b/>
          <w:i w:val="0"/>
          <w:sz w:val="21"/>
        </w:rPr>
        <w:t>Leon Sandler</w:t>
      </w:r>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