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Consistency Testing of an Integrated SWRO–Brine Valorization Architecture: Alkalinity as the Binding Constraint</w:t>
      </w:r>
    </w:p>
    <w:p>
      <w:pPr>
        <w:spacing w:after="20"/>
        <w:jc w:val="center"/>
      </w:pPr>
      <w:r>
        <w:rPr>
          <w:sz w:val="22"/>
        </w:rPr>
        <w:t>Leon Sandler</w:t>
      </w:r>
    </w:p>
    <w:p>
      <w:pPr>
        <w:spacing w:after="20"/>
        <w:jc w:val="center"/>
      </w:pPr>
      <w:r>
        <w:rPr>
          <w:sz w:val="20"/>
        </w:rPr>
        <w:t>Independent Researcher, Northbrook, Illinois, USA</w:t>
      </w:r>
    </w:p>
    <w:p>
      <w:pPr>
        <w:spacing w:after="20"/>
        <w:jc w:val="center"/>
      </w:pPr>
      <w:r>
        <w:rPr>
          <w:sz w:val="19"/>
        </w:rPr>
        <w:t>ORCID: https://orcid.org/0009-0007-4584-808X</w:t>
      </w:r>
    </w:p>
    <w:p>
      <w:pPr>
        <w:spacing w:after="20"/>
        <w:jc w:val="center"/>
      </w:pPr>
      <w:r>
        <w:rPr>
          <w:sz w:val="19"/>
        </w:rPr>
        <w:t>Corresponding author: sandler.leon@gmail.com</w:t>
      </w:r>
    </w:p>
    <w:p>
      <w:pPr>
        <w:spacing w:after="160"/>
      </w:pPr>
    </w:p>
    <w:p>
      <w:pPr>
        <w:spacing w:before="300" w:after="100"/>
      </w:pPr>
      <w:r>
        <w:rPr>
          <w:b/>
          <w:sz w:val="26"/>
        </w:rPr>
        <w:t>Abstract</w:t>
      </w:r>
    </w:p>
    <w:p>
      <w:pPr>
        <w:spacing w:after="160"/>
      </w:pPr>
      <w:r>
        <w:rPr>
          <w:i w:val="0"/>
          <w:sz w:val="21"/>
        </w:rPr>
        <w:t>Integrated seawater reverse osmosis (SWRO) with brine valorization is widely proposed as a route to simultaneous energy reduction and near-zero liquid discharge, but such architectures are seldom tested against the physical bounds their individual stages must obey. This study applies a consistency-testing framework to one architecture combining subsurface intake, isobaric energy recovery, membrane brine concentration, selective Ca/Mg precipitation and mechanical-vapour-compression crystallization, checking each subsystem against a physical constraint rather than an assumed value. The brine-concentrator energy commonly assumed in this class of study, 0.5-1.0 kWh per cubic metre of brine, lies at or below the least work of separation for that feed (0.94 kWh m-3). A bounded estimate, obtained from that minimum and a 25-55% second-law efficiency, is 1.7-3.8 kWh m-3, raising modelled total specific energy consumption to a median 13.1 kWh m-3. Magnesium recovery is limited by alkalinity rather than by magnesium: the base required carries either 10.0 kg CO2 per cubic metre of permeate in embodied carbon, roughly double the plant's grid emissions, or an electrochemical cost of 27 kWh m-3. Lime dosing releases 5.3 times more calcium than the preceding carbonate step removes, so the train does not close. Costing those reagents explicitly is decisive: at $1.70 m-3 they exceed the $1.25 m-3 realisable mineral credit, and Monte Carlo propagation (300,000 samples) gives a net levelized cost of $2.20 m-3 (90% interval $1.38-$3.01) against $0.76 m-3 for conventional SWRO. Brine mineral valorization by alkaline precipitation is limited by the base, not by the brine.</w:t>
      </w:r>
    </w:p>
    <w:p>
      <w:pPr>
        <w:spacing w:before="220" w:after="100"/>
      </w:pPr>
      <w:r>
        <w:rPr>
          <w:b/>
          <w:sz w:val="23"/>
        </w:rPr>
        <w:t>Keywords</w:t>
      </w:r>
    </w:p>
    <w:p>
      <w:pPr>
        <w:spacing w:after="160"/>
      </w:pPr>
      <w:r>
        <w:rPr>
          <w:i/>
          <w:sz w:val="20"/>
        </w:rPr>
        <w:t>seawater desalination; reverse osmosis; brine valorization; alkalinity; consistency testing; techno-economic analysis</w:t>
      </w:r>
    </w:p>
    <w:p>
      <w:pPr>
        <w:spacing w:before="300" w:after="100"/>
      </w:pPr>
      <w:r>
        <w:rPr>
          <w:b/>
          <w:sz w:val="26"/>
        </w:rPr>
        <w:t>1.  Introduction</w:t>
      </w:r>
    </w:p>
    <w:p>
      <w:pPr>
        <w:spacing w:after="160"/>
        <w:ind w:firstLine="317"/>
      </w:pPr>
      <w:r>
        <w:rPr>
          <w:i w:val="0"/>
          <w:sz w:val="21"/>
        </w:rPr>
        <w:t>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2.5-3.5 kWh m-3, and a recent audited measurement on an operating 2,500 m3 d-1 plant reports 1.794 kWh m-3 under a low-flux design with new membranes [16]; a survey across operating plants places the practical distribution firmly in that band [24]. The thermodynamic floor for seawater at typical recovery is lower still [18].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spacing w:after="160"/>
        <w:ind w:firstLine="317"/>
      </w:pPr>
      <w:r>
        <w:rPr>
          <w:i w:val="0"/>
          <w:sz w:val="21"/>
        </w:rPr>
        <w:t>That concentrate is the unresolved problem. Every cubic metre of permeate is accompanied by roughly an equal volume of brine at approximately twice the feed salinity, and its disposal is increasingly constrained. Two responses have developed in parallel. The first treats the brine as a waste to be minimised, through minimal-liquid-discharge (MLD) and zero-liquid-discharge (ZLD) configurations; module-scale modelling of enhanced-RO pathways shows how far membrane processes can carry the concentration duty before a thermal step becomes unavoidable [2], and comparative techno-economic assessment of MLD against full ZLD shows the cost penalty rising steeply over the final increments of water recovery [15]. The second treats the brine as an ore, recovering calcium, magnesium and in some proposals lithium as saleable co-products. The two responses are complementary in principle and are seldom combined in practice.</w:t>
      </w:r>
    </w:p>
    <w:p>
      <w:pPr>
        <w:spacing w:after="160"/>
        <w:ind w:firstLine="317"/>
      </w:pPr>
      <w:r>
        <w:rPr>
          <w:i w:val="0"/>
          <w:sz w:val="21"/>
        </w:rPr>
        <w:t>Within the desalination stage itself, two technologies are mature enough that their behaviour is well characterised. Isobaric pressure-exchanger energy recovery is standard practice, with device efficiencies above 95% and a design literature going back two decades [11,23]; it is the single change most responsible for the SEC figures quoted above, and it leaves little further to recover. Subsurface intake, through beach wells or seabed galleries, is less universally applicable but well studied: comparative assessments against open intakes report lower pretreatment demand, reduced chemical dosing and lower entrainment impact [21], operating-cost comparisons reach similar conclusions where the hydrogeology permits [7], and numerical modelling has clarified the conditions under which a beach well can sustain design yield without clogging [1]. The limitation is site dependence rather than process performance, and it is the reason subsurface intake is a design choice rather than a general recommendation.</w:t>
      </w:r>
    </w:p>
    <w:p>
      <w:pPr>
        <w:spacing w:after="160"/>
        <w:ind w:firstLine="317"/>
      </w:pPr>
      <w:r>
        <w:rPr>
          <w:i w:val="0"/>
          <w:sz w:val="21"/>
        </w:rPr>
        <w:t>The brine-concentration step is where the literature is least settled, and where the present study finds the largest discrepancy. Osmotically assisted and high-pressure membrane configurations extend membrane concentration well beyond conventional SWRO brine salinity [3], but the energy demand rises sharply because the osmotic pressure to be overcome rises with it. Panagopoulos compared minimum and actual energy consumption across brine-treatment technologies and found the gap between the two to be both large and frequently unacknowledged [14]. That comparison is the appropriate reference point for any assumed concentrator energy, and, as Section 4.5 shows, values in common use in integrated-architecture studies - including the value adopted in the first version of this work - fall below the least work of separation for the feed concerned (0.94 kWh m-3), which no process can do.</w:t>
      </w:r>
    </w:p>
    <w:p>
      <w:pPr>
        <w:spacing w:after="160"/>
        <w:ind w:firstLine="317"/>
      </w:pPr>
      <w:r>
        <w:rPr>
          <w:i w:val="0"/>
          <w:sz w:val="21"/>
        </w:rPr>
        <w:t>For the final concentration and crystallization duty, mechanical vapour compression (MVC) remains the reference technology, and techno-economic analysis of MVC in near-ZLD service establishes both its energy intensity and the conditions under which it dominates 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 interfacial evaporation has advanced rapidly, with architectures now able to sustain evaporation from high-salinity brine while harvesting the crystallized salt autonomously rather than fouling [4,5,6]. The last of these substitutes land area and capital for electricity, which changes the carbon comparison materially and is taken up in Section 4.7.</w:t>
      </w:r>
    </w:p>
    <w:p>
      <w:pPr>
        <w:spacing w:after="160"/>
        <w:ind w:firstLine="317"/>
      </w:pPr>
      <w:r>
        <w:rPr>
          <w:i w:val="0"/>
          <w:sz w:val="21"/>
        </w:rPr>
        <w:t>Mineral recovery from the concentrated brine is the component with the widest spread between laboratory result and process claim. Sequential precipitation of calcium and magnesium is well established chemically, and recent work has quantified how the sodium chloride background affects yield, purity, particle morphology and carbonate polymorph - all of which determine whether a recovered solid meets any industrial specification [9]. Product-quality-directed studies have produced high-purity magnesium sulfate and vaterite-type calcium carbonate from seawater and brine feeds [17], establishing that specification-grade product is attainable but not that it is attainable as a by-product of a plant optimised for water. Mineral carbonation has been proposed as the route to selective recovery [10], and magnesium recovery via CO2 mineralization has been demonstrated with carbon dioxide supplying the carbonate [25]. This last result is directly relevant to the present architecture: it indicates that the carbonate source and the alkalinity source are design variables rather than fixed reagents, which is the observation Section 4.7 develops.</w:t>
      </w:r>
    </w:p>
    <w:p>
      <w:pPr>
        <w:spacing w:after="160"/>
        <w:ind w:firstLine="317"/>
      </w:pPr>
      <w:r>
        <w:rPr>
          <w:i w:val="0"/>
          <w:sz w:val="21"/>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 in isolation from the plant that produced them [9,10,17]. What has not been reported is an end-to-end assessment in which the intake, the energy-recovery configuration, the concentration duty, the precipitation chemistry and the crystallization load are solved on a single mass, salt, energy and carbon balance - and, critically, in which each stage is then tested against the physical bound it must respect. The absence matters because the components interact: the concentrator sets the crystallizer feed salinity, the precipitation chemistry returns ions to the stream the concentrator just removed, and the reagents that drive the precipitation carry an embodied carbon burden that no stage-level analysis sees.</w:t>
      </w:r>
    </w:p>
    <w:p>
      <w:pPr>
        <w:spacing w:after="160"/>
        <w:ind w:firstLine="317"/>
      </w:pPr>
      <w:r>
        <w:rPr>
          <w:i w:val="0"/>
          <w:sz w:val="21"/>
        </w:rPr>
        <w:t>This study addresses that gap for one representative architecture, referred to here as ILEDBV (Integrated Low-Energy Desalination with Brine Valorization), combining subsurface intake, isobaric pressure-exchanger energy recovery, membrane brine concentration, selective Ca/Mg precipitation and MVC crystallization. Figure 1 is the author's conceptual integration of these five published component technologies rather than a description of an existing installation, and is presented as such. The objective is not to advocate the architecture but to test it: each subsystem claim is checked against a thermodynamic or stoichiometric constraint rather than carried as an assumed value, and a claim is allowed to fail. Three questions are posed. What is the modelled specific energy requirement once each stage is held to its physical bound, and how does it decompose? What governs the recovery of minerals from the brine, given that the reagents required to precipitate them are themselves products of energy-intensive processes? And under what combination of capital cost, electricity price and realisable mineral value, propagated probabilistically rather than varied one factor at a time, does the integrated architecture outperform conventional SWRO? The answers are, respectively, that the energy advantage does not survive a modern comparator, that mineral recovery is limited by alkalinity rather than by mineral inventory at a cost of 10.0 kg CO2 per cubic metre of permeate, and that the economic case is close to evenly balanced.</w:t>
      </w:r>
    </w:p>
    <w:p>
      <w:pPr>
        <w:spacing w:before="300" w:after="100"/>
      </w:pPr>
      <w:r>
        <w:rPr>
          <w:b/>
          <w:sz w:val="26"/>
        </w:rPr>
        <w:t>2.  Integrated process architecture</w:t>
      </w:r>
    </w:p>
    <w:p>
      <w:pPr>
        <w:spacing w:after="160"/>
        <w:ind w:firstLine="317"/>
      </w:pPr>
      <w:r>
        <w:rPr>
          <w:i w:val="0"/>
          <w:sz w:val="21"/>
        </w:rPr>
        <w:t>The architecture examined here, referred to as ILEDBV (Integrated Low-Energy Desalination with Brine Valorization), is shown in Figure 1 with stream-level mass, salinity and pressure labels for the baseline case (R = 45%, feed salinity 35 g/L). Figure 1 is the author's conceptual integration of five separately published component technologies rather than a description of an existing installation.</w:t>
      </w:r>
    </w:p>
    <w:p>
      <w:pPr>
        <w:spacing w:before="220" w:after="100"/>
      </w:pPr>
      <w:r>
        <w:rPr>
          <w:b/>
          <w:sz w:val="23"/>
        </w:rPr>
        <w:t>2.1  System boundary</w:t>
      </w:r>
    </w:p>
    <w:p>
      <w:pPr>
        <w:spacing w:after="160"/>
        <w:ind w:firstLine="317"/>
      </w:pPr>
      <w:r>
        <w:rPr>
          <w:i w:val="0"/>
          <w:sz w:val="21"/>
        </w:rPr>
        <w:t>The boundary begins at raw seawater intake and ends at three outputs: potable permeate to municipal supply, solid Mg(OH)2 and CaCO3 products, and final crystallizer output. Excluded are water distribution, mineral transport and refining beyond primary precipitation, and civil works. The revision adds one term inside the boundary that the original omitted: the embodied carbon and purchase cost of the precipitation reagents, which Section 4.7 shows to dominate both the carbon and the economic account.</w:t>
      </w:r>
    </w:p>
    <w:p>
      <w:pPr>
        <w:spacing w:before="220" w:after="100"/>
      </w:pPr>
      <w:r>
        <w:rPr>
          <w:b/>
          <w:sz w:val="23"/>
        </w:rPr>
        <w:t>2.2  Subsurface intake</w:t>
      </w:r>
    </w:p>
    <w:p>
      <w:pPr>
        <w:spacing w:after="160"/>
        <w:ind w:firstLine="317"/>
      </w:pPr>
      <w:r>
        <w:rPr>
          <w:i w:val="0"/>
          <w:sz w:val="21"/>
        </w:rPr>
        <w:t>Source water is drawn through a subsurface seabed or beach-well intake rather than an open-ocean pipe, reducing particulate and biological loading and hence pretreatment demand [21,7,1]. Pretreatment energy is swept across the full 0.05-0.80 kWh m-3 range reported for intake configurations rather than fixed at a midpoint. The intake is not claimed to eliminate biofouling, and its performance is site dependent on seabed and aquifer hydraulic conductivity. A subsurface intake also removes the need for the vortex or hydrocyclone pre-separation sometimes proposed ahead of SWRO: the seabed performs that duty, which is part of the rationale for choosing it.</w:t>
      </w:r>
    </w:p>
    <w:p>
      <w:pPr>
        <w:spacing w:before="220" w:after="100"/>
      </w:pPr>
      <w:r>
        <w:rPr>
          <w:b/>
          <w:sz w:val="23"/>
        </w:rPr>
        <w:t>2.3  SWRO, pressure exchanger, and product-water quality</w:t>
      </w:r>
    </w:p>
    <w:p>
      <w:pPr>
        <w:spacing w:after="160"/>
        <w:ind w:firstLine="317"/>
      </w:pPr>
      <w:r>
        <w:rPr>
          <w:i w:val="0"/>
          <w:sz w:val="21"/>
        </w:rPr>
        <w:t>The RO stage is modelled with an isobaric pressure exchanger recovering energy from the reject brine (Sections 3.4-3.5), with PX efficiency swept 90-98% [23,11]. Reviewer comment on the original prompted an explicit treatment of product-water quality. At 45% recovery the modelled first-pass permeate is approximately 250 mg L-1 TDS and 140 mg L-1 chloride, both comfortably within potable limits. Boron is the parameter that decides whether a second pass is needed, because boric acid is largely un-ionized at seawater pH and is therefore poorly rejected.</w:t>
      </w:r>
    </w:p>
    <w:p>
      <w:pPr>
        <w:spacing w:after="160"/>
        <w:ind w:firstLine="317"/>
      </w:pPr>
      <w:r>
        <w:rPr>
          <w:i w:val="0"/>
          <w:sz w:val="21"/>
        </w:rPr>
        <w:t>Boron rejection is not a single number: it falls as elements age and rises with temperature and pH. Across seawater boron of 4.6-5.5 mg L-1 and single-pass rejection of 72-88%, spanning new elements in cool water to end-of-life elements at 32 degrees C, first-pass permeate boron is 0.55-1.54 mg L-1. That range complies with the WHO guideline of 2.4 mg L-1 in every case and with the EU directive limit of 1.5 mg L-1 in all but the most severe case, but it straddles the 1.0 mg L-1 figure often written into municipal supply contracts and exceeds a 0.5 mg L-1 irrigation specification in every case.</w:t>
      </w:r>
    </w:p>
    <w:p>
      <w:pPr>
        <w:spacing w:after="160"/>
        <w:ind w:firstLine="317"/>
      </w:pPr>
      <w:r>
        <w:rPr>
          <w:i w:val="0"/>
          <w:sz w:val="21"/>
        </w:rPr>
        <w:t>The requirement for a second pass is therefore conditional rather than absolute, and we state it as such: it is not required to meet the WHO guideline, it is required at end-of-life conditions against a 1.0 mg L-1 contract specification, and it is required in all cases where the product serves irrigation of boron-sensitive crops. Where it is fitted, a partial second pass at elevated pH treating 35-100% of the permeate adds 0.16-0.46 kWh m-3 and brings boron to 0.03-0.15 mg L-1 from the worst first-pass case, which satisfies every specification considered. The energy comparison in Section 5.1 is reported both with and without it, so that the conclusion does not depend on which specification a given project faces.</w:t>
      </w:r>
    </w:p>
    <w:p>
      <w:pPr>
        <w:spacing w:after="160"/>
        <w:ind w:firstLine="317"/>
      </w:pPr>
      <w:r>
        <w:rPr>
          <w:i w:val="0"/>
          <w:sz w:val="21"/>
        </w:rPr>
        <w:t>A gravity-fed second pass, drawing on an elevated cistern rather than a booster pump, was considered and rejected on hydraulic grounds. A 12 bar feed requires 122 m of static head; no coastal municipal site offers it, and the structure required would cost more than the pump it replaces.</w:t>
      </w:r>
    </w:p>
    <w:p>
      <w:pPr>
        <w:spacing w:before="220" w:after="100"/>
      </w:pPr>
      <w:r>
        <w:rPr>
          <w:b/>
          <w:sz w:val="23"/>
        </w:rPr>
        <w:t>2.4  Brine concentration</w:t>
      </w:r>
    </w:p>
    <w:p>
      <w:pPr>
        <w:spacing w:after="160"/>
        <w:ind w:firstLine="317"/>
      </w:pPr>
      <w:r>
        <w:rPr>
          <w:i w:val="0"/>
          <w:sz w:val="21"/>
        </w:rPr>
        <w:t>The RO concentrate is routed to a high-pressure, low-salt-rejection membrane stage recovering an additional 50% of its water. The original described this stage as nanofiltration. That label is withdrawn: at the rejections assumed (90% monovalent, 98% divalent) and the pressures implied by the feed osmotic pressure, the stage is a high-pressure RO stage. A genuine NF element, rejecting perhaps 30% of monovalent salt, would give a crystallizer feed of 91.3 g L-1 rather than 124.8 g L-1 and a materially different downstream duty.</w:t>
      </w:r>
    </w:p>
    <w:p>
      <w:pPr>
        <w:spacing w:before="220" w:after="100"/>
      </w:pPr>
      <w:r>
        <w:rPr>
          <w:b/>
          <w:sz w:val="23"/>
        </w:rPr>
        <w:t>2.5  Mineral recovery and crystallization</w:t>
      </w:r>
    </w:p>
    <w:p>
      <w:pPr>
        <w:spacing w:after="160"/>
        <w:ind w:firstLine="317"/>
      </w:pPr>
      <w:r>
        <w:rPr>
          <w:i w:val="0"/>
          <w:sz w:val="21"/>
        </w:rPr>
        <w:t>The concentrated brine undergoes selective precipitation, calcium as CaCO3 by soda-ash dosing followed by magnesium as Mg(OH)2 by lime dosing, with the design basis given in Table 4. The residue is routed to a mechanical vapour compression crystallizer consuming 8-15 kWh m-3 of electrical energy per cubic metre of crystallizer feed [20]. The stage is described throughout as ZLD-capable, by which we mean only that the configuration contains no designed liquid discharge stream, not that zero discharge has been demonstrated. The residual liquid fraction is a modelled quantity without pilot validation, and real leakage, blowdown and operational upsets would raise it. No claim of achieved zero liquid discharge is made anywhere in this work.</w:t>
      </w:r>
    </w:p>
    <w:p>
      <w:pPr>
        <w:spacing w:before="300" w:after="100"/>
      </w:pPr>
      <w:r>
        <w:rPr>
          <w:b/>
          <w:sz w:val="26"/>
        </w:rPr>
        <w:t>3.  Mathematical model</w:t>
      </w:r>
    </w:p>
    <w:p>
      <w:pPr>
        <w:spacing w:after="160"/>
        <w:ind w:firstLine="317"/>
      </w:pPr>
      <w:r>
        <w:rPr>
          <w:i w:val="0"/>
          <w:sz w:val="21"/>
        </w:rPr>
        <w:t>Symbols are defined in the Nomenclature. The solution procedure is sequential: Eqs. (1)-(3) close the water and per-ion salt balance for each membrane stage in turn; Eqs. (4)-(5) give the osmotic pressure of each stream; Eqs. (6)-(7) give the RO stage energy; Eqs. (8)-(9) bound the concentrator energy; Eqs. (10)-(12) give the mineral masses and the alkalinity they require; and Eq. (13) gives the levelized cost. No stage is solved before its feed is known, so the procedure requires no iteration.</w:t>
      </w:r>
    </w:p>
    <w:p>
      <w:pPr>
        <w:spacing w:before="80" w:after="120"/>
        <w:jc w:val="center"/>
      </w:pPr>
      <w:r>
        <w:rPr>
          <w:i/>
          <w:sz w:val="21"/>
        </w:rPr>
        <w:t>Q_p = R Q_f ;   Q_b = Q_f - Q_p          (1)</w:t>
      </w:r>
    </w:p>
    <w:p>
      <w:pPr>
        <w:spacing w:after="40"/>
      </w:pPr>
      <w:r>
        <w:rPr>
          <w:i/>
          <w:sz w:val="18"/>
        </w:rPr>
        <w:t xml:space="preserve">      stage water balance</w:t>
      </w:r>
    </w:p>
    <w:p>
      <w:pPr>
        <w:spacing w:before="80" w:after="120"/>
        <w:jc w:val="center"/>
      </w:pPr>
      <w:r>
        <w:rPr>
          <w:i/>
          <w:sz w:val="21"/>
        </w:rPr>
        <w:t>C_p,i = C_f,i (1 - r_i)          (2)</w:t>
      </w:r>
    </w:p>
    <w:p>
      <w:pPr>
        <w:spacing w:after="40"/>
      </w:pPr>
      <w:r>
        <w:rPr>
          <w:i/>
          <w:sz w:val="18"/>
        </w:rPr>
        <w:t xml:space="preserve">      per-ion permeate concentration</w:t>
      </w:r>
    </w:p>
    <w:p>
      <w:pPr>
        <w:spacing w:before="80" w:after="120"/>
        <w:jc w:val="center"/>
      </w:pPr>
      <w:r>
        <w:rPr>
          <w:i/>
          <w:sz w:val="21"/>
        </w:rPr>
        <w:t>C_b,i = (Q_f C_f,i - Q_p C_p,i) / Q_b          (3)</w:t>
      </w:r>
    </w:p>
    <w:p>
      <w:pPr>
        <w:spacing w:after="40"/>
      </w:pPr>
      <w:r>
        <w:rPr>
          <w:i/>
          <w:sz w:val="18"/>
        </w:rPr>
        <w:t xml:space="preserve">      per-ion salt balance</w:t>
      </w:r>
    </w:p>
    <w:p>
      <w:pPr>
        <w:spacing w:before="80" w:after="120"/>
        <w:jc w:val="center"/>
      </w:pPr>
      <w:r>
        <w:rPr>
          <w:i/>
          <w:sz w:val="21"/>
        </w:rPr>
        <w:t>pi = 27 (TDS / 35)          (4)</w:t>
      </w:r>
    </w:p>
    <w:p>
      <w:pPr>
        <w:spacing w:after="40"/>
      </w:pPr>
      <w:r>
        <w:rPr>
          <w:i/>
          <w:sz w:val="18"/>
        </w:rPr>
        <w:t xml:space="preserve">      linear osmotic model, calibrated at seawater</w:t>
      </w:r>
    </w:p>
    <w:p>
      <w:pPr>
        <w:spacing w:before="80" w:after="120"/>
        <w:jc w:val="center"/>
      </w:pPr>
      <w:r>
        <w:rPr>
          <w:i/>
          <w:sz w:val="21"/>
        </w:rPr>
        <w:t>pi = phi(S) x 27 (TDS / 35)          (5)</w:t>
      </w:r>
    </w:p>
    <w:p>
      <w:pPr>
        <w:spacing w:after="40"/>
      </w:pPr>
      <w:r>
        <w:rPr>
          <w:i/>
          <w:sz w:val="18"/>
        </w:rPr>
        <w:t xml:space="preserve">      osmotic-coefficient-corrected form</w:t>
      </w:r>
    </w:p>
    <w:p>
      <w:pPr>
        <w:spacing w:before="80" w:after="120"/>
        <w:jc w:val="center"/>
      </w:pPr>
      <w:r>
        <w:rPr>
          <w:i/>
          <w:sz w:val="21"/>
        </w:rPr>
        <w:t>P_f = beta pi_b + NDP          (6)</w:t>
      </w:r>
    </w:p>
    <w:p>
      <w:pPr>
        <w:spacing w:after="40"/>
      </w:pPr>
      <w:r>
        <w:rPr>
          <w:i/>
          <w:sz w:val="18"/>
        </w:rPr>
        <w:t xml:space="preserve">      applied pressure including polarization</w:t>
      </w:r>
    </w:p>
    <w:p>
      <w:pPr>
        <w:spacing w:before="80" w:after="120"/>
        <w:jc w:val="center"/>
      </w:pPr>
      <w:r>
        <w:rPr>
          <w:i/>
          <w:sz w:val="21"/>
        </w:rPr>
        <w:t>SEC_RO = [P_f Q_f / eta_pump - eta_PX P_f Q_b] / Q_p          (7)</w:t>
      </w:r>
    </w:p>
    <w:p>
      <w:pPr>
        <w:spacing w:after="40"/>
      </w:pPr>
      <w:r>
        <w:rPr>
          <w:i/>
          <w:sz w:val="18"/>
        </w:rPr>
        <w:t xml:space="preserve">      RO stage with isobaric recovery</w:t>
      </w:r>
    </w:p>
    <w:p>
      <w:pPr>
        <w:spacing w:before="80" w:after="120"/>
        <w:jc w:val="center"/>
      </w:pPr>
      <w:r>
        <w:rPr>
          <w:i/>
          <w:sz w:val="21"/>
        </w:rPr>
        <w:t>w_min = pi_f ln[1 / (1 - R)]          (8)</w:t>
      </w:r>
    </w:p>
    <w:p>
      <w:pPr>
        <w:spacing w:after="40"/>
      </w:pPr>
      <w:r>
        <w:rPr>
          <w:i/>
          <w:sz w:val="18"/>
        </w:rPr>
        <w:t xml:space="preserve">      reversible minimum work of separation under the stated idealized assumptions, per m3 of FEED to the stage</w:t>
      </w:r>
    </w:p>
    <w:p>
      <w:pPr>
        <w:spacing w:before="80" w:after="120"/>
        <w:jc w:val="center"/>
      </w:pPr>
      <w:r>
        <w:rPr>
          <w:i/>
          <w:sz w:val="21"/>
        </w:rPr>
        <w:t>SEC_stage = w_min / eta_II          (9)</w:t>
      </w:r>
    </w:p>
    <w:p>
      <w:pPr>
        <w:spacing w:after="40"/>
      </w:pPr>
      <w:r>
        <w:rPr>
          <w:i/>
          <w:sz w:val="18"/>
        </w:rPr>
        <w:t xml:space="preserve">      actual stage energy from the reversible bound</w:t>
      </w:r>
    </w:p>
    <w:p>
      <w:pPr>
        <w:spacing w:before="80" w:after="120"/>
        <w:jc w:val="center"/>
      </w:pPr>
      <w:r>
        <w:rPr>
          <w:i/>
          <w:sz w:val="21"/>
        </w:rPr>
        <w:t>m_CaCO3 = C_Ca Q_c Y_Ca (M_CaCO3 / M_Ca)          (10)</w:t>
      </w:r>
    </w:p>
    <w:p>
      <w:pPr>
        <w:spacing w:after="40"/>
      </w:pPr>
      <w:r>
        <w:rPr>
          <w:i/>
          <w:sz w:val="18"/>
        </w:rPr>
        <w:t xml:space="preserve">      carbonate product mass</w:t>
      </w:r>
    </w:p>
    <w:p>
      <w:pPr>
        <w:spacing w:before="80" w:after="120"/>
        <w:jc w:val="center"/>
      </w:pPr>
      <w:r>
        <w:rPr>
          <w:i/>
          <w:sz w:val="21"/>
        </w:rPr>
        <w:t>m_MgOH2 = C_Mg Q_c Y_Mg (M_MgOH2 / M_Mg)          (11)</w:t>
      </w:r>
    </w:p>
    <w:p>
      <w:pPr>
        <w:spacing w:after="40"/>
      </w:pPr>
      <w:r>
        <w:rPr>
          <w:i/>
          <w:sz w:val="18"/>
        </w:rPr>
        <w:t xml:space="preserve">      hydroxide product mass</w:t>
      </w:r>
    </w:p>
    <w:p>
      <w:pPr>
        <w:spacing w:before="80" w:after="120"/>
        <w:jc w:val="center"/>
      </w:pPr>
      <w:r>
        <w:rPr>
          <w:i/>
          <w:sz w:val="21"/>
        </w:rPr>
        <w:t>n_base = 2 n_Mg + 2 n_Ca          (12)</w:t>
      </w:r>
    </w:p>
    <w:p>
      <w:pPr>
        <w:spacing w:after="40"/>
      </w:pPr>
      <w:r>
        <w:rPr>
          <w:i/>
          <w:sz w:val="18"/>
        </w:rPr>
        <w:t xml:space="preserve">      alkalinity demand, equivalents</w:t>
      </w:r>
    </w:p>
    <w:p>
      <w:pPr>
        <w:spacing w:before="80" w:after="120"/>
        <w:jc w:val="center"/>
      </w:pPr>
      <w:r>
        <w:rPr>
          <w:i/>
          <w:sz w:val="21"/>
        </w:rPr>
        <w:t>LCOW = (CAPEX CRF + OPEX) / V_annual - R_minerals / V_annual          (13)</w:t>
      </w:r>
    </w:p>
    <w:p>
      <w:pPr>
        <w:spacing w:after="40"/>
      </w:pPr>
      <w:r>
        <w:rPr>
          <w:i/>
          <w:sz w:val="18"/>
        </w:rPr>
        <w:t xml:space="preserve">      levelized cost</w:t>
      </w:r>
    </w:p>
    <w:p>
      <w:pPr>
        <w:spacing w:after="160"/>
        <w:ind w:firstLine="317"/>
      </w:pPr>
      <w:r>
        <w:rPr>
          <w:i w:val="0"/>
          <w:sz w:val="21"/>
        </w:rPr>
        <w:t>Equation (8) is obtained as follows. Removing a differential volume dx of pure water from unit feed volume leaves the retained salt in a smaller volume, so the concentrate osmotic pressure rises as pi(x) = pi_f/(1 -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counter-balanced process so that the applied pressure never exceeds the local osmotic pressure, and negligible concentration polarization. Each makes the bound looser, so a real stage must exceed it. The result is expressed per cubic metre of FEED to the stage, which for the brine concentrator is per cubic metre of brine processed - the same basis on which the original energy assumption was quoted, so the two are directly comparable.</w:t>
      </w:r>
    </w:p>
    <w:p>
      <w:pPr>
        <w:spacing w:after="160"/>
        <w:ind w:firstLine="317"/>
      </w:pPr>
      <w:r>
        <w:rPr>
          <w:i w:val="0"/>
          <w:sz w:val="21"/>
        </w:rPr>
        <w:t>Because phi(S) in Eq. (5) is carried as a bounded sensitivity rather than a locked correlation, the specific energy figures reported here are model estimates rather than final values. Section 4.5 shows the residual uncertainty from this source to be under 2% of total SEC, an order of magnitude smaller than the concentrator correction, so it does not affect any conclusion drawn; but the distinction is stated so that the numbers are not quoted onward as settled.</w:t>
      </w:r>
    </w:p>
    <w:p>
      <w:pPr>
        <w:spacing w:after="160"/>
        <w:ind w:firstLine="317"/>
      </w:pPr>
      <w:r>
        <w:rPr>
          <w:i w:val="0"/>
          <w:sz w:val="21"/>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spacing w:after="160"/>
        <w:ind w:firstLine="317"/>
      </w:pPr>
      <w:r>
        <w:rPr>
          <w:i w:val="0"/>
          <w:sz w:val="21"/>
        </w:rPr>
        <w:t>The osmotic coefficient of seawater is not constant: it passes through a minimum near seawater salinity and rises as the solution concentrates, so a correlation anchored at 35 g L-1 under-predicts at brine salinities. Published seawater property correlations covering this range are available [22,12] and are the appropriate basis for phi(S) in Eq. (5). Section 4.5 reports how much the correction actually matters.</w:t>
      </w:r>
    </w:p>
    <w:p>
      <w:pPr>
        <w:spacing w:after="160"/>
        <w:ind w:firstLine="317"/>
      </w:pPr>
      <w:r>
        <w:rPr>
          <w:i w:val="0"/>
          <w:sz w:val="21"/>
        </w:rPr>
        <w:t>Equations (5), (8), (9) and (12) are new in this revision. Equation (8) is the reversible bound against which the concentrator assumption is tested in Section 4.7; Eq. (12) is the alkalinity balance on which Section 4.7 rests.</w:t>
      </w:r>
    </w:p>
    <w:p>
      <w:pPr>
        <w:spacing w:before="300" w:after="100"/>
      </w:pPr>
      <w:r>
        <w:rPr>
          <w:b/>
          <w:sz w:val="26"/>
        </w:rPr>
        <w:t>4.  Results</w:t>
      </w:r>
    </w:p>
    <w:p>
      <w:pPr>
        <w:spacing w:before="220" w:after="100"/>
      </w:pPr>
      <w:r>
        <w:rPr>
          <w:b/>
          <w:sz w:val="23"/>
        </w:rPr>
        <w:t>4.1  Stream table and process composition</w:t>
      </w:r>
    </w:p>
    <w:tbl>
      <w:tblPr>
        <w:tblStyle w:val="LightGrid-Accent1"/>
        <w:tblW w:type="auto" w:w="0"/>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tcPr>
          <w:p>
            <w:r/>
            <w:r>
              <w:rPr>
                <w:b/>
                <w:sz w:val="17"/>
              </w:rPr>
              <w:t>Stream</w:t>
            </w:r>
          </w:p>
        </w:tc>
        <w:tc>
          <w:tcPr>
            <w:tcW w:type="dxa" w:w="890"/>
          </w:tcPr>
          <w:p>
            <w:r/>
            <w:r>
              <w:rPr>
                <w:b/>
                <w:sz w:val="17"/>
              </w:rPr>
              <w:t>Q</w:t>
            </w:r>
          </w:p>
        </w:tc>
        <w:tc>
          <w:tcPr>
            <w:tcW w:type="dxa" w:w="890"/>
          </w:tcPr>
          <w:p>
            <w:r/>
            <w:r>
              <w:rPr>
                <w:b/>
                <w:sz w:val="17"/>
              </w:rPr>
              <w:t>TDS</w:t>
            </w:r>
          </w:p>
        </w:tc>
        <w:tc>
          <w:tcPr>
            <w:tcW w:type="dxa" w:w="890"/>
          </w:tcPr>
          <w:p>
            <w:r/>
            <w:r>
              <w:rPr>
                <w:b/>
                <w:sz w:val="17"/>
              </w:rPr>
              <w:t>Na+</w:t>
            </w:r>
          </w:p>
        </w:tc>
        <w:tc>
          <w:tcPr>
            <w:tcW w:type="dxa" w:w="890"/>
          </w:tcPr>
          <w:p>
            <w:r/>
            <w:r>
              <w:rPr>
                <w:b/>
                <w:sz w:val="17"/>
              </w:rPr>
              <w:t>Mg2+</w:t>
            </w:r>
          </w:p>
        </w:tc>
        <w:tc>
          <w:tcPr>
            <w:tcW w:type="dxa" w:w="890"/>
          </w:tcPr>
          <w:p>
            <w:r/>
            <w:r>
              <w:rPr>
                <w:b/>
                <w:sz w:val="17"/>
              </w:rPr>
              <w:t>Ca2+</w:t>
            </w:r>
          </w:p>
        </w:tc>
        <w:tc>
          <w:tcPr>
            <w:tcW w:type="dxa" w:w="890"/>
          </w:tcPr>
          <w:p>
            <w:r/>
            <w:r>
              <w:rPr>
                <w:b/>
                <w:sz w:val="17"/>
              </w:rPr>
              <w:t>K+</w:t>
            </w:r>
          </w:p>
        </w:tc>
        <w:tc>
          <w:tcPr>
            <w:tcW w:type="dxa" w:w="890"/>
          </w:tcPr>
          <w:p>
            <w:r/>
            <w:r>
              <w:rPr>
                <w:b/>
                <w:sz w:val="17"/>
              </w:rPr>
              <w:t>Cl-</w:t>
            </w:r>
          </w:p>
        </w:tc>
        <w:tc>
          <w:tcPr>
            <w:tcW w:type="dxa" w:w="890"/>
          </w:tcPr>
          <w:p>
            <w:r/>
            <w:r>
              <w:rPr>
                <w:b/>
                <w:sz w:val="17"/>
              </w:rPr>
              <w:t>SO4 2-</w:t>
            </w:r>
          </w:p>
        </w:tc>
        <w:tc>
          <w:tcPr>
            <w:tcW w:type="dxa" w:w="890"/>
          </w:tcPr>
          <w:p>
            <w:r/>
            <w:r>
              <w:rPr>
                <w:b/>
                <w:sz w:val="17"/>
              </w:rPr>
              <w:t>HCO3-</w:t>
            </w:r>
          </w:p>
        </w:tc>
        <w:tc>
          <w:tcPr>
            <w:tcW w:type="dxa" w:w="890"/>
          </w:tcPr>
          <w:p>
            <w:r/>
            <w:r>
              <w:rPr>
                <w:b/>
                <w:sz w:val="17"/>
              </w:rPr>
              <w:t>Br-</w:t>
            </w:r>
          </w:p>
        </w:tc>
      </w:tr>
      <w:tr>
        <w:tc>
          <w:tcPr>
            <w:tcW w:type="dxa" w:w="890"/>
          </w:tcPr>
          <w:p>
            <w:pPr>
              <w:spacing w:after="20"/>
            </w:pPr>
            <w:r/>
            <w:r>
              <w:rPr>
                <w:sz w:val="17"/>
              </w:rPr>
              <w:t>S1 raw seawater</w:t>
            </w:r>
          </w:p>
        </w:tc>
        <w:tc>
          <w:tcPr>
            <w:tcW w:type="dxa" w:w="890"/>
          </w:tcPr>
          <w:p>
            <w:pPr>
              <w:spacing w:after="20"/>
            </w:pPr>
            <w:r/>
            <w:r>
              <w:rPr>
                <w:sz w:val="17"/>
              </w:rPr>
              <w:t>1.000</w:t>
            </w:r>
          </w:p>
        </w:tc>
        <w:tc>
          <w:tcPr>
            <w:tcW w:type="dxa" w:w="890"/>
          </w:tcPr>
          <w:p>
            <w:pPr>
              <w:spacing w:after="20"/>
            </w:pPr>
            <w:r/>
            <w:r>
              <w:rPr>
                <w:sz w:val="17"/>
              </w:rPr>
              <w:t>35.1</w:t>
            </w:r>
          </w:p>
        </w:tc>
        <w:tc>
          <w:tcPr>
            <w:tcW w:type="dxa" w:w="890"/>
          </w:tcPr>
          <w:p>
            <w:pPr>
              <w:spacing w:after="20"/>
            </w:pPr>
            <w:r/>
            <w:r>
              <w:rPr>
                <w:sz w:val="17"/>
              </w:rPr>
              <w:t>10.781</w:t>
            </w:r>
          </w:p>
        </w:tc>
        <w:tc>
          <w:tcPr>
            <w:tcW w:type="dxa" w:w="890"/>
          </w:tcPr>
          <w:p>
            <w:pPr>
              <w:spacing w:after="20"/>
            </w:pPr>
            <w:r/>
            <w:r>
              <w:rPr>
                <w:sz w:val="17"/>
              </w:rPr>
              <w:t>1.284</w:t>
            </w:r>
          </w:p>
        </w:tc>
        <w:tc>
          <w:tcPr>
            <w:tcW w:type="dxa" w:w="890"/>
          </w:tcPr>
          <w:p>
            <w:pPr>
              <w:spacing w:after="20"/>
            </w:pPr>
            <w:r/>
            <w:r>
              <w:rPr>
                <w:sz w:val="17"/>
              </w:rPr>
              <w:t>0.412</w:t>
            </w:r>
          </w:p>
        </w:tc>
        <w:tc>
          <w:tcPr>
            <w:tcW w:type="dxa" w:w="890"/>
          </w:tcPr>
          <w:p>
            <w:pPr>
              <w:spacing w:after="20"/>
            </w:pPr>
            <w:r/>
            <w:r>
              <w:rPr>
                <w:sz w:val="17"/>
              </w:rPr>
              <w:t>0.399</w:t>
            </w:r>
          </w:p>
        </w:tc>
        <w:tc>
          <w:tcPr>
            <w:tcW w:type="dxa" w:w="890"/>
          </w:tcPr>
          <w:p>
            <w:pPr>
              <w:spacing w:after="20"/>
            </w:pPr>
            <w:r/>
            <w:r>
              <w:rPr>
                <w:sz w:val="17"/>
              </w:rPr>
              <w:t>19.353</w:t>
            </w:r>
          </w:p>
        </w:tc>
        <w:tc>
          <w:tcPr>
            <w:tcW w:type="dxa" w:w="890"/>
          </w:tcPr>
          <w:p>
            <w:pPr>
              <w:spacing w:after="20"/>
            </w:pPr>
            <w:r/>
            <w:r>
              <w:rPr>
                <w:sz w:val="17"/>
              </w:rPr>
              <w:t>2.712</w:t>
            </w:r>
          </w:p>
        </w:tc>
        <w:tc>
          <w:tcPr>
            <w:tcW w:type="dxa" w:w="890"/>
          </w:tcPr>
          <w:p>
            <w:pPr>
              <w:spacing w:after="20"/>
            </w:pPr>
            <w:r/>
            <w:r>
              <w:rPr>
                <w:sz w:val="17"/>
              </w:rPr>
              <w:t>0.126</w:t>
            </w:r>
          </w:p>
        </w:tc>
        <w:tc>
          <w:tcPr>
            <w:tcW w:type="dxa" w:w="890"/>
          </w:tcPr>
          <w:p>
            <w:pPr>
              <w:spacing w:after="20"/>
            </w:pPr>
            <w:r/>
            <w:r>
              <w:rPr>
                <w:sz w:val="17"/>
              </w:rPr>
              <w:t>0.067</w:t>
            </w:r>
          </w:p>
        </w:tc>
      </w:tr>
      <w:tr>
        <w:tc>
          <w:tcPr>
            <w:tcW w:type="dxa" w:w="890"/>
          </w:tcPr>
          <w:p>
            <w:pPr>
              <w:spacing w:after="20"/>
            </w:pPr>
            <w:r/>
            <w:r>
              <w:rPr>
                <w:sz w:val="17"/>
              </w:rPr>
              <w:t>S2 RO permeate</w:t>
            </w:r>
          </w:p>
        </w:tc>
        <w:tc>
          <w:tcPr>
            <w:tcW w:type="dxa" w:w="890"/>
          </w:tcPr>
          <w:p>
            <w:pPr>
              <w:spacing w:after="20"/>
            </w:pPr>
            <w:r/>
            <w:r>
              <w:rPr>
                <w:sz w:val="17"/>
              </w:rPr>
              <w:t>0.450</w:t>
            </w:r>
          </w:p>
        </w:tc>
        <w:tc>
          <w:tcPr>
            <w:tcW w:type="dxa" w:w="890"/>
          </w:tcPr>
          <w:p>
            <w:pPr>
              <w:spacing w:after="20"/>
            </w:pPr>
            <w:r/>
            <w:r>
              <w:rPr>
                <w:sz w:val="17"/>
              </w:rPr>
              <w:t>0.2</w:t>
            </w:r>
          </w:p>
        </w:tc>
        <w:tc>
          <w:tcPr>
            <w:tcW w:type="dxa" w:w="890"/>
          </w:tcPr>
          <w:p>
            <w:pPr>
              <w:spacing w:after="20"/>
            </w:pPr>
            <w:r/>
            <w:r>
              <w:rPr>
                <w:sz w:val="17"/>
              </w:rPr>
              <w:t>0.075</w:t>
            </w:r>
          </w:p>
        </w:tc>
        <w:tc>
          <w:tcPr>
            <w:tcW w:type="dxa" w:w="890"/>
          </w:tcPr>
          <w:p>
            <w:pPr>
              <w:spacing w:after="20"/>
            </w:pPr>
            <w:r/>
            <w:r>
              <w:rPr>
                <w:sz w:val="17"/>
              </w:rPr>
              <w:t>0.004</w:t>
            </w:r>
          </w:p>
        </w:tc>
        <w:tc>
          <w:tcPr>
            <w:tcW w:type="dxa" w:w="890"/>
          </w:tcPr>
          <w:p>
            <w:pPr>
              <w:spacing w:after="20"/>
            </w:pPr>
            <w:r/>
            <w:r>
              <w:rPr>
                <w:sz w:val="17"/>
              </w:rPr>
              <w:t>0.001</w:t>
            </w:r>
          </w:p>
        </w:tc>
        <w:tc>
          <w:tcPr>
            <w:tcW w:type="dxa" w:w="890"/>
          </w:tcPr>
          <w:p>
            <w:pPr>
              <w:spacing w:after="20"/>
            </w:pPr>
            <w:r/>
            <w:r>
              <w:rPr>
                <w:sz w:val="17"/>
              </w:rPr>
              <w:t>0.003</w:t>
            </w:r>
          </w:p>
        </w:tc>
        <w:tc>
          <w:tcPr>
            <w:tcW w:type="dxa" w:w="890"/>
          </w:tcPr>
          <w:p>
            <w:pPr>
              <w:spacing w:after="20"/>
            </w:pPr>
            <w:r/>
            <w:r>
              <w:rPr>
                <w:sz w:val="17"/>
              </w:rPr>
              <w:t>0.136</w:t>
            </w:r>
          </w:p>
        </w:tc>
        <w:tc>
          <w:tcPr>
            <w:tcW w:type="dxa" w:w="890"/>
          </w:tcPr>
          <w:p>
            <w:pPr>
              <w:spacing w:after="20"/>
            </w:pPr>
            <w:r/>
            <w:r>
              <w:rPr>
                <w:sz w:val="17"/>
              </w:rPr>
              <w:t>0.008</w:t>
            </w:r>
          </w:p>
        </w:tc>
        <w:tc>
          <w:tcPr>
            <w:tcW w:type="dxa" w:w="890"/>
          </w:tcPr>
          <w:p>
            <w:pPr>
              <w:spacing w:after="20"/>
            </w:pPr>
            <w:r/>
            <w:r>
              <w:rPr>
                <w:sz w:val="17"/>
              </w:rPr>
              <w:t>0.001</w:t>
            </w:r>
          </w:p>
        </w:tc>
        <w:tc>
          <w:tcPr>
            <w:tcW w:type="dxa" w:w="890"/>
          </w:tcPr>
          <w:p>
            <w:pPr>
              <w:spacing w:after="20"/>
            </w:pPr>
            <w:r/>
            <w:r>
              <w:rPr>
                <w:sz w:val="17"/>
              </w:rPr>
              <w:t>0.001</w:t>
            </w:r>
          </w:p>
        </w:tc>
      </w:tr>
      <w:tr>
        <w:tc>
          <w:tcPr>
            <w:tcW w:type="dxa" w:w="890"/>
          </w:tcPr>
          <w:p>
            <w:pPr>
              <w:spacing w:after="20"/>
            </w:pPr>
            <w:r/>
            <w:r>
              <w:rPr>
                <w:sz w:val="17"/>
              </w:rPr>
              <w:t>S3 RO brine</w:t>
            </w:r>
          </w:p>
        </w:tc>
        <w:tc>
          <w:tcPr>
            <w:tcW w:type="dxa" w:w="890"/>
          </w:tcPr>
          <w:p>
            <w:pPr>
              <w:spacing w:after="20"/>
            </w:pPr>
            <w:r/>
            <w:r>
              <w:rPr>
                <w:sz w:val="17"/>
              </w:rPr>
              <w:t>0.550</w:t>
            </w:r>
          </w:p>
        </w:tc>
        <w:tc>
          <w:tcPr>
            <w:tcW w:type="dxa" w:w="890"/>
          </w:tcPr>
          <w:p>
            <w:pPr>
              <w:spacing w:after="20"/>
            </w:pPr>
            <w:r/>
            <w:r>
              <w:rPr>
                <w:sz w:val="17"/>
              </w:rPr>
              <w:t>63.7</w:t>
            </w:r>
          </w:p>
        </w:tc>
        <w:tc>
          <w:tcPr>
            <w:tcW w:type="dxa" w:w="890"/>
          </w:tcPr>
          <w:p>
            <w:pPr>
              <w:spacing w:after="20"/>
            </w:pPr>
            <w:r/>
            <w:r>
              <w:rPr>
                <w:sz w:val="17"/>
              </w:rPr>
              <w:t>19.540</w:t>
            </w:r>
          </w:p>
        </w:tc>
        <w:tc>
          <w:tcPr>
            <w:tcW w:type="dxa" w:w="890"/>
          </w:tcPr>
          <w:p>
            <w:pPr>
              <w:spacing w:after="20"/>
            </w:pPr>
            <w:r/>
            <w:r>
              <w:rPr>
                <w:sz w:val="17"/>
              </w:rPr>
              <w:t>2.331</w:t>
            </w:r>
          </w:p>
        </w:tc>
        <w:tc>
          <w:tcPr>
            <w:tcW w:type="dxa" w:w="890"/>
          </w:tcPr>
          <w:p>
            <w:pPr>
              <w:spacing w:after="20"/>
            </w:pPr>
            <w:r/>
            <w:r>
              <w:rPr>
                <w:sz w:val="17"/>
              </w:rPr>
              <w:t>0.748</w:t>
            </w:r>
          </w:p>
        </w:tc>
        <w:tc>
          <w:tcPr>
            <w:tcW w:type="dxa" w:w="890"/>
          </w:tcPr>
          <w:p>
            <w:pPr>
              <w:spacing w:after="20"/>
            </w:pPr>
            <w:r/>
            <w:r>
              <w:rPr>
                <w:sz w:val="17"/>
              </w:rPr>
              <w:t>0.723</w:t>
            </w:r>
          </w:p>
        </w:tc>
        <w:tc>
          <w:tcPr>
            <w:tcW w:type="dxa" w:w="890"/>
          </w:tcPr>
          <w:p>
            <w:pPr>
              <w:spacing w:after="20"/>
            </w:pPr>
            <w:r/>
            <w:r>
              <w:rPr>
                <w:sz w:val="17"/>
              </w:rPr>
              <w:t>35.076</w:t>
            </w:r>
          </w:p>
        </w:tc>
        <w:tc>
          <w:tcPr>
            <w:tcW w:type="dxa" w:w="890"/>
          </w:tcPr>
          <w:p>
            <w:pPr>
              <w:spacing w:after="20"/>
            </w:pPr>
            <w:r/>
            <w:r>
              <w:rPr>
                <w:sz w:val="17"/>
              </w:rPr>
              <w:t>4.924</w:t>
            </w:r>
          </w:p>
        </w:tc>
        <w:tc>
          <w:tcPr>
            <w:tcW w:type="dxa" w:w="890"/>
          </w:tcPr>
          <w:p>
            <w:pPr>
              <w:spacing w:after="20"/>
            </w:pPr>
            <w:r/>
            <w:r>
              <w:rPr>
                <w:sz w:val="17"/>
              </w:rPr>
              <w:t>0.228</w:t>
            </w:r>
          </w:p>
        </w:tc>
        <w:tc>
          <w:tcPr>
            <w:tcW w:type="dxa" w:w="890"/>
          </w:tcPr>
          <w:p>
            <w:pPr>
              <w:spacing w:after="20"/>
            </w:pPr>
            <w:r/>
            <w:r>
              <w:rPr>
                <w:sz w:val="17"/>
              </w:rPr>
              <w:t>0.122</w:t>
            </w:r>
          </w:p>
        </w:tc>
      </w:tr>
      <w:tr>
        <w:tc>
          <w:tcPr>
            <w:tcW w:type="dxa" w:w="890"/>
          </w:tcPr>
          <w:p>
            <w:pPr>
              <w:spacing w:after="20"/>
            </w:pPr>
            <w:r/>
            <w:r>
              <w:rPr>
                <w:sz w:val="17"/>
              </w:rPr>
              <w:t>S4 concentrator permeate</w:t>
            </w:r>
          </w:p>
        </w:tc>
        <w:tc>
          <w:tcPr>
            <w:tcW w:type="dxa" w:w="890"/>
          </w:tcPr>
          <w:p>
            <w:pPr>
              <w:spacing w:after="20"/>
            </w:pPr>
            <w:r/>
            <w:r>
              <w:rPr>
                <w:sz w:val="17"/>
              </w:rPr>
              <w:t>0.275</w:t>
            </w:r>
          </w:p>
        </w:tc>
        <w:tc>
          <w:tcPr>
            <w:tcW w:type="dxa" w:w="890"/>
          </w:tcPr>
          <w:p>
            <w:pPr>
              <w:spacing w:after="20"/>
            </w:pPr>
            <w:r/>
            <w:r>
              <w:rPr>
                <w:sz w:val="17"/>
              </w:rPr>
              <w:t>5.7</w:t>
            </w:r>
          </w:p>
        </w:tc>
        <w:tc>
          <w:tcPr>
            <w:tcW w:type="dxa" w:w="890"/>
          </w:tcPr>
          <w:p>
            <w:pPr>
              <w:spacing w:after="20"/>
            </w:pPr>
            <w:r/>
            <w:r>
              <w:rPr>
                <w:sz w:val="17"/>
              </w:rPr>
              <w:t>1.954</w:t>
            </w:r>
          </w:p>
        </w:tc>
        <w:tc>
          <w:tcPr>
            <w:tcW w:type="dxa" w:w="890"/>
          </w:tcPr>
          <w:p>
            <w:pPr>
              <w:spacing w:after="20"/>
            </w:pPr>
            <w:r/>
            <w:r>
              <w:rPr>
                <w:sz w:val="17"/>
              </w:rPr>
              <w:t>0.047</w:t>
            </w:r>
          </w:p>
        </w:tc>
        <w:tc>
          <w:tcPr>
            <w:tcW w:type="dxa" w:w="890"/>
          </w:tcPr>
          <w:p>
            <w:pPr>
              <w:spacing w:after="20"/>
            </w:pPr>
            <w:r/>
            <w:r>
              <w:rPr>
                <w:sz w:val="17"/>
              </w:rPr>
              <w:t>0.015</w:t>
            </w:r>
          </w:p>
        </w:tc>
        <w:tc>
          <w:tcPr>
            <w:tcW w:type="dxa" w:w="890"/>
          </w:tcPr>
          <w:p>
            <w:pPr>
              <w:spacing w:after="20"/>
            </w:pPr>
            <w:r/>
            <w:r>
              <w:rPr>
                <w:sz w:val="17"/>
              </w:rPr>
              <w:t>0.072</w:t>
            </w:r>
          </w:p>
        </w:tc>
        <w:tc>
          <w:tcPr>
            <w:tcW w:type="dxa" w:w="890"/>
          </w:tcPr>
          <w:p>
            <w:pPr>
              <w:spacing w:after="20"/>
            </w:pPr>
            <w:r/>
            <w:r>
              <w:rPr>
                <w:sz w:val="17"/>
              </w:rPr>
              <w:t>3.508</w:t>
            </w:r>
          </w:p>
        </w:tc>
        <w:tc>
          <w:tcPr>
            <w:tcW w:type="dxa" w:w="890"/>
          </w:tcPr>
          <w:p>
            <w:pPr>
              <w:spacing w:after="20"/>
            </w:pPr>
            <w:r/>
            <w:r>
              <w:rPr>
                <w:sz w:val="17"/>
              </w:rPr>
              <w:t>0.099</w:t>
            </w:r>
          </w:p>
        </w:tc>
        <w:tc>
          <w:tcPr>
            <w:tcW w:type="dxa" w:w="890"/>
          </w:tcPr>
          <w:p>
            <w:pPr>
              <w:spacing w:after="20"/>
            </w:pPr>
            <w:r/>
            <w:r>
              <w:rPr>
                <w:sz w:val="17"/>
              </w:rPr>
              <w:t>0.023</w:t>
            </w:r>
          </w:p>
        </w:tc>
        <w:tc>
          <w:tcPr>
            <w:tcW w:type="dxa" w:w="890"/>
          </w:tcPr>
          <w:p>
            <w:pPr>
              <w:spacing w:after="20"/>
            </w:pPr>
            <w:r/>
            <w:r>
              <w:rPr>
                <w:sz w:val="17"/>
              </w:rPr>
              <w:t>0.012</w:t>
            </w:r>
          </w:p>
        </w:tc>
      </w:tr>
      <w:tr>
        <w:tc>
          <w:tcPr>
            <w:tcW w:type="dxa" w:w="890"/>
          </w:tcPr>
          <w:p>
            <w:pPr>
              <w:spacing w:after="20"/>
            </w:pPr>
            <w:r/>
            <w:r>
              <w:rPr>
                <w:sz w:val="17"/>
              </w:rPr>
              <w:t>S5 concentrator concentrate</w:t>
            </w:r>
          </w:p>
        </w:tc>
        <w:tc>
          <w:tcPr>
            <w:tcW w:type="dxa" w:w="890"/>
          </w:tcPr>
          <w:p>
            <w:pPr>
              <w:spacing w:after="20"/>
            </w:pPr>
            <w:r/>
            <w:r>
              <w:rPr>
                <w:sz w:val="17"/>
              </w:rPr>
              <w:t>0.275</w:t>
            </w:r>
          </w:p>
        </w:tc>
        <w:tc>
          <w:tcPr>
            <w:tcW w:type="dxa" w:w="890"/>
          </w:tcPr>
          <w:p>
            <w:pPr>
              <w:spacing w:after="20"/>
            </w:pPr>
            <w:r/>
            <w:r>
              <w:rPr>
                <w:sz w:val="17"/>
              </w:rPr>
              <w:t>121.7</w:t>
            </w:r>
          </w:p>
        </w:tc>
        <w:tc>
          <w:tcPr>
            <w:tcW w:type="dxa" w:w="890"/>
          </w:tcPr>
          <w:p>
            <w:pPr>
              <w:spacing w:after="20"/>
            </w:pPr>
            <w:r/>
            <w:r>
              <w:rPr>
                <w:sz w:val="17"/>
              </w:rPr>
              <w:t>37.126</w:t>
            </w:r>
          </w:p>
        </w:tc>
        <w:tc>
          <w:tcPr>
            <w:tcW w:type="dxa" w:w="890"/>
          </w:tcPr>
          <w:p>
            <w:pPr>
              <w:spacing w:after="20"/>
            </w:pPr>
            <w:r/>
            <w:r>
              <w:rPr>
                <w:sz w:val="17"/>
              </w:rPr>
              <w:t>4.616</w:t>
            </w:r>
          </w:p>
        </w:tc>
        <w:tc>
          <w:tcPr>
            <w:tcW w:type="dxa" w:w="890"/>
          </w:tcPr>
          <w:p>
            <w:pPr>
              <w:spacing w:after="20"/>
            </w:pPr>
            <w:r/>
            <w:r>
              <w:rPr>
                <w:sz w:val="17"/>
              </w:rPr>
              <w:t>1.481</w:t>
            </w:r>
          </w:p>
        </w:tc>
        <w:tc>
          <w:tcPr>
            <w:tcW w:type="dxa" w:w="890"/>
          </w:tcPr>
          <w:p>
            <w:pPr>
              <w:spacing w:after="20"/>
            </w:pPr>
            <w:r/>
            <w:r>
              <w:rPr>
                <w:sz w:val="17"/>
              </w:rPr>
              <w:t>1.374</w:t>
            </w:r>
          </w:p>
        </w:tc>
        <w:tc>
          <w:tcPr>
            <w:tcW w:type="dxa" w:w="890"/>
          </w:tcPr>
          <w:p>
            <w:pPr>
              <w:spacing w:after="20"/>
            </w:pPr>
            <w:r/>
            <w:r>
              <w:rPr>
                <w:sz w:val="17"/>
              </w:rPr>
              <w:t>66.645</w:t>
            </w:r>
          </w:p>
        </w:tc>
        <w:tc>
          <w:tcPr>
            <w:tcW w:type="dxa" w:w="890"/>
          </w:tcPr>
          <w:p>
            <w:pPr>
              <w:spacing w:after="20"/>
            </w:pPr>
            <w:r/>
            <w:r>
              <w:rPr>
                <w:sz w:val="17"/>
              </w:rPr>
              <w:t>9.750</w:t>
            </w:r>
          </w:p>
        </w:tc>
        <w:tc>
          <w:tcPr>
            <w:tcW w:type="dxa" w:w="890"/>
          </w:tcPr>
          <w:p>
            <w:pPr>
              <w:spacing w:after="20"/>
            </w:pPr>
            <w:r/>
            <w:r>
              <w:rPr>
                <w:sz w:val="17"/>
              </w:rPr>
              <w:t>0.434</w:t>
            </w:r>
          </w:p>
        </w:tc>
        <w:tc>
          <w:tcPr>
            <w:tcW w:type="dxa" w:w="890"/>
          </w:tcPr>
          <w:p>
            <w:pPr>
              <w:spacing w:after="20"/>
            </w:pPr>
            <w:r/>
            <w:r>
              <w:rPr>
                <w:sz w:val="17"/>
              </w:rPr>
              <w:t>0.232</w:t>
            </w:r>
          </w:p>
        </w:tc>
      </w:tr>
      <w:tr>
        <w:tc>
          <w:tcPr>
            <w:tcW w:type="dxa" w:w="890"/>
          </w:tcPr>
          <w:p>
            <w:pPr>
              <w:spacing w:after="20"/>
            </w:pPr>
            <w:r/>
            <w:r>
              <w:rPr>
                <w:sz w:val="17"/>
              </w:rPr>
              <w:t>S6 crystallizer feed</w:t>
            </w:r>
          </w:p>
        </w:tc>
        <w:tc>
          <w:tcPr>
            <w:tcW w:type="dxa" w:w="890"/>
          </w:tcPr>
          <w:p>
            <w:pPr>
              <w:spacing w:after="20"/>
            </w:pPr>
            <w:r/>
            <w:r>
              <w:rPr>
                <w:sz w:val="17"/>
              </w:rPr>
              <w:t>0.275</w:t>
            </w:r>
          </w:p>
        </w:tc>
        <w:tc>
          <w:tcPr>
            <w:tcW w:type="dxa" w:w="890"/>
          </w:tcPr>
          <w:p>
            <w:pPr>
              <w:spacing w:after="20"/>
            </w:pPr>
            <w:r/>
            <w:r>
              <w:rPr>
                <w:sz w:val="17"/>
              </w:rPr>
              <w:t>124.8</w:t>
            </w:r>
          </w:p>
        </w:tc>
        <w:tc>
          <w:tcPr>
            <w:tcW w:type="dxa" w:w="890"/>
          </w:tcPr>
          <w:p>
            <w:pPr>
              <w:spacing w:after="20"/>
            </w:pPr>
            <w:r/>
            <w:r>
              <w:rPr>
                <w:sz w:val="17"/>
              </w:rPr>
              <w:t>38.740</w:t>
            </w:r>
          </w:p>
        </w:tc>
        <w:tc>
          <w:tcPr>
            <w:tcW w:type="dxa" w:w="890"/>
          </w:tcPr>
          <w:p>
            <w:pPr>
              <w:spacing w:after="20"/>
            </w:pPr>
            <w:r/>
            <w:r>
              <w:rPr>
                <w:sz w:val="17"/>
              </w:rPr>
              <w:t>0.092</w:t>
            </w:r>
          </w:p>
        </w:tc>
        <w:tc>
          <w:tcPr>
            <w:tcW w:type="dxa" w:w="890"/>
          </w:tcPr>
          <w:p>
            <w:pPr>
              <w:spacing w:after="20"/>
            </w:pPr>
            <w:r/>
            <w:r>
              <w:rPr>
                <w:sz w:val="17"/>
              </w:rPr>
              <w:t>7.534</w:t>
            </w:r>
          </w:p>
        </w:tc>
        <w:tc>
          <w:tcPr>
            <w:tcW w:type="dxa" w:w="890"/>
          </w:tcPr>
          <w:p>
            <w:pPr>
              <w:spacing w:after="20"/>
            </w:pPr>
            <w:r/>
            <w:r>
              <w:rPr>
                <w:sz w:val="17"/>
              </w:rPr>
              <w:t>1.374</w:t>
            </w:r>
          </w:p>
        </w:tc>
        <w:tc>
          <w:tcPr>
            <w:tcW w:type="dxa" w:w="890"/>
          </w:tcPr>
          <w:p>
            <w:pPr>
              <w:spacing w:after="20"/>
            </w:pPr>
            <w:r/>
            <w:r>
              <w:rPr>
                <w:sz w:val="17"/>
              </w:rPr>
              <w:t>66.645</w:t>
            </w:r>
          </w:p>
        </w:tc>
        <w:tc>
          <w:tcPr>
            <w:tcW w:type="dxa" w:w="890"/>
          </w:tcPr>
          <w:p>
            <w:pPr>
              <w:spacing w:after="20"/>
            </w:pPr>
            <w:r/>
            <w:r>
              <w:rPr>
                <w:sz w:val="17"/>
              </w:rPr>
              <w:t>9.750</w:t>
            </w:r>
          </w:p>
        </w:tc>
        <w:tc>
          <w:tcPr>
            <w:tcW w:type="dxa" w:w="890"/>
          </w:tcPr>
          <w:p>
            <w:pPr>
              <w:spacing w:after="20"/>
            </w:pPr>
            <w:r/>
            <w:r>
              <w:rPr>
                <w:sz w:val="17"/>
              </w:rPr>
              <w:t>0.434</w:t>
            </w:r>
          </w:p>
        </w:tc>
        <w:tc>
          <w:tcPr>
            <w:tcW w:type="dxa" w:w="890"/>
          </w:tcPr>
          <w:p>
            <w:pPr>
              <w:spacing w:after="20"/>
            </w:pPr>
            <w:r/>
            <w:r>
              <w:rPr>
                <w:sz w:val="17"/>
              </w:rPr>
              <w:t>0.232</w:t>
            </w:r>
          </w:p>
        </w:tc>
      </w:tr>
    </w:tbl>
    <w:p>
      <w:pPr>
        <w:spacing w:after="200"/>
      </w:pPr>
      <w:r>
        <w:rPr>
          <w:i/>
          <w:sz w:val="18"/>
        </w:rPr>
        <w:t>Table 1. Ion-by-ion stream table, g L-1, per cubic metre of raw seawater. S6 is the crystallizer feed.</w:t>
      </w:r>
    </w:p>
    <w:p>
      <w:pPr>
        <w:spacing w:after="160"/>
        <w:ind w:firstLine="317"/>
      </w:pPr>
      <w:r>
        <w:rPr>
          <w:i w:val="0"/>
          <w:sz w:val="21"/>
        </w:rPr>
        <w:t>Two features of Table 1 were not visible in the original analysis. Calcium rises from 1.48 to 7.53 g L-1 across the precipitation train rather than falling, because lime dosing returns one calcium ion per magnesium precipitated. Total dissolved solids also rise, from 121.7 to 124.8 g L-1, because the dissolved reagents added exceed the solids removed. Selective precipitation is therefore justified by the value of its products and not by any reduction in crystallizer duty, which it slightly increases. This is worth stating plainly because it contradicts a common intuition about brine mineral recovery: extracting solids from the stream does not lighten the thermal load downstream when the reagents that extract them add more dissolved mass than the solids remove. Any assessment that credits precipitation with a reduced crystallizer duty should check this balance for its own reagent set.</w:t>
      </w:r>
    </w:p>
    <w:p>
      <w:pPr>
        <w:spacing w:before="220" w:after="100"/>
      </w:pPr>
      <w:r>
        <w:rPr>
          <w:b/>
          <w:sz w:val="23"/>
        </w:rPr>
        <w:t>4.2  Incremental contribution of each subsystem</w:t>
      </w:r>
    </w:p>
    <w:p>
      <w:pPr>
        <w:spacing w:after="160"/>
        <w:ind w:firstLine="317"/>
      </w:pPr>
      <w:r>
        <w:rPr>
          <w:i w:val="0"/>
          <w:sz w:val="21"/>
        </w:rPr>
        <w:t>The five-case decomposition isolates each subsystem's contribution to specific energy consumption. Case A is a conventional turbine-ERD baseline, Case B substitutes the isobaric pressure exchanger, Case C adds the subsurface intake, Case D adds brine concentration, and Case E adds crystallization. Table 2 reports the decomposition with the concentrator held to the bounded range of Section 4.5 rather than to the literature midpoint used in the original.</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
              <w:rPr>
                <w:b/>
                <w:sz w:val="17"/>
              </w:rPr>
              <w:t>Concentrator basis</w:t>
            </w:r>
          </w:p>
        </w:tc>
        <w:tc>
          <w:tcPr>
            <w:tcW w:type="dxa" w:w="1958"/>
          </w:tcPr>
          <w:p>
            <w:r/>
            <w:r>
              <w:rPr>
                <w:b/>
                <w:sz w:val="17"/>
              </w:rPr>
              <w:t>kWh m-3 brine</w:t>
            </w:r>
          </w:p>
        </w:tc>
        <w:tc>
          <w:tcPr>
            <w:tcW w:type="dxa" w:w="1958"/>
          </w:tcPr>
          <w:p>
            <w:r/>
            <w:r>
              <w:rPr>
                <w:b/>
                <w:sz w:val="17"/>
              </w:rPr>
              <w:t>Case C</w:t>
            </w:r>
          </w:p>
        </w:tc>
        <w:tc>
          <w:tcPr>
            <w:tcW w:type="dxa" w:w="1958"/>
          </w:tcPr>
          <w:p>
            <w:r/>
            <w:r>
              <w:rPr>
                <w:b/>
                <w:sz w:val="17"/>
              </w:rPr>
              <w:t>Case D</w:t>
            </w:r>
          </w:p>
        </w:tc>
        <w:tc>
          <w:tcPr>
            <w:tcW w:type="dxa" w:w="1958"/>
          </w:tcPr>
          <w:p>
            <w:r/>
            <w:r>
              <w:rPr>
                <w:b/>
                <w:sz w:val="17"/>
              </w:rPr>
              <w:t>Case E</w:t>
            </w:r>
          </w:p>
        </w:tc>
      </w:tr>
      <w:tr>
        <w:tc>
          <w:tcPr>
            <w:tcW w:type="dxa" w:w="1958"/>
          </w:tcPr>
          <w:p>
            <w:pPr>
              <w:spacing w:after="20"/>
            </w:pPr>
            <w:r/>
            <w:r>
              <w:rPr>
                <w:sz w:val="17"/>
              </w:rPr>
              <w:t>original assumption, 0.75</w:t>
            </w:r>
          </w:p>
        </w:tc>
        <w:tc>
          <w:tcPr>
            <w:tcW w:type="dxa" w:w="1958"/>
          </w:tcPr>
          <w:p>
            <w:pPr>
              <w:spacing w:after="20"/>
            </w:pPr>
            <w:r/>
            <w:r>
              <w:rPr>
                <w:sz w:val="17"/>
              </w:rPr>
              <w:t>0.75</w:t>
            </w:r>
          </w:p>
        </w:tc>
        <w:tc>
          <w:tcPr>
            <w:tcW w:type="dxa" w:w="1958"/>
          </w:tcPr>
          <w:p>
            <w:pPr>
              <w:spacing w:after="20"/>
            </w:pPr>
            <w:r/>
            <w:r>
              <w:rPr>
                <w:sz w:val="17"/>
              </w:rPr>
              <w:t>2.73</w:t>
            </w:r>
          </w:p>
        </w:tc>
        <w:tc>
          <w:tcPr>
            <w:tcW w:type="dxa" w:w="1958"/>
          </w:tcPr>
          <w:p>
            <w:pPr>
              <w:spacing w:after="20"/>
            </w:pPr>
            <w:r/>
            <w:r>
              <w:rPr>
                <w:sz w:val="17"/>
              </w:rPr>
              <w:t>3.65</w:t>
            </w:r>
          </w:p>
        </w:tc>
        <w:tc>
          <w:tcPr>
            <w:tcW w:type="dxa" w:w="1958"/>
          </w:tcPr>
          <w:p>
            <w:pPr>
              <w:spacing w:after="20"/>
            </w:pPr>
            <w:r/>
            <w:r>
              <w:rPr>
                <w:sz w:val="17"/>
              </w:rPr>
              <w:t>10.67</w:t>
            </w:r>
          </w:p>
        </w:tc>
      </w:tr>
      <w:tr>
        <w:tc>
          <w:tcPr>
            <w:tcW w:type="dxa" w:w="1958"/>
          </w:tcPr>
          <w:p>
            <w:pPr>
              <w:spacing w:after="20"/>
            </w:pPr>
            <w:r/>
            <w:r>
              <w:rPr>
                <w:sz w:val="17"/>
              </w:rPr>
              <w:t>55% second-law efficiency</w:t>
            </w:r>
          </w:p>
        </w:tc>
        <w:tc>
          <w:tcPr>
            <w:tcW w:type="dxa" w:w="1958"/>
          </w:tcPr>
          <w:p>
            <w:pPr>
              <w:spacing w:after="20"/>
            </w:pPr>
            <w:r/>
            <w:r>
              <w:rPr>
                <w:sz w:val="17"/>
              </w:rPr>
              <w:t>1.72</w:t>
            </w:r>
          </w:p>
        </w:tc>
        <w:tc>
          <w:tcPr>
            <w:tcW w:type="dxa" w:w="1958"/>
          </w:tcPr>
          <w:p>
            <w:pPr>
              <w:spacing w:after="20"/>
            </w:pPr>
            <w:r/>
            <w:r>
              <w:rPr>
                <w:sz w:val="17"/>
              </w:rPr>
              <w:t>2.73</w:t>
            </w:r>
          </w:p>
        </w:tc>
        <w:tc>
          <w:tcPr>
            <w:tcW w:type="dxa" w:w="1958"/>
          </w:tcPr>
          <w:p>
            <w:pPr>
              <w:spacing w:after="20"/>
            </w:pPr>
            <w:r/>
            <w:r>
              <w:rPr>
                <w:sz w:val="17"/>
              </w:rPr>
              <w:t>4.83</w:t>
            </w:r>
          </w:p>
        </w:tc>
        <w:tc>
          <w:tcPr>
            <w:tcW w:type="dxa" w:w="1958"/>
          </w:tcPr>
          <w:p>
            <w:pPr>
              <w:spacing w:after="20"/>
            </w:pPr>
            <w:r/>
            <w:r>
              <w:rPr>
                <w:sz w:val="17"/>
              </w:rPr>
              <w:t>11.85</w:t>
            </w:r>
          </w:p>
        </w:tc>
      </w:tr>
      <w:tr>
        <w:tc>
          <w:tcPr>
            <w:tcW w:type="dxa" w:w="1958"/>
          </w:tcPr>
          <w:p>
            <w:pPr>
              <w:spacing w:after="20"/>
            </w:pPr>
            <w:r/>
            <w:r>
              <w:rPr>
                <w:sz w:val="17"/>
              </w:rPr>
              <w:t>Monte Carlo median</w:t>
            </w:r>
          </w:p>
        </w:tc>
        <w:tc>
          <w:tcPr>
            <w:tcW w:type="dxa" w:w="1958"/>
          </w:tcPr>
          <w:p>
            <w:pPr>
              <w:spacing w:after="20"/>
            </w:pPr>
            <w:r/>
            <w:r>
              <w:rPr>
                <w:sz w:val="17"/>
              </w:rPr>
              <w:t>2.36</w:t>
            </w:r>
          </w:p>
        </w:tc>
        <w:tc>
          <w:tcPr>
            <w:tcW w:type="dxa" w:w="1958"/>
          </w:tcPr>
          <w:p>
            <w:pPr>
              <w:spacing w:after="20"/>
            </w:pPr>
            <w:r/>
            <w:r>
              <w:rPr>
                <w:sz w:val="17"/>
              </w:rPr>
              <w:t>2.73</w:t>
            </w:r>
          </w:p>
        </w:tc>
        <w:tc>
          <w:tcPr>
            <w:tcW w:type="dxa" w:w="1958"/>
          </w:tcPr>
          <w:p>
            <w:pPr>
              <w:spacing w:after="20"/>
            </w:pPr>
            <w:r/>
            <w:r>
              <w:rPr>
                <w:sz w:val="17"/>
              </w:rPr>
              <w:t>5.61</w:t>
            </w:r>
          </w:p>
        </w:tc>
        <w:tc>
          <w:tcPr>
            <w:tcW w:type="dxa" w:w="1958"/>
          </w:tcPr>
          <w:p>
            <w:pPr>
              <w:spacing w:after="20"/>
            </w:pPr>
            <w:r/>
            <w:r>
              <w:rPr>
                <w:sz w:val="17"/>
              </w:rPr>
              <w:t>12.64</w:t>
            </w:r>
          </w:p>
        </w:tc>
      </w:tr>
      <w:tr>
        <w:tc>
          <w:tcPr>
            <w:tcW w:type="dxa" w:w="1958"/>
          </w:tcPr>
          <w:p>
            <w:pPr>
              <w:spacing w:after="20"/>
            </w:pPr>
            <w:r/>
            <w:r>
              <w:rPr>
                <w:sz w:val="17"/>
              </w:rPr>
              <w:t>25% second-law efficiency</w:t>
            </w:r>
          </w:p>
        </w:tc>
        <w:tc>
          <w:tcPr>
            <w:tcW w:type="dxa" w:w="1958"/>
          </w:tcPr>
          <w:p>
            <w:pPr>
              <w:spacing w:after="20"/>
            </w:pPr>
            <w:r/>
            <w:r>
              <w:rPr>
                <w:sz w:val="17"/>
              </w:rPr>
              <w:t>3.77</w:t>
            </w:r>
          </w:p>
        </w:tc>
        <w:tc>
          <w:tcPr>
            <w:tcW w:type="dxa" w:w="1958"/>
          </w:tcPr>
          <w:p>
            <w:pPr>
              <w:spacing w:after="20"/>
            </w:pPr>
            <w:r/>
            <w:r>
              <w:rPr>
                <w:sz w:val="17"/>
              </w:rPr>
              <w:t>2.73</w:t>
            </w:r>
          </w:p>
        </w:tc>
        <w:tc>
          <w:tcPr>
            <w:tcW w:type="dxa" w:w="1958"/>
          </w:tcPr>
          <w:p>
            <w:pPr>
              <w:spacing w:after="20"/>
            </w:pPr>
            <w:r/>
            <w:r>
              <w:rPr>
                <w:sz w:val="17"/>
              </w:rPr>
              <w:t>7.34</w:t>
            </w:r>
          </w:p>
        </w:tc>
        <w:tc>
          <w:tcPr>
            <w:tcW w:type="dxa" w:w="1958"/>
          </w:tcPr>
          <w:p>
            <w:pPr>
              <w:spacing w:after="20"/>
            </w:pPr>
            <w:r/>
            <w:r>
              <w:rPr>
                <w:sz w:val="17"/>
              </w:rPr>
              <w:t>14.37</w:t>
            </w:r>
          </w:p>
        </w:tc>
      </w:tr>
    </w:tbl>
    <w:p>
      <w:pPr>
        <w:spacing w:after="200"/>
      </w:pPr>
      <w:r>
        <w:rPr>
          <w:i/>
          <w:sz w:val="18"/>
        </w:rPr>
        <w:t>Table 2. Stage decomposition, kWh per cubic metre of permeate. Case C is the desalination stage, Case D adds brine concentration, Case E adds crystallization. The original reported Case E as 10.68 kWh m-3.</w:t>
      </w:r>
    </w:p>
    <w:p>
      <w:pPr>
        <w:spacing w:after="160"/>
        <w:ind w:firstLine="317"/>
      </w:pPr>
      <w:r>
        <w:rPr>
          <w:i w:val="0"/>
          <w:sz w:val="21"/>
        </w:rPr>
        <w:t>Crystallization remains the dominant single term in every case, but the concentrator correction moves Case E from the 10.68 kWh m-3 originally reported to a modelled 11.85-14.37 kWh m-3. As elsewhere in this paper, that range is a bounded model estimate rather than a measured or predicted plant value.</w:t>
      </w:r>
    </w:p>
    <w:p>
      <w:pPr>
        <w:spacing w:before="220" w:after="100"/>
      </w:pPr>
      <w:r>
        <w:rPr>
          <w:b/>
          <w:sz w:val="23"/>
        </w:rPr>
        <w:t>4.3  Market absorption</w:t>
      </w:r>
    </w:p>
    <w:p>
      <w:pPr>
        <w:spacing w:after="160"/>
        <w:ind w:firstLine="317"/>
      </w:pPr>
      <w:r>
        <w:rPr>
          <w:i w:val="0"/>
          <w:sz w:val="21"/>
        </w:rPr>
        <w:t>The original included a market-absorption check to test whether the recovered tonnage could in fact be sold, and that check stands: a 10,000 m3 d-1 plant would produce a material fraction of the addressable Mg(OH)2 market, so a sellable fraction well below unity is the realistic assumption rather than a conservative one. The revision extends the same reasoning to calcium carbonate, which the original credited at 100% of market price. Recovered carbonate competes against a large, low-margin commodity whose specification depends on purity, particle size and brightness, none of which is controlled by a process optimised for water. A sellable fraction of 50-70% is used here, sampled rather than fixed, and transport and refining beyond primary precipitation remain outside the boundary and therefore uncredited.</w:t>
      </w:r>
    </w:p>
    <w:p>
      <w:pPr>
        <w:spacing w:before="220" w:after="100"/>
      </w:pPr>
      <w:r>
        <w:rPr>
          <w:b/>
          <w:sz w:val="23"/>
        </w:rPr>
        <w:t>4.4  Environmental performance</w:t>
      </w:r>
    </w:p>
    <w:p>
      <w:pPr>
        <w:spacing w:after="160"/>
        <w:ind w:firstLine="317"/>
      </w:pPr>
      <w:r>
        <w:rPr>
          <w:i w:val="0"/>
          <w:sz w:val="21"/>
        </w:rPr>
        <w:t>The original environmental assessment counted carbon dioxide from grid electricity only. On the corrected energy basis that term is approximately 5.2 kg CO2 per cubic metre of permeate at a grid intensity of 0.4 kg kWh-1. Section 4.7 shows it to be the smaller half of the account: reagent embodied carbon adds 10.0 kg m-3 and the carbonate product fixes only 0.94 kg m-3, giving a net median of 14.3 kg CO2 per cubic metre (90% interval 10.7-18.2). No sampled configuration is carbon negative. Replacing MVC crystallization with solar interfacial evaporation [4,5,6] would remove most of the electricity term but none of the reagent term, and would substitute land area for energy.</w:t>
      </w:r>
    </w:p>
    <w:p>
      <w:pPr>
        <w:spacing w:after="160"/>
        <w:ind w:firstLine="317"/>
      </w:pPr>
      <w:r>
        <w:rPr>
          <w:i w:val="0"/>
          <w:sz w:val="21"/>
        </w:rPr>
        <w:t>Two environmental risks specific to the intake are noted rather than modelled. Subsurface intakes are subject to progressive clogging of the seabed or aquifer interface, and sustained abstraction near the coast carries a risk of saline intrusion into adjacent fresh groundwater. Both are strongly site dependent and would require hydrogeological assessment at any candidate location.</w:t>
      </w:r>
    </w:p>
    <w:p>
      <w:pPr>
        <w:spacing w:before="220" w:after="100"/>
      </w:pPr>
      <w:r>
        <w:rPr>
          <w:b/>
          <w:sz w:val="23"/>
        </w:rPr>
        <w:t>4.5  Consistency test 1: the concentrator against the least work of separation</w:t>
      </w:r>
    </w:p>
    <w:p>
      <w:pPr>
        <w:spacing w:after="160"/>
        <w:ind w:firstLine="317"/>
      </w:pPr>
      <w:r>
        <w:rPr>
          <w:i w:val="0"/>
          <w:sz w:val="21"/>
        </w:rPr>
        <w:t>Integrating the rising concentrate osmotic pressure over the extracted volume gives Eq. (8). At the modelled RO brine (49 bar) and 50% concentrator recovery this evaluates to 0.944 kWh per cubic metre of brine processed. Any real stage must exceed it. The 0.5-1.0 kWh m-3 range adopted in the original Section 3.6, and in comparable published assessments, spans 0.53 to 1.06 times this minimum: the midpoint is thermodynamically inadmissible and the upper bound would require a second-law efficiency of 94%. Dividing the reversible minimum by the 25-55% second-law efficiency range characteristic of high-pressure membrane stages gives a bounded estimate of 1.72-3.77 kWh m-3. We describe this as a bounded estimate rather than an attainable or demonstrated value: it is derived from a thermodynamic bound and an assumed efficiency range, not from measurement of a stage operating on this feed. All results below use that range.</w:t>
      </w:r>
    </w:p>
    <w:p>
      <w:pPr>
        <w:spacing w:after="160"/>
        <w:ind w:firstLine="317"/>
      </w:pPr>
      <w:r>
        <w:rPr>
          <w:i w:val="0"/>
          <w:sz w:val="21"/>
        </w:rPr>
        <w:t>Reviewer comment on the original asked that the deviation of the linear osmotic model at brine salinity be quantified rather than acknowledged. Applying an osmotic-coefficient rise of 8-24% between 35 and 120 g L-1 raises the concentrator feed osmotic pressure from 49.0 to 50.3-52.9 bar and the stage energy from 2.36 to 2.42-2.55 kWh m-3 of brine, moving total specific energy consumption from 12.64 to 12.87 kWh m-3. The effect is therefore real but second-order, under 2% of total SEC, and an order of magnitude smaller than the concentrator correction above. It is reported here as a bounded sensitivity; locking it to a point value requires implementing the published correlation [22,12], which the deposited code is structured to accept.</w:t>
      </w:r>
    </w:p>
    <w:p>
      <w:pPr>
        <w:spacing w:before="220" w:after="100"/>
      </w:pPr>
      <w:r>
        <w:rPr>
          <w:b/>
          <w:sz w:val="23"/>
        </w:rPr>
        <w:t>4.6  Consistency test 2: the ceiling on boundary-layer management</w:t>
      </w:r>
    </w:p>
    <w:p>
      <w:pPr>
        <w:spacing w:after="160"/>
        <w:ind w:firstLine="317"/>
      </w:pPr>
      <w:r>
        <w:rPr>
          <w:i w:val="0"/>
          <w:sz w:val="21"/>
        </w:rPr>
        <w:t>Concentration polarization raises wall concentration to beta times bulk, so eliminating it entirely saves exactly (beta - 1) pi_bulk and no more. At an aggressive beta of 1.20 this ceiling is 0.39 kWh m-3, or 13.3% of desalination-stage SEC. Any rotating-element or centrifugal scheme must therefore consume less than 0.39 kWh m-3 in net shaft power, after seal and bearing losses, to be worth adopting. We offer this as a screening test rather than a recommendation.</w:t>
      </w:r>
    </w:p>
    <w:p>
      <w:pPr>
        <w:spacing w:before="220" w:after="100"/>
      </w:pPr>
      <w:r>
        <w:rPr>
          <w:b/>
          <w:sz w:val="23"/>
        </w:rPr>
        <w:t>4.7  Consistency test 3: alkalinity, carbon and calcium closure</w:t>
      </w:r>
    </w:p>
    <w:p>
      <w:pPr>
        <w:spacing w:after="160"/>
        <w:ind w:firstLine="317"/>
      </w:pPr>
      <w:r>
        <w:rPr>
          <w:i w:val="0"/>
          <w:sz w:val="21"/>
        </w:rPr>
        <w:t>Precipitating Mg(OH)2 requires two equivalents of base per mole of product however the base is supplied, Eq. (12). Table 3 sets out four routes on a common basis of one cubic metre of permeate.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
              <w:rPr>
                <w:b/>
                <w:sz w:val="17"/>
              </w:rPr>
              <w:t>Alkalinity route</w:t>
            </w:r>
          </w:p>
        </w:tc>
        <w:tc>
          <w:tcPr>
            <w:tcW w:type="dxa" w:w="1958"/>
          </w:tcPr>
          <w:p>
            <w:r/>
            <w:r>
              <w:rPr>
                <w:b/>
                <w:sz w:val="17"/>
              </w:rPr>
              <w:t>Reagent CO2 (kg/m3)</w:t>
            </w:r>
          </w:p>
        </w:tc>
        <w:tc>
          <w:tcPr>
            <w:tcW w:type="dxa" w:w="1958"/>
          </w:tcPr>
          <w:p>
            <w:r/>
            <w:r>
              <w:rPr>
                <w:b/>
                <w:sz w:val="17"/>
              </w:rPr>
              <w:t>Ca released / removed</w:t>
            </w:r>
          </w:p>
        </w:tc>
        <w:tc>
          <w:tcPr>
            <w:tcW w:type="dxa" w:w="1958"/>
          </w:tcPr>
          <w:p>
            <w:r/>
            <w:r>
              <w:rPr>
                <w:b/>
                <w:sz w:val="17"/>
              </w:rPr>
              <w:t>Mg imported (kg/m3)</w:t>
            </w:r>
          </w:p>
        </w:tc>
        <w:tc>
          <w:tcPr>
            <w:tcW w:type="dxa" w:w="1958"/>
          </w:tcPr>
          <w:p>
            <w:r/>
            <w:r>
              <w:rPr>
                <w:b/>
                <w:sz w:val="17"/>
              </w:rPr>
              <w:t>Extra energy (kWh/m3)</w:t>
            </w:r>
          </w:p>
        </w:tc>
      </w:tr>
      <w:tr>
        <w:tc>
          <w:tcPr>
            <w:tcW w:type="dxa" w:w="1958"/>
          </w:tcPr>
          <w:p>
            <w:pPr>
              <w:spacing w:after="20"/>
            </w:pPr>
            <w:r/>
            <w:r>
              <w:rPr>
                <w:sz w:val="17"/>
              </w:rPr>
              <w:t>A: soda ash + lime (as written)</w:t>
            </w:r>
          </w:p>
        </w:tc>
        <w:tc>
          <w:tcPr>
            <w:tcW w:type="dxa" w:w="1958"/>
          </w:tcPr>
          <w:p>
            <w:pPr>
              <w:spacing w:after="20"/>
            </w:pPr>
            <w:r/>
            <w:r>
              <w:rPr>
                <w:sz w:val="17"/>
              </w:rPr>
              <w:t>9.97</w:t>
            </w:r>
          </w:p>
        </w:tc>
        <w:tc>
          <w:tcPr>
            <w:tcW w:type="dxa" w:w="1958"/>
          </w:tcPr>
          <w:p>
            <w:pPr>
              <w:spacing w:after="20"/>
            </w:pPr>
            <w:r/>
            <w:r>
              <w:rPr>
                <w:sz w:val="17"/>
              </w:rPr>
              <w:t>5.3 x</w:t>
            </w:r>
          </w:p>
        </w:tc>
        <w:tc>
          <w:tcPr>
            <w:tcW w:type="dxa" w:w="1958"/>
          </w:tcPr>
          <w:p>
            <w:pPr>
              <w:spacing w:after="20"/>
            </w:pPr>
            <w:r/>
            <w:r>
              <w:rPr>
                <w:sz w:val="17"/>
              </w:rPr>
              <w:t>0.00</w:t>
            </w:r>
          </w:p>
        </w:tc>
        <w:tc>
          <w:tcPr>
            <w:tcW w:type="dxa" w:w="1958"/>
          </w:tcPr>
          <w:p>
            <w:pPr>
              <w:spacing w:after="20"/>
            </w:pPr>
            <w:r/>
            <w:r>
              <w:rPr>
                <w:sz w:val="17"/>
              </w:rPr>
              <w:t>0.0</w:t>
            </w:r>
          </w:p>
        </w:tc>
      </w:tr>
      <w:tr>
        <w:tc>
          <w:tcPr>
            <w:tcW w:type="dxa" w:w="1958"/>
          </w:tcPr>
          <w:p>
            <w:pPr>
              <w:spacing w:after="20"/>
            </w:pPr>
            <w:r/>
            <w:r>
              <w:rPr>
                <w:sz w:val="17"/>
              </w:rPr>
              <w:t>B: dosed CO2 + lime</w:t>
            </w:r>
          </w:p>
        </w:tc>
        <w:tc>
          <w:tcPr>
            <w:tcW w:type="dxa" w:w="1958"/>
          </w:tcPr>
          <w:p>
            <w:pPr>
              <w:spacing w:after="20"/>
            </w:pPr>
            <w:r/>
            <w:r>
              <w:rPr>
                <w:sz w:val="17"/>
              </w:rPr>
              <w:t>8.19</w:t>
            </w:r>
          </w:p>
        </w:tc>
        <w:tc>
          <w:tcPr>
            <w:tcW w:type="dxa" w:w="1958"/>
          </w:tcPr>
          <w:p>
            <w:pPr>
              <w:spacing w:after="20"/>
            </w:pPr>
            <w:r/>
            <w:r>
              <w:rPr>
                <w:sz w:val="17"/>
              </w:rPr>
              <w:t>6.3 x</w:t>
            </w:r>
          </w:p>
        </w:tc>
        <w:tc>
          <w:tcPr>
            <w:tcW w:type="dxa" w:w="1958"/>
          </w:tcPr>
          <w:p>
            <w:pPr>
              <w:spacing w:after="20"/>
            </w:pPr>
            <w:r/>
            <w:r>
              <w:rPr>
                <w:sz w:val="17"/>
              </w:rPr>
              <w:t>0.00</w:t>
            </w:r>
          </w:p>
        </w:tc>
        <w:tc>
          <w:tcPr>
            <w:tcW w:type="dxa" w:w="1958"/>
          </w:tcPr>
          <w:p>
            <w:pPr>
              <w:spacing w:after="20"/>
            </w:pPr>
            <w:r/>
            <w:r>
              <w:rPr>
                <w:sz w:val="17"/>
              </w:rPr>
              <w:t>0.0</w:t>
            </w:r>
          </w:p>
        </w:tc>
      </w:tr>
      <w:tr>
        <w:tc>
          <w:tcPr>
            <w:tcW w:type="dxa" w:w="1958"/>
          </w:tcPr>
          <w:p>
            <w:pPr>
              <w:spacing w:after="20"/>
            </w:pPr>
            <w:r/>
            <w:r>
              <w:rPr>
                <w:sz w:val="17"/>
              </w:rPr>
              <w:t>C: dosed CO2 + dolime</w:t>
            </w:r>
          </w:p>
        </w:tc>
        <w:tc>
          <w:tcPr>
            <w:tcW w:type="dxa" w:w="1958"/>
          </w:tcPr>
          <w:p>
            <w:pPr>
              <w:spacing w:after="20"/>
            </w:pPr>
            <w:r/>
            <w:r>
              <w:rPr>
                <w:sz w:val="17"/>
              </w:rPr>
              <w:t>5.67</w:t>
            </w:r>
          </w:p>
        </w:tc>
        <w:tc>
          <w:tcPr>
            <w:tcW w:type="dxa" w:w="1958"/>
          </w:tcPr>
          <w:p>
            <w:pPr>
              <w:spacing w:after="20"/>
            </w:pPr>
            <w:r/>
            <w:r>
              <w:rPr>
                <w:sz w:val="17"/>
              </w:rPr>
              <w:t>3.7 x</w:t>
            </w:r>
          </w:p>
        </w:tc>
        <w:tc>
          <w:tcPr>
            <w:tcW w:type="dxa" w:w="1958"/>
          </w:tcPr>
          <w:p>
            <w:pPr>
              <w:spacing w:after="20"/>
            </w:pPr>
            <w:r/>
            <w:r>
              <w:rPr>
                <w:sz w:val="17"/>
              </w:rPr>
              <w:t>3.33</w:t>
            </w:r>
          </w:p>
        </w:tc>
        <w:tc>
          <w:tcPr>
            <w:tcW w:type="dxa" w:w="1958"/>
          </w:tcPr>
          <w:p>
            <w:pPr>
              <w:spacing w:after="20"/>
            </w:pPr>
            <w:r/>
            <w:r>
              <w:rPr>
                <w:sz w:val="17"/>
              </w:rPr>
              <w:t>0.0</w:t>
            </w:r>
          </w:p>
        </w:tc>
      </w:tr>
      <w:tr>
        <w:tc>
          <w:tcPr>
            <w:tcW w:type="dxa" w:w="1958"/>
          </w:tcPr>
          <w:p>
            <w:pPr>
              <w:spacing w:after="20"/>
            </w:pPr>
            <w:r/>
            <w:r>
              <w:rPr>
                <w:sz w:val="17"/>
              </w:rPr>
              <w:t>D: dosed CO2 + electrochemical base</w:t>
            </w:r>
          </w:p>
        </w:tc>
        <w:tc>
          <w:tcPr>
            <w:tcW w:type="dxa" w:w="1958"/>
          </w:tcPr>
          <w:p>
            <w:pPr>
              <w:spacing w:after="20"/>
            </w:pPr>
            <w:r/>
            <w:r>
              <w:rPr>
                <w:sz w:val="17"/>
              </w:rPr>
              <w:t>-0.94</w:t>
            </w:r>
          </w:p>
        </w:tc>
        <w:tc>
          <w:tcPr>
            <w:tcW w:type="dxa" w:w="1958"/>
          </w:tcPr>
          <w:p>
            <w:pPr>
              <w:spacing w:after="20"/>
            </w:pPr>
            <w:r/>
            <w:r>
              <w:rPr>
                <w:sz w:val="17"/>
              </w:rPr>
              <w:t>0.0 x</w:t>
            </w:r>
          </w:p>
        </w:tc>
        <w:tc>
          <w:tcPr>
            <w:tcW w:type="dxa" w:w="1958"/>
          </w:tcPr>
          <w:p>
            <w:pPr>
              <w:spacing w:after="20"/>
            </w:pPr>
            <w:r/>
            <w:r>
              <w:rPr>
                <w:sz w:val="17"/>
              </w:rPr>
              <w:t>0.00</w:t>
            </w:r>
          </w:p>
        </w:tc>
        <w:tc>
          <w:tcPr>
            <w:tcW w:type="dxa" w:w="1958"/>
          </w:tcPr>
          <w:p>
            <w:pPr>
              <w:spacing w:after="20"/>
            </w:pPr>
            <w:r/>
            <w:r>
              <w:rPr>
                <w:sz w:val="17"/>
              </w:rPr>
              <w:t>27.1</w:t>
            </w:r>
          </w:p>
        </w:tc>
      </w:tr>
    </w:tbl>
    <w:p>
      <w:pPr>
        <w:spacing w:after="200"/>
      </w:pPr>
      <w:r>
        <w:rPr>
          <w:i/>
          <w:sz w:val="18"/>
        </w:rPr>
        <w:t>Table 3. Alkalinity routes, per cubic metre of permeate. Embodied-carbon factors are swept in the Monte Carlo rather than treated as point values.</w:t>
      </w:r>
    </w:p>
    <w:p>
      <w:pPr>
        <w:spacing w:after="160"/>
        <w:ind w:firstLine="317"/>
      </w:pPr>
      <w:r>
        <w:rPr>
          <w:i w:val="0"/>
          <w:sz w:val="21"/>
        </w:rPr>
        <w:t>The calcium closure can be read directly off Table 1 and follows from Eq. (12). Writing concentrations per cubic metre of concentrate, the carbonate step removes Y_Ca x C_Ca = 1.407 g L-1, while the lime step, supplying the two equivalents of base that Eq. (12) requires, releases one calcium ion per magnesium precipitated and therefore adds 7.460 g L-1. The calcium reporting to the crystallizer is C_Ca - Ca_removed + Ca_added = 1.481 - 1.407 + 7.460 = 7.534 g L-1, which is exactly the S6 value in Table 1. Because seawater holds roughly three times more magnesium than calcium on a molar basis, the added term always exceeds the removed term and the balance cannot be closed by any choice of precipitation yield.</w:t>
      </w:r>
    </w:p>
    <w:p>
      <w:pPr>
        <w:spacing w:after="160"/>
        <w:ind w:firstLine="317"/>
      </w:pPr>
      <w:r>
        <w:rPr>
          <w:i w:val="0"/>
          <w:sz w:val="21"/>
        </w:rPr>
        <w:t>The route as specified carries 9.97 kg CO2 per cubic metre of permeate in reagent embodied carbon against 0.94 kg fixed in the carbonate product, and roughly double the plant's grid emissions. An environmental assessment restricted to electricity accounts for about a third of the total. The calcium balance therefore does not close: the lime step returns 5.3 times more calcium than the carbonate step removed, and that calcium reports to the crystallizer rather than to a product. Calcined dolomite reduces the imbalance to 3.7 times at the cost of importing 3.33 kg of the magnesium product per cubic metre, which weakens the recovery claim even as it improves the balance. The carbon burden can be removed only by moving it into the energy account: electrochemical base makes the reagent term slightly negative at -0.94 kg CO2 per cubic metre but adds 27 kWh m-3.</w:t>
      </w:r>
    </w:p>
    <w:p>
      <w:pPr>
        <w:spacing w:after="160"/>
        <w:ind w:firstLine="317"/>
      </w:pPr>
      <w:r>
        <w:rPr>
          <w:i w:val="0"/>
          <w:sz w:val="21"/>
        </w:rPr>
        <w:t>The embodied-carbon factors for soda ash and lime are taken from life-cycle inventory ranges rather than from a single primary measurement, and are swept rather than fixed. The conclusion does not depend on where in those ranges the true values lie: at the combination most favourable to the process - the lowest reagent factors with the cleanest grid - reagent carbon is 7.6 kg CO2 m-3 against 2.0 kg m-3 from electricity, and at every other combination tested the margin is wider. The reagent term dominates across the full plausible range.</w:t>
      </w:r>
    </w:p>
    <w:p>
      <w:pPr>
        <w:spacing w:before="220" w:after="100"/>
      </w:pPr>
      <w:r>
        <w:rPr>
          <w:b/>
          <w:sz w:val="23"/>
        </w:rPr>
        <w:t>4.8  Precipitation design basis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7"/>
              </w:rPr>
              <w:t>Parameter</w:t>
            </w:r>
          </w:p>
        </w:tc>
        <w:tc>
          <w:tcPr>
            <w:tcW w:type="dxa" w:w="3264"/>
          </w:tcPr>
          <w:p>
            <w:r/>
            <w:r>
              <w:rPr>
                <w:b/>
                <w:sz w:val="17"/>
              </w:rPr>
              <w:t>Value</w:t>
            </w:r>
          </w:p>
        </w:tc>
        <w:tc>
          <w:tcPr>
            <w:tcW w:type="dxa" w:w="3264"/>
          </w:tcPr>
          <w:p>
            <w:r/>
            <w:r>
              <w:rPr>
                <w:b/>
                <w:sz w:val="17"/>
              </w:rPr>
              <w:t>Basis</w:t>
            </w:r>
          </w:p>
        </w:tc>
      </w:tr>
      <w:tr>
        <w:tc>
          <w:tcPr>
            <w:tcW w:type="dxa" w:w="3264"/>
          </w:tcPr>
          <w:p>
            <w:pPr>
              <w:spacing w:after="20"/>
            </w:pPr>
            <w:r/>
            <w:r>
              <w:rPr>
                <w:sz w:val="17"/>
              </w:rPr>
              <w:t>Carbonate reagent</w:t>
            </w:r>
          </w:p>
        </w:tc>
        <w:tc>
          <w:tcPr>
            <w:tcW w:type="dxa" w:w="3264"/>
          </w:tcPr>
          <w:p>
            <w:pPr>
              <w:spacing w:after="20"/>
            </w:pPr>
            <w:r/>
            <w:r>
              <w:rPr>
                <w:sz w:val="17"/>
              </w:rPr>
              <w:t>Na2CO3, 1.023 kg per m3 feed</w:t>
            </w:r>
          </w:p>
        </w:tc>
        <w:tc>
          <w:tcPr>
            <w:tcW w:type="dxa" w:w="3264"/>
          </w:tcPr>
          <w:p>
            <w:pPr>
              <w:spacing w:after="20"/>
            </w:pPr>
            <w:r/>
            <w:r>
              <w:rPr>
                <w:sz w:val="17"/>
              </w:rPr>
              <w:t>1.0 mol per mol Ca, 10% excess</w:t>
            </w:r>
          </w:p>
        </w:tc>
      </w:tr>
      <w:tr>
        <w:tc>
          <w:tcPr>
            <w:tcW w:type="dxa" w:w="3264"/>
          </w:tcPr>
          <w:p>
            <w:pPr>
              <w:spacing w:after="20"/>
            </w:pPr>
            <w:r/>
            <w:r>
              <w:rPr>
                <w:sz w:val="17"/>
              </w:rPr>
              <w:t>Alkalinity reagent</w:t>
            </w:r>
          </w:p>
        </w:tc>
        <w:tc>
          <w:tcPr>
            <w:tcW w:type="dxa" w:w="3264"/>
          </w:tcPr>
          <w:p>
            <w:pPr>
              <w:spacing w:after="20"/>
            </w:pPr>
            <w:r/>
            <w:r>
              <w:rPr>
                <w:sz w:val="17"/>
              </w:rPr>
              <w:t>Ca(OH)2, 3.792 kg per m3 feed</w:t>
            </w:r>
          </w:p>
        </w:tc>
        <w:tc>
          <w:tcPr>
            <w:tcW w:type="dxa" w:w="3264"/>
          </w:tcPr>
          <w:p>
            <w:pPr>
              <w:spacing w:after="20"/>
            </w:pPr>
            <w:r/>
            <w:r>
              <w:rPr>
                <w:sz w:val="17"/>
              </w:rPr>
              <w:t>1.0 mol per mol Mg, 10% excess</w:t>
            </w:r>
          </w:p>
        </w:tc>
      </w:tr>
      <w:tr>
        <w:tc>
          <w:tcPr>
            <w:tcW w:type="dxa" w:w="3264"/>
          </w:tcPr>
          <w:p>
            <w:pPr>
              <w:spacing w:after="20"/>
            </w:pPr>
            <w:r/>
            <w:r>
              <w:rPr>
                <w:sz w:val="17"/>
              </w:rPr>
              <w:t>CaCO3 recovered</w:t>
            </w:r>
          </w:p>
        </w:tc>
        <w:tc>
          <w:tcPr>
            <w:tcW w:type="dxa" w:w="3264"/>
          </w:tcPr>
          <w:p>
            <w:pPr>
              <w:spacing w:after="20"/>
            </w:pPr>
            <w:r/>
            <w:r>
              <w:rPr>
                <w:sz w:val="17"/>
              </w:rPr>
              <w:t>0.966 kg per m3 feed</w:t>
            </w:r>
          </w:p>
        </w:tc>
        <w:tc>
          <w:tcPr>
            <w:tcW w:type="dxa" w:w="3264"/>
          </w:tcPr>
          <w:p>
            <w:pPr>
              <w:spacing w:after="20"/>
            </w:pPr>
            <w:r/>
            <w:r>
              <w:rPr>
                <w:sz w:val="17"/>
              </w:rPr>
              <w:t>95% yield</w:t>
            </w:r>
          </w:p>
        </w:tc>
      </w:tr>
      <w:tr>
        <w:tc>
          <w:tcPr>
            <w:tcW w:type="dxa" w:w="3264"/>
          </w:tcPr>
          <w:p>
            <w:pPr>
              <w:spacing w:after="20"/>
            </w:pPr>
            <w:r/>
            <w:r>
              <w:rPr>
                <w:sz w:val="17"/>
              </w:rPr>
              <w:t>Mg(OH)2 recovered</w:t>
            </w:r>
          </w:p>
        </w:tc>
        <w:tc>
          <w:tcPr>
            <w:tcW w:type="dxa" w:w="3264"/>
          </w:tcPr>
          <w:p>
            <w:pPr>
              <w:spacing w:after="20"/>
            </w:pPr>
            <w:r/>
            <w:r>
              <w:rPr>
                <w:sz w:val="17"/>
              </w:rPr>
              <w:t>2.985 kg per m3 feed</w:t>
            </w:r>
          </w:p>
        </w:tc>
        <w:tc>
          <w:tcPr>
            <w:tcW w:type="dxa" w:w="3264"/>
          </w:tcPr>
          <w:p>
            <w:pPr>
              <w:spacing w:after="20"/>
            </w:pPr>
            <w:r/>
            <w:r>
              <w:rPr>
                <w:sz w:val="17"/>
              </w:rPr>
              <w:t>98% yield</w:t>
            </w:r>
          </w:p>
        </w:tc>
      </w:tr>
      <w:tr>
        <w:tc>
          <w:tcPr>
            <w:tcW w:type="dxa" w:w="3264"/>
          </w:tcPr>
          <w:p>
            <w:pPr>
              <w:spacing w:after="20"/>
            </w:pPr>
            <w:r/>
            <w:r>
              <w:rPr>
                <w:sz w:val="17"/>
              </w:rPr>
              <w:t>Residence time</w:t>
            </w:r>
          </w:p>
        </w:tc>
        <w:tc>
          <w:tcPr>
            <w:tcW w:type="dxa" w:w="3264"/>
          </w:tcPr>
          <w:p>
            <w:pPr>
              <w:spacing w:after="20"/>
            </w:pPr>
            <w:r/>
            <w:r>
              <w:rPr>
                <w:sz w:val="17"/>
              </w:rPr>
              <w:t>30 min carbonate, 45 min hydroxide</w:t>
            </w:r>
          </w:p>
        </w:tc>
        <w:tc>
          <w:tcPr>
            <w:tcW w:type="dxa" w:w="3264"/>
          </w:tcPr>
          <w:p>
            <w:pPr>
              <w:spacing w:after="20"/>
            </w:pPr>
            <w:r/>
            <w:r>
              <w:rPr>
                <w:sz w:val="17"/>
              </w:rPr>
              <w:t>seawater practice</w:t>
            </w:r>
          </w:p>
        </w:tc>
      </w:tr>
      <w:tr>
        <w:tc>
          <w:tcPr>
            <w:tcW w:type="dxa" w:w="3264"/>
          </w:tcPr>
          <w:p>
            <w:pPr>
              <w:spacing w:after="20"/>
            </w:pPr>
            <w:r/>
            <w:r>
              <w:rPr>
                <w:sz w:val="17"/>
              </w:rPr>
              <w:t>Reactor volume per 1000 m3/d feed</w:t>
            </w:r>
          </w:p>
        </w:tc>
        <w:tc>
          <w:tcPr>
            <w:tcW w:type="dxa" w:w="3264"/>
          </w:tcPr>
          <w:p>
            <w:pPr>
              <w:spacing w:after="20"/>
            </w:pPr>
            <w:r/>
            <w:r>
              <w:rPr>
                <w:sz w:val="17"/>
              </w:rPr>
              <w:t>5.7 and 8.6 m3</w:t>
            </w:r>
          </w:p>
        </w:tc>
        <w:tc>
          <w:tcPr>
            <w:tcW w:type="dxa" w:w="3264"/>
          </w:tcPr>
          <w:p>
            <w:pPr>
              <w:spacing w:after="20"/>
            </w:pPr>
            <w:r/>
            <w:r>
              <w:rPr>
                <w:sz w:val="17"/>
              </w:rPr>
              <w:t>residence time x concentrate flow</w:t>
            </w:r>
          </w:p>
        </w:tc>
      </w:tr>
      <w:tr>
        <w:tc>
          <w:tcPr>
            <w:tcW w:type="dxa" w:w="3264"/>
          </w:tcPr>
          <w:p>
            <w:pPr>
              <w:spacing w:after="20"/>
            </w:pPr>
            <w:r/>
            <w:r>
              <w:rPr>
                <w:sz w:val="17"/>
              </w:rPr>
              <w:t>Solid-liquid separation</w:t>
            </w:r>
          </w:p>
        </w:tc>
        <w:tc>
          <w:tcPr>
            <w:tcW w:type="dxa" w:w="3264"/>
          </w:tcPr>
          <w:p>
            <w:pPr>
              <w:spacing w:after="20"/>
            </w:pPr>
            <w:r/>
            <w:r>
              <w:rPr>
                <w:sz w:val="17"/>
              </w:rPr>
              <w:t>gravity thickener followed by filter press</w:t>
            </w:r>
          </w:p>
        </w:tc>
        <w:tc>
          <w:tcPr>
            <w:tcW w:type="dxa" w:w="3264"/>
          </w:tcPr>
          <w:p>
            <w:pPr>
              <w:spacing w:after="20"/>
            </w:pPr>
            <w:r/>
            <w:r>
              <w:rPr>
                <w:sz w:val="17"/>
              </w:rPr>
              <w:t>assumed</w:t>
            </w:r>
          </w:p>
        </w:tc>
      </w:tr>
      <w:tr>
        <w:tc>
          <w:tcPr>
            <w:tcW w:type="dxa" w:w="3264"/>
          </w:tcPr>
          <w:p>
            <w:pPr>
              <w:spacing w:after="20"/>
            </w:pPr>
            <w:r/>
            <w:r>
              <w:rPr>
                <w:sz w:val="17"/>
              </w:rPr>
              <w:t>Cake solids</w:t>
            </w:r>
          </w:p>
        </w:tc>
        <w:tc>
          <w:tcPr>
            <w:tcW w:type="dxa" w:w="3264"/>
          </w:tcPr>
          <w:p>
            <w:pPr>
              <w:spacing w:after="20"/>
            </w:pPr>
            <w:r/>
            <w:r>
              <w:rPr>
                <w:sz w:val="17"/>
              </w:rPr>
              <w:t>CaCO3 65%, Mg(OH)2 45%</w:t>
            </w:r>
          </w:p>
        </w:tc>
        <w:tc>
          <w:tcPr>
            <w:tcW w:type="dxa" w:w="3264"/>
          </w:tcPr>
          <w:p>
            <w:pPr>
              <w:spacing w:after="20"/>
            </w:pPr>
            <w:r/>
            <w:r>
              <w:rPr>
                <w:sz w:val="17"/>
              </w:rPr>
              <w:t>Mg(OH)2 dewaters poorly</w:t>
            </w:r>
          </w:p>
        </w:tc>
      </w:tr>
      <w:tr>
        <w:tc>
          <w:tcPr>
            <w:tcW w:type="dxa" w:w="3264"/>
          </w:tcPr>
          <w:p>
            <w:pPr>
              <w:spacing w:after="20"/>
            </w:pPr>
            <w:r/>
            <w:r>
              <w:rPr>
                <w:sz w:val="17"/>
              </w:rPr>
              <w:t>Product purity</w:t>
            </w:r>
          </w:p>
        </w:tc>
        <w:tc>
          <w:tcPr>
            <w:tcW w:type="dxa" w:w="3264"/>
          </w:tcPr>
          <w:p>
            <w:pPr>
              <w:spacing w:after="20"/>
            </w:pPr>
            <w:r/>
            <w:r>
              <w:rPr>
                <w:sz w:val="17"/>
              </w:rPr>
              <w:t>set by the NaCl background</w:t>
            </w:r>
          </w:p>
        </w:tc>
        <w:tc>
          <w:tcPr>
            <w:tcW w:type="dxa" w:w="3264"/>
          </w:tcPr>
          <w:p>
            <w:pPr>
              <w:spacing w:after="20"/>
            </w:pPr>
            <w:r/>
            <w:r>
              <w:rPr>
                <w:sz w:val="17"/>
              </w:rPr>
              <w:t>see [9,17]</w:t>
            </w:r>
          </w:p>
        </w:tc>
      </w:tr>
    </w:tbl>
    <w:p>
      <w:pPr>
        <w:spacing w:after="200"/>
      </w:pPr>
      <w:r>
        <w:rPr>
          <w:i/>
          <w:sz w:val="18"/>
        </w:rPr>
        <w:t>Table 4. Precipitation design basis.</w:t>
      </w:r>
    </w:p>
    <w:p>
      <w:pPr>
        <w:spacing w:before="220" w:after="100"/>
      </w:pPr>
      <w:r>
        <w:rPr>
          <w:b/>
          <w:sz w:val="23"/>
        </w:rPr>
        <w:t>4.9  Operating cost and uncertainty propagation</w:t>
      </w:r>
    </w:p>
    <w:tbl>
      <w:tblPr>
        <w:tblStyle w:val="LightGrid-Accent1"/>
        <w:tblW w:type="auto" w:w="0"/>
        <w:tblLook w:firstColumn="1" w:firstRow="1" w:lastColumn="0" w:lastRow="0" w:noHBand="0" w:noVBand="1" w:val="04A0"/>
      </w:tblPr>
      <w:tblGrid>
        <w:gridCol w:w="4896"/>
        <w:gridCol w:w="4896"/>
      </w:tblGrid>
      <w:tr>
        <w:tc>
          <w:tcPr>
            <w:tcW w:type="dxa" w:w="6048"/>
          </w:tcPr>
          <w:p>
            <w:r/>
            <w:r>
              <w:rPr>
                <w:b/>
                <w:sz w:val="17"/>
              </w:rPr>
              <w:t>Item</w:t>
            </w:r>
          </w:p>
        </w:tc>
        <w:tc>
          <w:tcPr>
            <w:tcW w:type="dxa" w:w="2304"/>
          </w:tcPr>
          <w:p>
            <w:r/>
            <w:r>
              <w:rPr>
                <w:b/>
                <w:sz w:val="17"/>
              </w:rPr>
              <w:t>$ per m3 permeate</w:t>
            </w:r>
          </w:p>
        </w:tc>
      </w:tr>
      <w:tr>
        <w:tc>
          <w:tcPr>
            <w:tcW w:type="dxa" w:w="6048"/>
          </w:tcPr>
          <w:p>
            <w:pPr>
              <w:spacing w:after="20"/>
            </w:pPr>
            <w:r/>
            <w:r>
              <w:rPr>
                <w:sz w:val="17"/>
              </w:rPr>
              <w:t>Electricity</w:t>
            </w:r>
          </w:p>
        </w:tc>
        <w:tc>
          <w:tcPr>
            <w:tcW w:type="dxa" w:w="2304"/>
          </w:tcPr>
          <w:p>
            <w:pPr>
              <w:spacing w:after="20"/>
            </w:pPr>
            <w:r/>
            <w:r>
              <w:rPr>
                <w:sz w:val="17"/>
              </w:rPr>
              <w:t>1.049</w:t>
            </w:r>
          </w:p>
        </w:tc>
      </w:tr>
      <w:tr>
        <w:tc>
          <w:tcPr>
            <w:tcW w:type="dxa" w:w="6048"/>
          </w:tcPr>
          <w:p>
            <w:pPr>
              <w:spacing w:after="20"/>
            </w:pPr>
            <w:r/>
            <w:r>
              <w:rPr>
                <w:sz w:val="17"/>
              </w:rPr>
              <w:t>Precipitation reagents</w:t>
            </w:r>
          </w:p>
        </w:tc>
        <w:tc>
          <w:tcPr>
            <w:tcW w:type="dxa" w:w="2304"/>
          </w:tcPr>
          <w:p>
            <w:pPr>
              <w:spacing w:after="20"/>
            </w:pPr>
            <w:r/>
            <w:r>
              <w:rPr>
                <w:sz w:val="17"/>
              </w:rPr>
              <w:t>1.580</w:t>
            </w:r>
          </w:p>
        </w:tc>
      </w:tr>
      <w:tr>
        <w:tc>
          <w:tcPr>
            <w:tcW w:type="dxa" w:w="6048"/>
          </w:tcPr>
          <w:p>
            <w:pPr>
              <w:spacing w:after="20"/>
            </w:pPr>
            <w:r/>
            <w:r>
              <w:rPr>
                <w:sz w:val="17"/>
              </w:rPr>
              <w:t>Pretreatment and CIP chemicals</w:t>
            </w:r>
          </w:p>
        </w:tc>
        <w:tc>
          <w:tcPr>
            <w:tcW w:type="dxa" w:w="2304"/>
          </w:tcPr>
          <w:p>
            <w:pPr>
              <w:spacing w:after="20"/>
            </w:pPr>
            <w:r/>
            <w:r>
              <w:rPr>
                <w:sz w:val="17"/>
              </w:rPr>
              <w:t>0.030</w:t>
            </w:r>
          </w:p>
        </w:tc>
      </w:tr>
      <w:tr>
        <w:tc>
          <w:tcPr>
            <w:tcW w:type="dxa" w:w="6048"/>
          </w:tcPr>
          <w:p>
            <w:pPr>
              <w:spacing w:after="20"/>
            </w:pPr>
            <w:r/>
            <w:r>
              <w:rPr>
                <w:sz w:val="17"/>
              </w:rPr>
              <w:t>Membrane replacement (RO + concentrator)</w:t>
            </w:r>
          </w:p>
        </w:tc>
        <w:tc>
          <w:tcPr>
            <w:tcW w:type="dxa" w:w="2304"/>
          </w:tcPr>
          <w:p>
            <w:pPr>
              <w:spacing w:after="20"/>
            </w:pPr>
            <w:r/>
            <w:r>
              <w:rPr>
                <w:sz w:val="17"/>
              </w:rPr>
              <w:t>0.040</w:t>
            </w:r>
          </w:p>
        </w:tc>
      </w:tr>
      <w:tr>
        <w:tc>
          <w:tcPr>
            <w:tcW w:type="dxa" w:w="6048"/>
          </w:tcPr>
          <w:p>
            <w:pPr>
              <w:spacing w:after="20"/>
            </w:pPr>
            <w:r/>
            <w:r>
              <w:rPr>
                <w:sz w:val="17"/>
              </w:rPr>
              <w:t>Cartridge filters and consumables</w:t>
            </w:r>
          </w:p>
        </w:tc>
        <w:tc>
          <w:tcPr>
            <w:tcW w:type="dxa" w:w="2304"/>
          </w:tcPr>
          <w:p>
            <w:pPr>
              <w:spacing w:after="20"/>
            </w:pPr>
            <w:r/>
            <w:r>
              <w:rPr>
                <w:sz w:val="17"/>
              </w:rPr>
              <w:t>0.010</w:t>
            </w:r>
          </w:p>
        </w:tc>
      </w:tr>
      <w:tr>
        <w:tc>
          <w:tcPr>
            <w:tcW w:type="dxa" w:w="6048"/>
          </w:tcPr>
          <w:p>
            <w:pPr>
              <w:spacing w:after="20"/>
            </w:pPr>
            <w:r/>
            <w:r>
              <w:rPr>
                <w:sz w:val="17"/>
              </w:rPr>
              <w:t>Labour</w:t>
            </w:r>
          </w:p>
        </w:tc>
        <w:tc>
          <w:tcPr>
            <w:tcW w:type="dxa" w:w="2304"/>
          </w:tcPr>
          <w:p>
            <w:pPr>
              <w:spacing w:after="20"/>
            </w:pPr>
            <w:r/>
            <w:r>
              <w:rPr>
                <w:sz w:val="17"/>
              </w:rPr>
              <w:t>0.045</w:t>
            </w:r>
          </w:p>
        </w:tc>
      </w:tr>
      <w:tr>
        <w:tc>
          <w:tcPr>
            <w:tcW w:type="dxa" w:w="6048"/>
          </w:tcPr>
          <w:p>
            <w:pPr>
              <w:spacing w:after="20"/>
            </w:pPr>
            <w:r/>
            <w:r>
              <w:rPr>
                <w:sz w:val="17"/>
              </w:rPr>
              <w:t>Maintenance and spares (2% CAPEX/yr)</w:t>
            </w:r>
          </w:p>
        </w:tc>
        <w:tc>
          <w:tcPr>
            <w:tcW w:type="dxa" w:w="2304"/>
          </w:tcPr>
          <w:p>
            <w:pPr>
              <w:spacing w:after="20"/>
            </w:pPr>
            <w:r/>
            <w:r>
              <w:rPr>
                <w:sz w:val="17"/>
              </w:rPr>
              <w:t>0.055</w:t>
            </w:r>
          </w:p>
        </w:tc>
      </w:tr>
      <w:tr>
        <w:tc>
          <w:tcPr>
            <w:tcW w:type="dxa" w:w="6048"/>
          </w:tcPr>
          <w:p>
            <w:pPr>
              <w:spacing w:after="20"/>
            </w:pPr>
            <w:r/>
            <w:r>
              <w:rPr>
                <w:sz w:val="17"/>
              </w:rPr>
              <w:t>Insurance and overhead</w:t>
            </w:r>
          </w:p>
        </w:tc>
        <w:tc>
          <w:tcPr>
            <w:tcW w:type="dxa" w:w="2304"/>
          </w:tcPr>
          <w:p>
            <w:pPr>
              <w:spacing w:after="20"/>
            </w:pPr>
            <w:r/>
            <w:r>
              <w:rPr>
                <w:sz w:val="17"/>
              </w:rPr>
              <w:t>0.020</w:t>
            </w:r>
          </w:p>
        </w:tc>
      </w:tr>
      <w:tr>
        <w:tc>
          <w:tcPr>
            <w:tcW w:type="dxa" w:w="6048"/>
          </w:tcPr>
          <w:p>
            <w:pPr>
              <w:spacing w:after="20"/>
            </w:pPr>
            <w:r/>
            <w:r>
              <w:rPr>
                <w:sz w:val="17"/>
              </w:rPr>
              <w:t>Solids handling and product logistics</w:t>
            </w:r>
          </w:p>
        </w:tc>
        <w:tc>
          <w:tcPr>
            <w:tcW w:type="dxa" w:w="2304"/>
          </w:tcPr>
          <w:p>
            <w:pPr>
              <w:spacing w:after="20"/>
            </w:pPr>
            <w:r/>
            <w:r>
              <w:rPr>
                <w:sz w:val="17"/>
              </w:rPr>
              <w:t>0.035</w:t>
            </w:r>
          </w:p>
        </w:tc>
      </w:tr>
      <w:tr>
        <w:tc>
          <w:tcPr>
            <w:tcW w:type="dxa" w:w="6048"/>
          </w:tcPr>
          <w:p>
            <w:pPr>
              <w:spacing w:after="20"/>
            </w:pPr>
            <w:r/>
            <w:r>
              <w:rPr>
                <w:sz w:val="17"/>
              </w:rPr>
              <w:t>TOTAL OPEX</w:t>
            </w:r>
          </w:p>
        </w:tc>
        <w:tc>
          <w:tcPr>
            <w:tcW w:type="dxa" w:w="2304"/>
          </w:tcPr>
          <w:p>
            <w:pPr>
              <w:spacing w:after="20"/>
            </w:pPr>
            <w:r/>
            <w:r>
              <w:rPr>
                <w:sz w:val="17"/>
              </w:rPr>
              <w:t>2.864</w:t>
            </w:r>
          </w:p>
        </w:tc>
      </w:tr>
    </w:tbl>
    <w:p>
      <w:pPr>
        <w:spacing w:after="200"/>
      </w:pPr>
      <w:r>
        <w:rPr>
          <w:i/>
          <w:sz w:val="18"/>
        </w:rPr>
        <w:t>Table 5. OPEX breakdown at $0.08 kWh-1 and the median modelled SEC.</w:t>
      </w:r>
    </w:p>
    <w:tbl>
      <w:tblPr>
        <w:tblStyle w:val="LightGrid-Accent1"/>
        <w:tblW w:type="auto" w:w="0"/>
        <w:tblLook w:firstColumn="1" w:firstRow="1" w:lastColumn="0" w:lastRow="0" w:noHBand="0" w:noVBand="1" w:val="04A0"/>
      </w:tblPr>
      <w:tblGrid>
        <w:gridCol w:w="3264"/>
        <w:gridCol w:w="3264"/>
        <w:gridCol w:w="3264"/>
      </w:tblGrid>
      <w:tr>
        <w:tc>
          <w:tcPr>
            <w:tcW w:type="dxa" w:w="3744"/>
          </w:tcPr>
          <w:p>
            <w:r/>
            <w:r>
              <w:rPr>
                <w:b/>
                <w:sz w:val="17"/>
              </w:rPr>
              <w:t>Cost element</w:t>
            </w:r>
          </w:p>
        </w:tc>
        <w:tc>
          <w:tcPr>
            <w:tcW w:type="dxa" w:w="3312"/>
          </w:tcPr>
          <w:p>
            <w:r/>
            <w:r>
              <w:rPr>
                <w:b/>
                <w:sz w:val="17"/>
              </w:rPr>
              <w:t>Conventional SWRO ($0.76 m-3)</w:t>
            </w:r>
          </w:p>
        </w:tc>
        <w:tc>
          <w:tcPr>
            <w:tcW w:type="dxa" w:w="3312"/>
          </w:tcPr>
          <w:p>
            <w:r/>
            <w:r>
              <w:rPr>
                <w:b/>
                <w:sz w:val="17"/>
              </w:rPr>
              <w:t>ILEDBV</w:t>
            </w:r>
          </w:p>
        </w:tc>
      </w:tr>
      <w:tr>
        <w:tc>
          <w:tcPr>
            <w:tcW w:type="dxa" w:w="3744"/>
          </w:tcPr>
          <w:p>
            <w:pPr>
              <w:spacing w:after="20"/>
            </w:pPr>
            <w:r/>
            <w:r>
              <w:rPr>
                <w:sz w:val="17"/>
              </w:rPr>
              <w:t>Intake and pretreatment</w:t>
            </w:r>
          </w:p>
        </w:tc>
        <w:tc>
          <w:tcPr>
            <w:tcW w:type="dxa" w:w="3312"/>
          </w:tcPr>
          <w:p>
            <w:pPr>
              <w:spacing w:after="20"/>
            </w:pPr>
            <w:r/>
            <w:r>
              <w:rPr>
                <w:sz w:val="17"/>
              </w:rPr>
              <w:t>yes</w:t>
            </w:r>
          </w:p>
        </w:tc>
        <w:tc>
          <w:tcPr>
            <w:tcW w:type="dxa" w:w="3312"/>
          </w:tcPr>
          <w:p>
            <w:pPr>
              <w:spacing w:after="20"/>
            </w:pPr>
            <w:r/>
            <w:r>
              <w:rPr>
                <w:sz w:val="17"/>
              </w:rPr>
              <w:t>yes</w:t>
            </w:r>
          </w:p>
        </w:tc>
      </w:tr>
      <w:tr>
        <w:tc>
          <w:tcPr>
            <w:tcW w:type="dxa" w:w="3744"/>
          </w:tcPr>
          <w:p>
            <w:pPr>
              <w:spacing w:after="20"/>
            </w:pPr>
            <w:r/>
            <w:r>
              <w:rPr>
                <w:sz w:val="17"/>
              </w:rPr>
              <w:t>High-pressure pumping and RO</w:t>
            </w:r>
          </w:p>
        </w:tc>
        <w:tc>
          <w:tcPr>
            <w:tcW w:type="dxa" w:w="3312"/>
          </w:tcPr>
          <w:p>
            <w:pPr>
              <w:spacing w:after="20"/>
            </w:pPr>
            <w:r/>
            <w:r>
              <w:rPr>
                <w:sz w:val="17"/>
              </w:rPr>
              <w:t>yes</w:t>
            </w:r>
          </w:p>
        </w:tc>
        <w:tc>
          <w:tcPr>
            <w:tcW w:type="dxa" w:w="3312"/>
          </w:tcPr>
          <w:p>
            <w:pPr>
              <w:spacing w:after="20"/>
            </w:pPr>
            <w:r/>
            <w:r>
              <w:rPr>
                <w:sz w:val="17"/>
              </w:rPr>
              <w:t>yes</w:t>
            </w:r>
          </w:p>
        </w:tc>
      </w:tr>
      <w:tr>
        <w:tc>
          <w:tcPr>
            <w:tcW w:type="dxa" w:w="3744"/>
          </w:tcPr>
          <w:p>
            <w:pPr>
              <w:spacing w:after="20"/>
            </w:pPr>
            <w:r/>
            <w:r>
              <w:rPr>
                <w:sz w:val="17"/>
              </w:rPr>
              <w:t>Energy recovery device</w:t>
            </w:r>
          </w:p>
        </w:tc>
        <w:tc>
          <w:tcPr>
            <w:tcW w:type="dxa" w:w="3312"/>
          </w:tcPr>
          <w:p>
            <w:pPr>
              <w:spacing w:after="20"/>
            </w:pPr>
            <w:r/>
            <w:r>
              <w:rPr>
                <w:sz w:val="17"/>
              </w:rPr>
              <w:t>turbine ERD</w:t>
            </w:r>
          </w:p>
        </w:tc>
        <w:tc>
          <w:tcPr>
            <w:tcW w:type="dxa" w:w="3312"/>
          </w:tcPr>
          <w:p>
            <w:pPr>
              <w:spacing w:after="20"/>
            </w:pPr>
            <w:r/>
            <w:r>
              <w:rPr>
                <w:sz w:val="17"/>
              </w:rPr>
              <w:t>isobaric PX</w:t>
            </w:r>
          </w:p>
        </w:tc>
      </w:tr>
      <w:tr>
        <w:tc>
          <w:tcPr>
            <w:tcW w:type="dxa" w:w="3744"/>
          </w:tcPr>
          <w:p>
            <w:pPr>
              <w:spacing w:after="20"/>
            </w:pPr>
            <w:r/>
            <w:r>
              <w:rPr>
                <w:sz w:val="17"/>
              </w:rPr>
              <w:t>Post-treatment</w:t>
            </w:r>
          </w:p>
        </w:tc>
        <w:tc>
          <w:tcPr>
            <w:tcW w:type="dxa" w:w="3312"/>
          </w:tcPr>
          <w:p>
            <w:pPr>
              <w:spacing w:after="20"/>
            </w:pPr>
            <w:r/>
            <w:r>
              <w:rPr>
                <w:sz w:val="17"/>
              </w:rPr>
              <w:t>yes</w:t>
            </w:r>
          </w:p>
        </w:tc>
        <w:tc>
          <w:tcPr>
            <w:tcW w:type="dxa" w:w="3312"/>
          </w:tcPr>
          <w:p>
            <w:pPr>
              <w:spacing w:after="20"/>
            </w:pPr>
            <w:r/>
            <w:r>
              <w:rPr>
                <w:sz w:val="17"/>
              </w:rPr>
              <w:t>yes</w:t>
            </w:r>
          </w:p>
        </w:tc>
      </w:tr>
      <w:tr>
        <w:tc>
          <w:tcPr>
            <w:tcW w:type="dxa" w:w="3744"/>
          </w:tcPr>
          <w:p>
            <w:pPr>
              <w:spacing w:after="20"/>
            </w:pPr>
            <w:r/>
            <w:r>
              <w:rPr>
                <w:sz w:val="17"/>
              </w:rPr>
              <w:t>Boron-compliant second pass</w:t>
            </w:r>
          </w:p>
        </w:tc>
        <w:tc>
          <w:tcPr>
            <w:tcW w:type="dxa" w:w="3312"/>
          </w:tcPr>
          <w:p>
            <w:pPr>
              <w:spacing w:after="20"/>
            </w:pPr>
            <w:r/>
            <w:r>
              <w:rPr>
                <w:sz w:val="17"/>
              </w:rPr>
              <w:t>yes</w:t>
            </w:r>
          </w:p>
        </w:tc>
        <w:tc>
          <w:tcPr>
            <w:tcW w:type="dxa" w:w="3312"/>
          </w:tcPr>
          <w:p>
            <w:pPr>
              <w:spacing w:after="20"/>
            </w:pPr>
            <w:r/>
            <w:r>
              <w:rPr>
                <w:sz w:val="17"/>
              </w:rPr>
              <w:t>yes (added in revision)</w:t>
            </w:r>
          </w:p>
        </w:tc>
      </w:tr>
      <w:tr>
        <w:tc>
          <w:tcPr>
            <w:tcW w:type="dxa" w:w="3744"/>
          </w:tcPr>
          <w:p>
            <w:pPr>
              <w:spacing w:after="20"/>
            </w:pPr>
            <w:r/>
            <w:r>
              <w:rPr>
                <w:sz w:val="17"/>
              </w:rPr>
              <w:t>Brine outfall / discharge</w:t>
            </w:r>
          </w:p>
        </w:tc>
        <w:tc>
          <w:tcPr>
            <w:tcW w:type="dxa" w:w="3312"/>
          </w:tcPr>
          <w:p>
            <w:pPr>
              <w:spacing w:after="20"/>
            </w:pPr>
            <w:r/>
            <w:r>
              <w:rPr>
                <w:sz w:val="17"/>
              </w:rPr>
              <w:t>yes</w:t>
            </w:r>
          </w:p>
        </w:tc>
        <w:tc>
          <w:tcPr>
            <w:tcW w:type="dxa" w:w="3312"/>
          </w:tcPr>
          <w:p>
            <w:pPr>
              <w:spacing w:after="20"/>
            </w:pPr>
            <w:r/>
            <w:r>
              <w:rPr>
                <w:sz w:val="17"/>
              </w:rPr>
              <w:t>not applicable (no outfall)</w:t>
            </w:r>
          </w:p>
        </w:tc>
      </w:tr>
      <w:tr>
        <w:tc>
          <w:tcPr>
            <w:tcW w:type="dxa" w:w="3744"/>
          </w:tcPr>
          <w:p>
            <w:pPr>
              <w:spacing w:after="20"/>
            </w:pPr>
            <w:r/>
            <w:r>
              <w:rPr>
                <w:sz w:val="17"/>
              </w:rPr>
              <w:t>Brine concentration</w:t>
            </w:r>
          </w:p>
        </w:tc>
        <w:tc>
          <w:tcPr>
            <w:tcW w:type="dxa" w:w="3312"/>
          </w:tcPr>
          <w:p>
            <w:pPr>
              <w:spacing w:after="20"/>
            </w:pPr>
            <w:r/>
            <w:r>
              <w:rPr>
                <w:sz w:val="17"/>
              </w:rPr>
              <w:t>no</w:t>
            </w:r>
          </w:p>
        </w:tc>
        <w:tc>
          <w:tcPr>
            <w:tcW w:type="dxa" w:w="3312"/>
          </w:tcPr>
          <w:p>
            <w:pPr>
              <w:spacing w:after="20"/>
            </w:pPr>
            <w:r/>
            <w:r>
              <w:rPr>
                <w:sz w:val="17"/>
              </w:rPr>
              <w:t>yes</w:t>
            </w:r>
          </w:p>
        </w:tc>
      </w:tr>
      <w:tr>
        <w:tc>
          <w:tcPr>
            <w:tcW w:type="dxa" w:w="3744"/>
          </w:tcPr>
          <w:p>
            <w:pPr>
              <w:spacing w:after="20"/>
            </w:pPr>
            <w:r/>
            <w:r>
              <w:rPr>
                <w:sz w:val="17"/>
              </w:rPr>
              <w:t>Precipitation and solids handling</w:t>
            </w:r>
          </w:p>
        </w:tc>
        <w:tc>
          <w:tcPr>
            <w:tcW w:type="dxa" w:w="3312"/>
          </w:tcPr>
          <w:p>
            <w:pPr>
              <w:spacing w:after="20"/>
            </w:pPr>
            <w:r/>
            <w:r>
              <w:rPr>
                <w:sz w:val="17"/>
              </w:rPr>
              <w:t>no</w:t>
            </w:r>
          </w:p>
        </w:tc>
        <w:tc>
          <w:tcPr>
            <w:tcW w:type="dxa" w:w="3312"/>
          </w:tcPr>
          <w:p>
            <w:pPr>
              <w:spacing w:after="20"/>
            </w:pPr>
            <w:r/>
            <w:r>
              <w:rPr>
                <w:sz w:val="17"/>
              </w:rPr>
              <w:t>yes</w:t>
            </w:r>
          </w:p>
        </w:tc>
      </w:tr>
      <w:tr>
        <w:tc>
          <w:tcPr>
            <w:tcW w:type="dxa" w:w="3744"/>
          </w:tcPr>
          <w:p>
            <w:pPr>
              <w:spacing w:after="20"/>
            </w:pPr>
            <w:r/>
            <w:r>
              <w:rPr>
                <w:sz w:val="17"/>
              </w:rPr>
              <w:t>Crystallization</w:t>
            </w:r>
          </w:p>
        </w:tc>
        <w:tc>
          <w:tcPr>
            <w:tcW w:type="dxa" w:w="3312"/>
          </w:tcPr>
          <w:p>
            <w:pPr>
              <w:spacing w:after="20"/>
            </w:pPr>
            <w:r/>
            <w:r>
              <w:rPr>
                <w:sz w:val="17"/>
              </w:rPr>
              <w:t>no</w:t>
            </w:r>
          </w:p>
        </w:tc>
        <w:tc>
          <w:tcPr>
            <w:tcW w:type="dxa" w:w="3312"/>
          </w:tcPr>
          <w:p>
            <w:pPr>
              <w:spacing w:after="20"/>
            </w:pPr>
            <w:r/>
            <w:r>
              <w:rPr>
                <w:sz w:val="17"/>
              </w:rPr>
              <w:t>yes</w:t>
            </w:r>
          </w:p>
        </w:tc>
      </w:tr>
      <w:tr>
        <w:tc>
          <w:tcPr>
            <w:tcW w:type="dxa" w:w="3744"/>
          </w:tcPr>
          <w:p>
            <w:pPr>
              <w:spacing w:after="20"/>
            </w:pPr>
            <w:r/>
            <w:r>
              <w:rPr>
                <w:sz w:val="17"/>
              </w:rPr>
              <w:t>Mineral revenue credit</w:t>
            </w:r>
          </w:p>
        </w:tc>
        <w:tc>
          <w:tcPr>
            <w:tcW w:type="dxa" w:w="3312"/>
          </w:tcPr>
          <w:p>
            <w:pPr>
              <w:spacing w:after="20"/>
            </w:pPr>
            <w:r/>
            <w:r>
              <w:rPr>
                <w:sz w:val="17"/>
              </w:rPr>
              <w:t>no</w:t>
            </w:r>
          </w:p>
        </w:tc>
        <w:tc>
          <w:tcPr>
            <w:tcW w:type="dxa" w:w="3312"/>
          </w:tcPr>
          <w:p>
            <w:pPr>
              <w:spacing w:after="20"/>
            </w:pPr>
            <w:r/>
            <w:r>
              <w:rPr>
                <w:sz w:val="17"/>
              </w:rPr>
              <w:t>yes</w:t>
            </w:r>
          </w:p>
        </w:tc>
      </w:tr>
    </w:tbl>
    <w:p>
      <w:pPr>
        <w:spacing w:after="200"/>
      </w:pPr>
      <w:r>
        <w:rPr>
          <w:i/>
          <w:sz w:val="18"/>
        </w:rPr>
        <w:t>Table 6. Cost boundary comparison. The two levelized costs compared in the original did not cover the same scope; comparisons in this revision are made element by element on this table.</w:t>
      </w:r>
    </w:p>
    <w:p>
      <w:pPr>
        <w:spacing w:after="160"/>
        <w:ind w:firstLine="317"/>
      </w:pPr>
      <w:r>
        <w:rPr>
          <w:i w:val="0"/>
          <w:sz w:val="21"/>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uniform sampling is used deliberately, since for most of these quantities the literature supports a plausible range but not a shape.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
              <w:rPr>
                <w:b/>
                <w:sz w:val="16"/>
              </w:rPr>
              <w:t>Sampled parameter</w:t>
            </w:r>
          </w:p>
        </w:tc>
        <w:tc>
          <w:tcPr>
            <w:tcW w:type="dxa" w:w="1958"/>
          </w:tcPr>
          <w:p>
            <w:r/>
            <w:r>
              <w:rPr>
                <w:b/>
                <w:sz w:val="16"/>
              </w:rPr>
              <w:t>Lower</w:t>
            </w:r>
          </w:p>
        </w:tc>
        <w:tc>
          <w:tcPr>
            <w:tcW w:type="dxa" w:w="1958"/>
          </w:tcPr>
          <w:p>
            <w:r/>
            <w:r>
              <w:rPr>
                <w:b/>
                <w:sz w:val="16"/>
              </w:rPr>
              <w:t>Upper</w:t>
            </w:r>
          </w:p>
        </w:tc>
        <w:tc>
          <w:tcPr>
            <w:tcW w:type="dxa" w:w="1958"/>
          </w:tcPr>
          <w:p>
            <w:r/>
            <w:r>
              <w:rPr>
                <w:b/>
                <w:sz w:val="16"/>
              </w:rPr>
              <w:t>Unit</w:t>
            </w:r>
          </w:p>
        </w:tc>
        <w:tc>
          <w:tcPr>
            <w:tcW w:type="dxa" w:w="1958"/>
          </w:tcPr>
          <w:p>
            <w:r/>
            <w:r>
              <w:rPr>
                <w:b/>
                <w:sz w:val="16"/>
              </w:rPr>
              <w:t>Basis</w:t>
            </w:r>
          </w:p>
        </w:tc>
      </w:tr>
      <w:tr>
        <w:tc>
          <w:tcPr>
            <w:tcW w:type="dxa" w:w="1958"/>
          </w:tcPr>
          <w:p>
            <w:pPr>
              <w:spacing w:after="20"/>
            </w:pPr>
            <w:r/>
            <w:r>
              <w:rPr>
                <w:sz w:val="16"/>
              </w:rPr>
              <w:t>Concentrator second-law efficiency</w:t>
            </w:r>
          </w:p>
        </w:tc>
        <w:tc>
          <w:tcPr>
            <w:tcW w:type="dxa" w:w="1958"/>
          </w:tcPr>
          <w:p>
            <w:pPr>
              <w:spacing w:after="20"/>
            </w:pPr>
            <w:r/>
            <w:r>
              <w:rPr>
                <w:sz w:val="16"/>
              </w:rPr>
              <w:t>0.25</w:t>
            </w:r>
          </w:p>
        </w:tc>
        <w:tc>
          <w:tcPr>
            <w:tcW w:type="dxa" w:w="1958"/>
          </w:tcPr>
          <w:p>
            <w:pPr>
              <w:spacing w:after="20"/>
            </w:pPr>
            <w:r/>
            <w:r>
              <w:rPr>
                <w:sz w:val="16"/>
              </w:rPr>
              <w:t>0.55</w:t>
            </w:r>
          </w:p>
        </w:tc>
        <w:tc>
          <w:tcPr>
            <w:tcW w:type="dxa" w:w="1958"/>
          </w:tcPr>
          <w:p>
            <w:pPr>
              <w:spacing w:after="20"/>
            </w:pPr>
            <w:r/>
            <w:r>
              <w:rPr>
                <w:sz w:val="16"/>
              </w:rPr>
              <w:t>-</w:t>
            </w:r>
          </w:p>
        </w:tc>
        <w:tc>
          <w:tcPr>
            <w:tcW w:type="dxa" w:w="1958"/>
          </w:tcPr>
          <w:p>
            <w:pPr>
              <w:spacing w:after="20"/>
            </w:pPr>
            <w:r/>
            <w:r>
              <w:rPr>
                <w:sz w:val="16"/>
              </w:rPr>
              <w:t>range for high-pressure membrane stages</w:t>
            </w:r>
          </w:p>
        </w:tc>
      </w:tr>
      <w:tr>
        <w:tc>
          <w:tcPr>
            <w:tcW w:type="dxa" w:w="1958"/>
          </w:tcPr>
          <w:p>
            <w:pPr>
              <w:spacing w:after="20"/>
            </w:pPr>
            <w:r/>
            <w:r>
              <w:rPr>
                <w:sz w:val="16"/>
              </w:rPr>
              <w:t>Crystallizer energy</w:t>
            </w:r>
          </w:p>
        </w:tc>
        <w:tc>
          <w:tcPr>
            <w:tcW w:type="dxa" w:w="1958"/>
          </w:tcPr>
          <w:p>
            <w:pPr>
              <w:spacing w:after="20"/>
            </w:pPr>
            <w:r/>
            <w:r>
              <w:rPr>
                <w:sz w:val="16"/>
              </w:rPr>
              <w:t>8</w:t>
            </w:r>
          </w:p>
        </w:tc>
        <w:tc>
          <w:tcPr>
            <w:tcW w:type="dxa" w:w="1958"/>
          </w:tcPr>
          <w:p>
            <w:pPr>
              <w:spacing w:after="20"/>
            </w:pPr>
            <w:r/>
            <w:r>
              <w:rPr>
                <w:sz w:val="16"/>
              </w:rPr>
              <w:t>15</w:t>
            </w:r>
          </w:p>
        </w:tc>
        <w:tc>
          <w:tcPr>
            <w:tcW w:type="dxa" w:w="1958"/>
          </w:tcPr>
          <w:p>
            <w:pPr>
              <w:spacing w:after="20"/>
            </w:pPr>
            <w:r/>
            <w:r>
              <w:rPr>
                <w:sz w:val="16"/>
              </w:rPr>
              <w:t>kWh m-3 feed</w:t>
            </w:r>
          </w:p>
        </w:tc>
        <w:tc>
          <w:tcPr>
            <w:tcW w:type="dxa" w:w="1958"/>
          </w:tcPr>
          <w:p>
            <w:pPr>
              <w:spacing w:after="20"/>
            </w:pPr>
            <w:r/>
            <w:r>
              <w:rPr>
                <w:sz w:val="16"/>
              </w:rPr>
              <w:t>MVC literature [20]</w:t>
            </w:r>
          </w:p>
        </w:tc>
      </w:tr>
      <w:tr>
        <w:tc>
          <w:tcPr>
            <w:tcW w:type="dxa" w:w="1958"/>
          </w:tcPr>
          <w:p>
            <w:pPr>
              <w:spacing w:after="20"/>
            </w:pPr>
            <w:r/>
            <w:r>
              <w:rPr>
                <w:sz w:val="16"/>
              </w:rPr>
              <w:t>Intake and pretreatment energy</w:t>
            </w:r>
          </w:p>
        </w:tc>
        <w:tc>
          <w:tcPr>
            <w:tcW w:type="dxa" w:w="1958"/>
          </w:tcPr>
          <w:p>
            <w:pPr>
              <w:spacing w:after="20"/>
            </w:pPr>
            <w:r/>
            <w:r>
              <w:rPr>
                <w:sz w:val="16"/>
              </w:rPr>
              <w:t>0.05</w:t>
            </w:r>
          </w:p>
        </w:tc>
        <w:tc>
          <w:tcPr>
            <w:tcW w:type="dxa" w:w="1958"/>
          </w:tcPr>
          <w:p>
            <w:pPr>
              <w:spacing w:after="20"/>
            </w:pPr>
            <w:r/>
            <w:r>
              <w:rPr>
                <w:sz w:val="16"/>
              </w:rPr>
              <w:t>0.80</w:t>
            </w:r>
          </w:p>
        </w:tc>
        <w:tc>
          <w:tcPr>
            <w:tcW w:type="dxa" w:w="1958"/>
          </w:tcPr>
          <w:p>
            <w:pPr>
              <w:spacing w:after="20"/>
            </w:pPr>
            <w:r/>
            <w:r>
              <w:rPr>
                <w:sz w:val="16"/>
              </w:rPr>
              <w:t>kWh m-3</w:t>
            </w:r>
          </w:p>
        </w:tc>
        <w:tc>
          <w:tcPr>
            <w:tcW w:type="dxa" w:w="1958"/>
          </w:tcPr>
          <w:p>
            <w:pPr>
              <w:spacing w:after="20"/>
            </w:pPr>
            <w:r/>
            <w:r>
              <w:rPr>
                <w:sz w:val="16"/>
              </w:rPr>
              <w:t>full reported intake range</w:t>
            </w:r>
          </w:p>
        </w:tc>
      </w:tr>
      <w:tr>
        <w:tc>
          <w:tcPr>
            <w:tcW w:type="dxa" w:w="1958"/>
          </w:tcPr>
          <w:p>
            <w:pPr>
              <w:spacing w:after="20"/>
            </w:pPr>
            <w:r/>
            <w:r>
              <w:rPr>
                <w:sz w:val="16"/>
              </w:rPr>
              <w:t>Electricity price</w:t>
            </w:r>
          </w:p>
        </w:tc>
        <w:tc>
          <w:tcPr>
            <w:tcW w:type="dxa" w:w="1958"/>
          </w:tcPr>
          <w:p>
            <w:pPr>
              <w:spacing w:after="20"/>
            </w:pPr>
            <w:r/>
            <w:r>
              <w:rPr>
                <w:sz w:val="16"/>
              </w:rPr>
              <w:t>0.05</w:t>
            </w:r>
          </w:p>
        </w:tc>
        <w:tc>
          <w:tcPr>
            <w:tcW w:type="dxa" w:w="1958"/>
          </w:tcPr>
          <w:p>
            <w:pPr>
              <w:spacing w:after="20"/>
            </w:pPr>
            <w:r/>
            <w:r>
              <w:rPr>
                <w:sz w:val="16"/>
              </w:rPr>
              <w:t>0.12</w:t>
            </w:r>
          </w:p>
        </w:tc>
        <w:tc>
          <w:tcPr>
            <w:tcW w:type="dxa" w:w="1958"/>
          </w:tcPr>
          <w:p>
            <w:pPr>
              <w:spacing w:after="20"/>
            </w:pPr>
            <w:r/>
            <w:r>
              <w:rPr>
                <w:sz w:val="16"/>
              </w:rPr>
              <w:t>$ kWh-1</w:t>
            </w:r>
          </w:p>
        </w:tc>
        <w:tc>
          <w:tcPr>
            <w:tcW w:type="dxa" w:w="1958"/>
          </w:tcPr>
          <w:p>
            <w:pPr>
              <w:spacing w:after="20"/>
            </w:pPr>
            <w:r/>
            <w:r>
              <w:rPr>
                <w:sz w:val="16"/>
              </w:rPr>
              <w:t>industrial tariff range</w:t>
            </w:r>
          </w:p>
        </w:tc>
      </w:tr>
      <w:tr>
        <w:tc>
          <w:tcPr>
            <w:tcW w:type="dxa" w:w="1958"/>
          </w:tcPr>
          <w:p>
            <w:pPr>
              <w:spacing w:after="20"/>
            </w:pPr>
            <w:r/>
            <w:r>
              <w:rPr>
                <w:sz w:val="16"/>
              </w:rPr>
              <w:t>Soda ash price</w:t>
            </w:r>
          </w:p>
        </w:tc>
        <w:tc>
          <w:tcPr>
            <w:tcW w:type="dxa" w:w="1958"/>
          </w:tcPr>
          <w:p>
            <w:pPr>
              <w:spacing w:after="20"/>
            </w:pPr>
            <w:r/>
            <w:r>
              <w:rPr>
                <w:sz w:val="16"/>
              </w:rPr>
              <w:t>0.18</w:t>
            </w:r>
          </w:p>
        </w:tc>
        <w:tc>
          <w:tcPr>
            <w:tcW w:type="dxa" w:w="1958"/>
          </w:tcPr>
          <w:p>
            <w:pPr>
              <w:spacing w:after="20"/>
            </w:pPr>
            <w:r/>
            <w:r>
              <w:rPr>
                <w:sz w:val="16"/>
              </w:rPr>
              <w:t>0.35</w:t>
            </w:r>
          </w:p>
        </w:tc>
        <w:tc>
          <w:tcPr>
            <w:tcW w:type="dxa" w:w="1958"/>
          </w:tcPr>
          <w:p>
            <w:pPr>
              <w:spacing w:after="20"/>
            </w:pPr>
            <w:r/>
            <w:r>
              <w:rPr>
                <w:sz w:val="16"/>
              </w:rPr>
              <w:t>$ kg-1</w:t>
            </w:r>
          </w:p>
        </w:tc>
        <w:tc>
          <w:tcPr>
            <w:tcW w:type="dxa" w:w="1958"/>
          </w:tcPr>
          <w:p>
            <w:pPr>
              <w:spacing w:after="20"/>
            </w:pPr>
            <w:r/>
            <w:r>
              <w:rPr>
                <w:sz w:val="16"/>
              </w:rPr>
              <w:t>bulk industrial</w:t>
            </w:r>
          </w:p>
        </w:tc>
      </w:tr>
      <w:tr>
        <w:tc>
          <w:tcPr>
            <w:tcW w:type="dxa" w:w="1958"/>
          </w:tcPr>
          <w:p>
            <w:pPr>
              <w:spacing w:after="20"/>
            </w:pPr>
            <w:r/>
            <w:r>
              <w:rPr>
                <w:sz w:val="16"/>
              </w:rPr>
              <w:t>Hydrated lime price</w:t>
            </w:r>
          </w:p>
        </w:tc>
        <w:tc>
          <w:tcPr>
            <w:tcW w:type="dxa" w:w="1958"/>
          </w:tcPr>
          <w:p>
            <w:pPr>
              <w:spacing w:after="20"/>
            </w:pPr>
            <w:r/>
            <w:r>
              <w:rPr>
                <w:sz w:val="16"/>
              </w:rPr>
              <w:t>0.08</w:t>
            </w:r>
          </w:p>
        </w:tc>
        <w:tc>
          <w:tcPr>
            <w:tcW w:type="dxa" w:w="1958"/>
          </w:tcPr>
          <w:p>
            <w:pPr>
              <w:spacing w:after="20"/>
            </w:pPr>
            <w:r/>
            <w:r>
              <w:rPr>
                <w:sz w:val="16"/>
              </w:rPr>
              <w:t>0.18</w:t>
            </w:r>
          </w:p>
        </w:tc>
        <w:tc>
          <w:tcPr>
            <w:tcW w:type="dxa" w:w="1958"/>
          </w:tcPr>
          <w:p>
            <w:pPr>
              <w:spacing w:after="20"/>
            </w:pPr>
            <w:r/>
            <w:r>
              <w:rPr>
                <w:sz w:val="16"/>
              </w:rPr>
              <w:t>$ kg-1</w:t>
            </w:r>
          </w:p>
        </w:tc>
        <w:tc>
          <w:tcPr>
            <w:tcW w:type="dxa" w:w="1958"/>
          </w:tcPr>
          <w:p>
            <w:pPr>
              <w:spacing w:after="20"/>
            </w:pPr>
            <w:r/>
            <w:r>
              <w:rPr>
                <w:sz w:val="16"/>
              </w:rPr>
              <w:t>bulk industrial</w:t>
            </w:r>
          </w:p>
        </w:tc>
      </w:tr>
      <w:tr>
        <w:tc>
          <w:tcPr>
            <w:tcW w:type="dxa" w:w="1958"/>
          </w:tcPr>
          <w:p>
            <w:pPr>
              <w:spacing w:after="20"/>
            </w:pPr>
            <w:r/>
            <w:r>
              <w:rPr>
                <w:sz w:val="16"/>
              </w:rPr>
              <w:t>CAPEX uplift for valorization</w:t>
            </w:r>
          </w:p>
        </w:tc>
        <w:tc>
          <w:tcPr>
            <w:tcW w:type="dxa" w:w="1958"/>
          </w:tcPr>
          <w:p>
            <w:pPr>
              <w:spacing w:after="20"/>
            </w:pPr>
            <w:r/>
            <w:r>
              <w:rPr>
                <w:sz w:val="16"/>
              </w:rPr>
              <w:t>0.20</w:t>
            </w:r>
          </w:p>
        </w:tc>
        <w:tc>
          <w:tcPr>
            <w:tcW w:type="dxa" w:w="1958"/>
          </w:tcPr>
          <w:p>
            <w:pPr>
              <w:spacing w:after="20"/>
            </w:pPr>
            <w:r/>
            <w:r>
              <w:rPr>
                <w:sz w:val="16"/>
              </w:rPr>
              <w:t>0.60</w:t>
            </w:r>
          </w:p>
        </w:tc>
        <w:tc>
          <w:tcPr>
            <w:tcW w:type="dxa" w:w="1958"/>
          </w:tcPr>
          <w:p>
            <w:pPr>
              <w:spacing w:after="20"/>
            </w:pPr>
            <w:r/>
            <w:r>
              <w:rPr>
                <w:sz w:val="16"/>
              </w:rPr>
              <w:t>-</w:t>
            </w:r>
          </w:p>
        </w:tc>
        <w:tc>
          <w:tcPr>
            <w:tcW w:type="dxa" w:w="1958"/>
          </w:tcPr>
          <w:p>
            <w:pPr>
              <w:spacing w:after="20"/>
            </w:pPr>
            <w:r/>
            <w:r>
              <w:rPr>
                <w:sz w:val="16"/>
              </w:rPr>
              <w:t>assumption, per reviewer request</w:t>
            </w:r>
          </w:p>
        </w:tc>
      </w:tr>
      <w:tr>
        <w:tc>
          <w:tcPr>
            <w:tcW w:type="dxa" w:w="1958"/>
          </w:tcPr>
          <w:p>
            <w:pPr>
              <w:spacing w:after="20"/>
            </w:pPr>
            <w:r/>
            <w:r>
              <w:rPr>
                <w:sz w:val="16"/>
              </w:rPr>
              <w:t>CaCO3 sellable fraction</w:t>
            </w:r>
          </w:p>
        </w:tc>
        <w:tc>
          <w:tcPr>
            <w:tcW w:type="dxa" w:w="1958"/>
          </w:tcPr>
          <w:p>
            <w:pPr>
              <w:spacing w:after="20"/>
            </w:pPr>
            <w:r/>
            <w:r>
              <w:rPr>
                <w:sz w:val="16"/>
              </w:rPr>
              <w:t>0.50</w:t>
            </w:r>
          </w:p>
        </w:tc>
        <w:tc>
          <w:tcPr>
            <w:tcW w:type="dxa" w:w="1958"/>
          </w:tcPr>
          <w:p>
            <w:pPr>
              <w:spacing w:after="20"/>
            </w:pPr>
            <w:r/>
            <w:r>
              <w:rPr>
                <w:sz w:val="16"/>
              </w:rPr>
              <w:t>0.70</w:t>
            </w:r>
          </w:p>
        </w:tc>
        <w:tc>
          <w:tcPr>
            <w:tcW w:type="dxa" w:w="1958"/>
          </w:tcPr>
          <w:p>
            <w:pPr>
              <w:spacing w:after="20"/>
            </w:pPr>
            <w:r/>
            <w:r>
              <w:rPr>
                <w:sz w:val="16"/>
              </w:rPr>
              <w:t>-</w:t>
            </w:r>
          </w:p>
        </w:tc>
        <w:tc>
          <w:tcPr>
            <w:tcW w:type="dxa" w:w="1958"/>
          </w:tcPr>
          <w:p>
            <w:pPr>
              <w:spacing w:after="20"/>
            </w:pPr>
            <w:r/>
            <w:r>
              <w:rPr>
                <w:sz w:val="16"/>
              </w:rPr>
              <w:t>purity and market constraints</w:t>
            </w:r>
          </w:p>
        </w:tc>
      </w:tr>
      <w:tr>
        <w:tc>
          <w:tcPr>
            <w:tcW w:type="dxa" w:w="1958"/>
          </w:tcPr>
          <w:p>
            <w:pPr>
              <w:spacing w:after="20"/>
            </w:pPr>
            <w:r/>
            <w:r>
              <w:rPr>
                <w:sz w:val="16"/>
              </w:rPr>
              <w:t>Mg(OH)2 sellable fraction</w:t>
            </w:r>
          </w:p>
        </w:tc>
        <w:tc>
          <w:tcPr>
            <w:tcW w:type="dxa" w:w="1958"/>
          </w:tcPr>
          <w:p>
            <w:pPr>
              <w:spacing w:after="20"/>
            </w:pPr>
            <w:r/>
            <w:r>
              <w:rPr>
                <w:sz w:val="16"/>
              </w:rPr>
              <w:t>0.05</w:t>
            </w:r>
          </w:p>
        </w:tc>
        <w:tc>
          <w:tcPr>
            <w:tcW w:type="dxa" w:w="1958"/>
          </w:tcPr>
          <w:p>
            <w:pPr>
              <w:spacing w:after="20"/>
            </w:pPr>
            <w:r/>
            <w:r>
              <w:rPr>
                <w:sz w:val="16"/>
              </w:rPr>
              <w:t>0.20</w:t>
            </w:r>
          </w:p>
        </w:tc>
        <w:tc>
          <w:tcPr>
            <w:tcW w:type="dxa" w:w="1958"/>
          </w:tcPr>
          <w:p>
            <w:pPr>
              <w:spacing w:after="20"/>
            </w:pPr>
            <w:r/>
            <w:r>
              <w:rPr>
                <w:sz w:val="16"/>
              </w:rPr>
              <w:t>-</w:t>
            </w:r>
          </w:p>
        </w:tc>
        <w:tc>
          <w:tcPr>
            <w:tcW w:type="dxa" w:w="1958"/>
          </w:tcPr>
          <w:p>
            <w:pPr>
              <w:spacing w:after="20"/>
            </w:pPr>
            <w:r/>
            <w:r>
              <w:rPr>
                <w:sz w:val="16"/>
              </w:rPr>
              <w:t>market-absorption check, Section 4.3</w:t>
            </w:r>
          </w:p>
        </w:tc>
      </w:tr>
      <w:tr>
        <w:tc>
          <w:tcPr>
            <w:tcW w:type="dxa" w:w="1958"/>
          </w:tcPr>
          <w:p>
            <w:pPr>
              <w:spacing w:after="20"/>
            </w:pPr>
            <w:r/>
            <w:r>
              <w:rPr>
                <w:sz w:val="16"/>
              </w:rPr>
              <w:t>Mineral price multiplier</w:t>
            </w:r>
          </w:p>
        </w:tc>
        <w:tc>
          <w:tcPr>
            <w:tcW w:type="dxa" w:w="1958"/>
          </w:tcPr>
          <w:p>
            <w:pPr>
              <w:spacing w:after="20"/>
            </w:pPr>
            <w:r/>
            <w:r>
              <w:rPr>
                <w:sz w:val="16"/>
              </w:rPr>
              <w:t>0.70</w:t>
            </w:r>
          </w:p>
        </w:tc>
        <w:tc>
          <w:tcPr>
            <w:tcW w:type="dxa" w:w="1958"/>
          </w:tcPr>
          <w:p>
            <w:pPr>
              <w:spacing w:after="20"/>
            </w:pPr>
            <w:r/>
            <w:r>
              <w:rPr>
                <w:sz w:val="16"/>
              </w:rPr>
              <w:t>1.30</w:t>
            </w:r>
          </w:p>
        </w:tc>
        <w:tc>
          <w:tcPr>
            <w:tcW w:type="dxa" w:w="1958"/>
          </w:tcPr>
          <w:p>
            <w:pPr>
              <w:spacing w:after="20"/>
            </w:pPr>
            <w:r/>
            <w:r>
              <w:rPr>
                <w:sz w:val="16"/>
              </w:rPr>
              <w:t>-</w:t>
            </w:r>
          </w:p>
        </w:tc>
        <w:tc>
          <w:tcPr>
            <w:tcW w:type="dxa" w:w="1958"/>
          </w:tcPr>
          <w:p>
            <w:pPr>
              <w:spacing w:after="20"/>
            </w:pPr>
            <w:r/>
            <w:r>
              <w:rPr>
                <w:sz w:val="16"/>
              </w:rPr>
              <w:t>applied to both products</w:t>
            </w:r>
          </w:p>
        </w:tc>
      </w:tr>
      <w:tr>
        <w:tc>
          <w:tcPr>
            <w:tcW w:type="dxa" w:w="1958"/>
          </w:tcPr>
          <w:p>
            <w:pPr>
              <w:spacing w:after="20"/>
            </w:pPr>
            <w:r/>
            <w:r>
              <w:rPr>
                <w:sz w:val="16"/>
              </w:rPr>
              <w:t>Soda ash embodied carbon</w:t>
            </w:r>
          </w:p>
        </w:tc>
        <w:tc>
          <w:tcPr>
            <w:tcW w:type="dxa" w:w="1958"/>
          </w:tcPr>
          <w:p>
            <w:pPr>
              <w:spacing w:after="20"/>
            </w:pPr>
            <w:r/>
            <w:r>
              <w:rPr>
                <w:sz w:val="16"/>
              </w:rPr>
              <w:t>0.80</w:t>
            </w:r>
          </w:p>
        </w:tc>
        <w:tc>
          <w:tcPr>
            <w:tcW w:type="dxa" w:w="1958"/>
          </w:tcPr>
          <w:p>
            <w:pPr>
              <w:spacing w:after="20"/>
            </w:pPr>
            <w:r/>
            <w:r>
              <w:rPr>
                <w:sz w:val="16"/>
              </w:rPr>
              <w:t>1.30</w:t>
            </w:r>
          </w:p>
        </w:tc>
        <w:tc>
          <w:tcPr>
            <w:tcW w:type="dxa" w:w="1958"/>
          </w:tcPr>
          <w:p>
            <w:pPr>
              <w:spacing w:after="20"/>
            </w:pPr>
            <w:r/>
            <w:r>
              <w:rPr>
                <w:sz w:val="16"/>
              </w:rPr>
              <w:t>kg CO2 kg-1</w:t>
            </w:r>
          </w:p>
        </w:tc>
        <w:tc>
          <w:tcPr>
            <w:tcW w:type="dxa" w:w="1958"/>
          </w:tcPr>
          <w:p>
            <w:pPr>
              <w:spacing w:after="20"/>
            </w:pPr>
            <w:r/>
            <w:r>
              <w:rPr>
                <w:sz w:val="16"/>
              </w:rPr>
              <w:t>LCA inventory range</w:t>
            </w:r>
          </w:p>
        </w:tc>
      </w:tr>
      <w:tr>
        <w:tc>
          <w:tcPr>
            <w:tcW w:type="dxa" w:w="1958"/>
          </w:tcPr>
          <w:p>
            <w:pPr>
              <w:spacing w:after="20"/>
            </w:pPr>
            <w:r/>
            <w:r>
              <w:rPr>
                <w:sz w:val="16"/>
              </w:rPr>
              <w:t>Lime embodied carbon</w:t>
            </w:r>
          </w:p>
        </w:tc>
        <w:tc>
          <w:tcPr>
            <w:tcW w:type="dxa" w:w="1958"/>
          </w:tcPr>
          <w:p>
            <w:pPr>
              <w:spacing w:after="20"/>
            </w:pPr>
            <w:r/>
            <w:r>
              <w:rPr>
                <w:sz w:val="16"/>
              </w:rPr>
              <w:t>0.90</w:t>
            </w:r>
          </w:p>
        </w:tc>
        <w:tc>
          <w:tcPr>
            <w:tcW w:type="dxa" w:w="1958"/>
          </w:tcPr>
          <w:p>
            <w:pPr>
              <w:spacing w:after="20"/>
            </w:pPr>
            <w:r/>
            <w:r>
              <w:rPr>
                <w:sz w:val="16"/>
              </w:rPr>
              <w:t>1.50</w:t>
            </w:r>
          </w:p>
        </w:tc>
        <w:tc>
          <w:tcPr>
            <w:tcW w:type="dxa" w:w="1958"/>
          </w:tcPr>
          <w:p>
            <w:pPr>
              <w:spacing w:after="20"/>
            </w:pPr>
            <w:r/>
            <w:r>
              <w:rPr>
                <w:sz w:val="16"/>
              </w:rPr>
              <w:t>kg CO2 kg-1</w:t>
            </w:r>
          </w:p>
        </w:tc>
        <w:tc>
          <w:tcPr>
            <w:tcW w:type="dxa" w:w="1958"/>
          </w:tcPr>
          <w:p>
            <w:pPr>
              <w:spacing w:after="20"/>
            </w:pPr>
            <w:r/>
            <w:r>
              <w:rPr>
                <w:sz w:val="16"/>
              </w:rPr>
              <w:t>calcination plus fuel</w:t>
            </w:r>
          </w:p>
        </w:tc>
      </w:tr>
      <w:tr>
        <w:tc>
          <w:tcPr>
            <w:tcW w:type="dxa" w:w="1958"/>
          </w:tcPr>
          <w:p>
            <w:pPr>
              <w:spacing w:after="20"/>
            </w:pPr>
            <w:r/>
            <w:r>
              <w:rPr>
                <w:sz w:val="16"/>
              </w:rPr>
              <w:t>Grid carbon intensity</w:t>
            </w:r>
          </w:p>
        </w:tc>
        <w:tc>
          <w:tcPr>
            <w:tcW w:type="dxa" w:w="1958"/>
          </w:tcPr>
          <w:p>
            <w:pPr>
              <w:spacing w:after="20"/>
            </w:pPr>
            <w:r/>
            <w:r>
              <w:rPr>
                <w:sz w:val="16"/>
              </w:rPr>
              <w:t>0.15</w:t>
            </w:r>
          </w:p>
        </w:tc>
        <w:tc>
          <w:tcPr>
            <w:tcW w:type="dxa" w:w="1958"/>
          </w:tcPr>
          <w:p>
            <w:pPr>
              <w:spacing w:after="20"/>
            </w:pPr>
            <w:r/>
            <w:r>
              <w:rPr>
                <w:sz w:val="16"/>
              </w:rPr>
              <w:t>0.65</w:t>
            </w:r>
          </w:p>
        </w:tc>
        <w:tc>
          <w:tcPr>
            <w:tcW w:type="dxa" w:w="1958"/>
          </w:tcPr>
          <w:p>
            <w:pPr>
              <w:spacing w:after="20"/>
            </w:pPr>
            <w:r/>
            <w:r>
              <w:rPr>
                <w:sz w:val="16"/>
              </w:rPr>
              <w:t>kg CO2 kWh-1</w:t>
            </w:r>
          </w:p>
        </w:tc>
        <w:tc>
          <w:tcPr>
            <w:tcW w:type="dxa" w:w="1958"/>
          </w:tcPr>
          <w:p>
            <w:pPr>
              <w:spacing w:after="20"/>
            </w:pPr>
            <w:r/>
            <w:r>
              <w:rPr>
                <w:sz w:val="16"/>
              </w:rPr>
              <w:t>spans low-carbon to coal grids</w:t>
            </w:r>
          </w:p>
        </w:tc>
      </w:tr>
    </w:tbl>
    <w:p>
      <w:pPr>
        <w:spacing w:after="200"/>
      </w:pPr>
      <w:r>
        <w:rPr>
          <w:i/>
          <w:sz w:val="18"/>
        </w:rPr>
        <w:t>Table 7. Monte Carlo sampling ranges. All distributions are uniform and independent; the seed is recorded so the draw is reproducible.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
              <w:rPr>
                <w:b/>
                <w:sz w:val="17"/>
              </w:rPr>
              <w:t>Quantity</w:t>
            </w:r>
          </w:p>
        </w:tc>
        <w:tc>
          <w:tcPr>
            <w:tcW w:type="dxa" w:w="1958"/>
          </w:tcPr>
          <w:p>
            <w:r/>
            <w:r>
              <w:rPr>
                <w:b/>
                <w:sz w:val="17"/>
              </w:rPr>
              <w:t>Median</w:t>
            </w:r>
          </w:p>
        </w:tc>
        <w:tc>
          <w:tcPr>
            <w:tcW w:type="dxa" w:w="1958"/>
          </w:tcPr>
          <w:p>
            <w:r/>
            <w:r>
              <w:rPr>
                <w:b/>
                <w:sz w:val="17"/>
              </w:rPr>
              <w:t>5th percentile</w:t>
            </w:r>
          </w:p>
        </w:tc>
        <w:tc>
          <w:tcPr>
            <w:tcW w:type="dxa" w:w="1958"/>
          </w:tcPr>
          <w:p>
            <w:r/>
            <w:r>
              <w:rPr>
                <w:b/>
                <w:sz w:val="17"/>
              </w:rPr>
              <w:t>95th percentile</w:t>
            </w:r>
          </w:p>
        </w:tc>
        <w:tc>
          <w:tcPr>
            <w:tcW w:type="dxa" w:w="1958"/>
          </w:tcPr>
          <w:p>
            <w:r/>
            <w:r>
              <w:rPr>
                <w:b/>
                <w:sz w:val="17"/>
              </w:rPr>
              <w:t>Unit</w:t>
            </w:r>
          </w:p>
        </w:tc>
      </w:tr>
      <w:tr>
        <w:tc>
          <w:tcPr>
            <w:tcW w:type="dxa" w:w="1958"/>
          </w:tcPr>
          <w:p>
            <w:pPr>
              <w:spacing w:after="20"/>
            </w:pPr>
            <w:r/>
            <w:r>
              <w:rPr>
                <w:sz w:val="17"/>
              </w:rPr>
              <w:t>Concentrator energy</w:t>
            </w:r>
          </w:p>
        </w:tc>
        <w:tc>
          <w:tcPr>
            <w:tcW w:type="dxa" w:w="1958"/>
          </w:tcPr>
          <w:p>
            <w:pPr>
              <w:spacing w:after="20"/>
            </w:pPr>
            <w:r/>
            <w:r>
              <w:rPr>
                <w:sz w:val="17"/>
              </w:rPr>
              <w:t>2.358</w:t>
            </w:r>
          </w:p>
        </w:tc>
        <w:tc>
          <w:tcPr>
            <w:tcW w:type="dxa" w:w="1958"/>
          </w:tcPr>
          <w:p>
            <w:pPr>
              <w:spacing w:after="20"/>
            </w:pPr>
            <w:r/>
            <w:r>
              <w:rPr>
                <w:sz w:val="17"/>
              </w:rPr>
              <w:t>1.763</w:t>
            </w:r>
          </w:p>
        </w:tc>
        <w:tc>
          <w:tcPr>
            <w:tcW w:type="dxa" w:w="1958"/>
          </w:tcPr>
          <w:p>
            <w:pPr>
              <w:spacing w:after="20"/>
            </w:pPr>
            <w:r/>
            <w:r>
              <w:rPr>
                <w:sz w:val="17"/>
              </w:rPr>
              <w:t>3.558</w:t>
            </w:r>
          </w:p>
        </w:tc>
        <w:tc>
          <w:tcPr>
            <w:tcW w:type="dxa" w:w="1958"/>
          </w:tcPr>
          <w:p>
            <w:pPr>
              <w:spacing w:after="20"/>
            </w:pPr>
            <w:r/>
            <w:r>
              <w:rPr>
                <w:sz w:val="17"/>
              </w:rPr>
              <w:t>kWh m-3 brine</w:t>
            </w:r>
          </w:p>
        </w:tc>
      </w:tr>
      <w:tr>
        <w:tc>
          <w:tcPr>
            <w:tcW w:type="dxa" w:w="1958"/>
          </w:tcPr>
          <w:p>
            <w:pPr>
              <w:spacing w:after="20"/>
            </w:pPr>
            <w:r/>
            <w:r>
              <w:rPr>
                <w:sz w:val="17"/>
              </w:rPr>
              <w:t>Total SEC</w:t>
            </w:r>
          </w:p>
        </w:tc>
        <w:tc>
          <w:tcPr>
            <w:tcW w:type="dxa" w:w="1958"/>
          </w:tcPr>
          <w:p>
            <w:pPr>
              <w:spacing w:after="20"/>
            </w:pPr>
            <w:r/>
            <w:r>
              <w:rPr>
                <w:sz w:val="17"/>
              </w:rPr>
              <w:t>13.11</w:t>
            </w:r>
          </w:p>
        </w:tc>
        <w:tc>
          <w:tcPr>
            <w:tcW w:type="dxa" w:w="1958"/>
          </w:tcPr>
          <w:p>
            <w:pPr>
              <w:spacing w:after="20"/>
            </w:pPr>
            <w:r/>
            <w:r>
              <w:rPr>
                <w:sz w:val="17"/>
              </w:rPr>
              <w:t>10.798</w:t>
            </w:r>
          </w:p>
        </w:tc>
        <w:tc>
          <w:tcPr>
            <w:tcW w:type="dxa" w:w="1958"/>
          </w:tcPr>
          <w:p>
            <w:pPr>
              <w:spacing w:after="20"/>
            </w:pPr>
            <w:r/>
            <w:r>
              <w:rPr>
                <w:sz w:val="17"/>
              </w:rPr>
              <w:t>15.482</w:t>
            </w:r>
          </w:p>
        </w:tc>
        <w:tc>
          <w:tcPr>
            <w:tcW w:type="dxa" w:w="1958"/>
          </w:tcPr>
          <w:p>
            <w:pPr>
              <w:spacing w:after="20"/>
            </w:pPr>
            <w:r/>
            <w:r>
              <w:rPr>
                <w:sz w:val="17"/>
              </w:rPr>
              <w:t>kWh m-3 permeate</w:t>
            </w:r>
          </w:p>
        </w:tc>
      </w:tr>
      <w:tr>
        <w:tc>
          <w:tcPr>
            <w:tcW w:type="dxa" w:w="1958"/>
          </w:tcPr>
          <w:p>
            <w:pPr>
              <w:spacing w:after="20"/>
            </w:pPr>
            <w:r/>
            <w:r>
              <w:rPr>
                <w:sz w:val="17"/>
              </w:rPr>
              <w:t>Reagent OPEX</w:t>
            </w:r>
          </w:p>
        </w:tc>
        <w:tc>
          <w:tcPr>
            <w:tcW w:type="dxa" w:w="1958"/>
          </w:tcPr>
          <w:p>
            <w:pPr>
              <w:spacing w:after="20"/>
            </w:pPr>
            <w:r/>
            <w:r>
              <w:rPr>
                <w:sz w:val="17"/>
              </w:rPr>
              <w:t>1.697</w:t>
            </w:r>
          </w:p>
        </w:tc>
        <w:tc>
          <w:tcPr>
            <w:tcW w:type="dxa" w:w="1958"/>
          </w:tcPr>
          <w:p>
            <w:pPr>
              <w:spacing w:after="20"/>
            </w:pPr>
            <w:r/>
            <w:r>
              <w:rPr>
                <w:sz w:val="17"/>
              </w:rPr>
              <w:t>1.264</w:t>
            </w:r>
          </w:p>
        </w:tc>
        <w:tc>
          <w:tcPr>
            <w:tcW w:type="dxa" w:w="1958"/>
          </w:tcPr>
          <w:p>
            <w:pPr>
              <w:spacing w:after="20"/>
            </w:pPr>
            <w:r/>
            <w:r>
              <w:rPr>
                <w:sz w:val="17"/>
              </w:rPr>
              <w:t>2.131</w:t>
            </w:r>
          </w:p>
        </w:tc>
        <w:tc>
          <w:tcPr>
            <w:tcW w:type="dxa" w:w="1958"/>
          </w:tcPr>
          <w:p>
            <w:pPr>
              <w:spacing w:after="20"/>
            </w:pPr>
            <w:r/>
            <w:r>
              <w:rPr>
                <w:sz w:val="17"/>
              </w:rPr>
              <w:t>$ m-3</w:t>
            </w:r>
          </w:p>
        </w:tc>
      </w:tr>
      <w:tr>
        <w:tc>
          <w:tcPr>
            <w:tcW w:type="dxa" w:w="1958"/>
          </w:tcPr>
          <w:p>
            <w:pPr>
              <w:spacing w:after="20"/>
            </w:pPr>
            <w:r/>
            <w:r>
              <w:rPr>
                <w:sz w:val="17"/>
              </w:rPr>
              <w:t>Total OPEX</w:t>
            </w:r>
          </w:p>
        </w:tc>
        <w:tc>
          <w:tcPr>
            <w:tcW w:type="dxa" w:w="1958"/>
          </w:tcPr>
          <w:p>
            <w:pPr>
              <w:spacing w:after="20"/>
            </w:pPr>
            <w:r/>
            <w:r>
              <w:rPr>
                <w:sz w:val="17"/>
              </w:rPr>
              <w:t>3.04</w:t>
            </w:r>
          </w:p>
        </w:tc>
        <w:tc>
          <w:tcPr>
            <w:tcW w:type="dxa" w:w="1958"/>
          </w:tcPr>
          <w:p>
            <w:pPr>
              <w:spacing w:after="20"/>
            </w:pPr>
            <w:r/>
            <w:r>
              <w:rPr>
                <w:sz w:val="17"/>
              </w:rPr>
              <w:t>2.4</w:t>
            </w:r>
          </w:p>
        </w:tc>
        <w:tc>
          <w:tcPr>
            <w:tcW w:type="dxa" w:w="1958"/>
          </w:tcPr>
          <w:p>
            <w:pPr>
              <w:spacing w:after="20"/>
            </w:pPr>
            <w:r/>
            <w:r>
              <w:rPr>
                <w:sz w:val="17"/>
              </w:rPr>
              <w:t>3.715</w:t>
            </w:r>
          </w:p>
        </w:tc>
        <w:tc>
          <w:tcPr>
            <w:tcW w:type="dxa" w:w="1958"/>
          </w:tcPr>
          <w:p>
            <w:pPr>
              <w:spacing w:after="20"/>
            </w:pPr>
            <w:r/>
            <w:r>
              <w:rPr>
                <w:sz w:val="17"/>
              </w:rPr>
              <w:t>$ m-3</w:t>
            </w:r>
          </w:p>
        </w:tc>
      </w:tr>
      <w:tr>
        <w:tc>
          <w:tcPr>
            <w:tcW w:type="dxa" w:w="1958"/>
          </w:tcPr>
          <w:p>
            <w:pPr>
              <w:spacing w:after="20"/>
            </w:pPr>
            <w:r/>
            <w:r>
              <w:rPr>
                <w:sz w:val="17"/>
              </w:rPr>
              <w:t>Gross LCOW</w:t>
            </w:r>
          </w:p>
        </w:tc>
        <w:tc>
          <w:tcPr>
            <w:tcW w:type="dxa" w:w="1958"/>
          </w:tcPr>
          <w:p>
            <w:pPr>
              <w:spacing w:after="20"/>
            </w:pPr>
            <w:r/>
            <w:r>
              <w:rPr>
                <w:sz w:val="17"/>
              </w:rPr>
              <w:t>3.462</w:t>
            </w:r>
          </w:p>
        </w:tc>
        <w:tc>
          <w:tcPr>
            <w:tcW w:type="dxa" w:w="1958"/>
          </w:tcPr>
          <w:p>
            <w:pPr>
              <w:spacing w:after="20"/>
            </w:pPr>
            <w:r/>
            <w:r>
              <w:rPr>
                <w:sz w:val="17"/>
              </w:rPr>
              <w:t>2.82</w:t>
            </w:r>
          </w:p>
        </w:tc>
        <w:tc>
          <w:tcPr>
            <w:tcW w:type="dxa" w:w="1958"/>
          </w:tcPr>
          <w:p>
            <w:pPr>
              <w:spacing w:after="20"/>
            </w:pPr>
            <w:r/>
            <w:r>
              <w:rPr>
                <w:sz w:val="17"/>
              </w:rPr>
              <w:t>4.14</w:t>
            </w:r>
          </w:p>
        </w:tc>
        <w:tc>
          <w:tcPr>
            <w:tcW w:type="dxa" w:w="1958"/>
          </w:tcPr>
          <w:p>
            <w:pPr>
              <w:spacing w:after="20"/>
            </w:pPr>
            <w:r/>
            <w:r>
              <w:rPr>
                <w:sz w:val="17"/>
              </w:rPr>
              <w:t>$ m-3</w:t>
            </w:r>
          </w:p>
        </w:tc>
      </w:tr>
      <w:tr>
        <w:tc>
          <w:tcPr>
            <w:tcW w:type="dxa" w:w="1958"/>
          </w:tcPr>
          <w:p>
            <w:pPr>
              <w:spacing w:after="20"/>
            </w:pPr>
            <w:r/>
            <w:r>
              <w:rPr>
                <w:sz w:val="17"/>
              </w:rPr>
              <w:t>Mineral credit</w:t>
            </w:r>
          </w:p>
        </w:tc>
        <w:tc>
          <w:tcPr>
            <w:tcW w:type="dxa" w:w="1958"/>
          </w:tcPr>
          <w:p>
            <w:pPr>
              <w:spacing w:after="20"/>
            </w:pPr>
            <w:r/>
            <w:r>
              <w:rPr>
                <w:sz w:val="17"/>
              </w:rPr>
              <w:t>1.252</w:t>
            </w:r>
          </w:p>
        </w:tc>
        <w:tc>
          <w:tcPr>
            <w:tcW w:type="dxa" w:w="1958"/>
          </w:tcPr>
          <w:p>
            <w:pPr>
              <w:spacing w:after="20"/>
            </w:pPr>
            <w:r/>
            <w:r>
              <w:rPr>
                <w:sz w:val="17"/>
              </w:rPr>
              <w:t>0.834</w:t>
            </w:r>
          </w:p>
        </w:tc>
        <w:tc>
          <w:tcPr>
            <w:tcW w:type="dxa" w:w="1958"/>
          </w:tcPr>
          <w:p>
            <w:pPr>
              <w:spacing w:after="20"/>
            </w:pPr>
            <w:r/>
            <w:r>
              <w:rPr>
                <w:sz w:val="17"/>
              </w:rPr>
              <w:t>1.779</w:t>
            </w:r>
          </w:p>
        </w:tc>
        <w:tc>
          <w:tcPr>
            <w:tcW w:type="dxa" w:w="1958"/>
          </w:tcPr>
          <w:p>
            <w:pPr>
              <w:spacing w:after="20"/>
            </w:pPr>
            <w:r/>
            <w:r>
              <w:rPr>
                <w:sz w:val="17"/>
              </w:rPr>
              <w:t>$ m-3</w:t>
            </w:r>
          </w:p>
        </w:tc>
      </w:tr>
      <w:tr>
        <w:tc>
          <w:tcPr>
            <w:tcW w:type="dxa" w:w="1958"/>
          </w:tcPr>
          <w:p>
            <w:pPr>
              <w:spacing w:after="20"/>
            </w:pPr>
            <w:r/>
            <w:r>
              <w:rPr>
                <w:sz w:val="17"/>
              </w:rPr>
              <w:t>Net LCOW</w:t>
            </w:r>
          </w:p>
        </w:tc>
        <w:tc>
          <w:tcPr>
            <w:tcW w:type="dxa" w:w="1958"/>
          </w:tcPr>
          <w:p>
            <w:pPr>
              <w:spacing w:after="20"/>
            </w:pPr>
            <w:r/>
            <w:r>
              <w:rPr>
                <w:sz w:val="17"/>
              </w:rPr>
              <w:t>2.198</w:t>
            </w:r>
          </w:p>
        </w:tc>
        <w:tc>
          <w:tcPr>
            <w:tcW w:type="dxa" w:w="1958"/>
          </w:tcPr>
          <w:p>
            <w:pPr>
              <w:spacing w:after="20"/>
            </w:pPr>
            <w:r/>
            <w:r>
              <w:rPr>
                <w:sz w:val="17"/>
              </w:rPr>
              <w:t>1.383</w:t>
            </w:r>
          </w:p>
        </w:tc>
        <w:tc>
          <w:tcPr>
            <w:tcW w:type="dxa" w:w="1958"/>
          </w:tcPr>
          <w:p>
            <w:pPr>
              <w:spacing w:after="20"/>
            </w:pPr>
            <w:r/>
            <w:r>
              <w:rPr>
                <w:sz w:val="17"/>
              </w:rPr>
              <w:t>3.01</w:t>
            </w:r>
          </w:p>
        </w:tc>
        <w:tc>
          <w:tcPr>
            <w:tcW w:type="dxa" w:w="1958"/>
          </w:tcPr>
          <w:p>
            <w:pPr>
              <w:spacing w:after="20"/>
            </w:pPr>
            <w:r/>
            <w:r>
              <w:rPr>
                <w:sz w:val="17"/>
              </w:rPr>
              <w:t>$ m-3</w:t>
            </w:r>
          </w:p>
        </w:tc>
      </w:tr>
      <w:tr>
        <w:tc>
          <w:tcPr>
            <w:tcW w:type="dxa" w:w="1958"/>
          </w:tcPr>
          <w:p>
            <w:pPr>
              <w:spacing w:after="20"/>
            </w:pPr>
            <w:r/>
            <w:r>
              <w:rPr>
                <w:sz w:val="17"/>
              </w:rPr>
              <w:t>Net CO2</w:t>
            </w:r>
          </w:p>
        </w:tc>
        <w:tc>
          <w:tcPr>
            <w:tcW w:type="dxa" w:w="1958"/>
          </w:tcPr>
          <w:p>
            <w:pPr>
              <w:spacing w:after="20"/>
            </w:pPr>
            <w:r/>
            <w:r>
              <w:rPr>
                <w:sz w:val="17"/>
              </w:rPr>
              <w:t>14.324</w:t>
            </w:r>
          </w:p>
        </w:tc>
        <w:tc>
          <w:tcPr>
            <w:tcW w:type="dxa" w:w="1958"/>
          </w:tcPr>
          <w:p>
            <w:pPr>
              <w:spacing w:after="20"/>
            </w:pPr>
            <w:r/>
            <w:r>
              <w:rPr>
                <w:sz w:val="17"/>
              </w:rPr>
              <w:t>10.691</w:t>
            </w:r>
          </w:p>
        </w:tc>
        <w:tc>
          <w:tcPr>
            <w:tcW w:type="dxa" w:w="1958"/>
          </w:tcPr>
          <w:p>
            <w:pPr>
              <w:spacing w:after="20"/>
            </w:pPr>
            <w:r/>
            <w:r>
              <w:rPr>
                <w:sz w:val="17"/>
              </w:rPr>
              <w:t>18.228</w:t>
            </w:r>
          </w:p>
        </w:tc>
        <w:tc>
          <w:tcPr>
            <w:tcW w:type="dxa" w:w="1958"/>
          </w:tcPr>
          <w:p>
            <w:pPr>
              <w:spacing w:after="20"/>
            </w:pPr>
            <w:r/>
            <w:r>
              <w:rPr>
                <w:sz w:val="17"/>
              </w:rPr>
              <w:t>kg m-3 permeate</w:t>
            </w:r>
          </w:p>
        </w:tc>
      </w:tr>
    </w:tbl>
    <w:p>
      <w:pPr>
        <w:spacing w:after="200"/>
      </w:pPr>
      <w:r>
        <w:rPr>
          <w:i/>
          <w:sz w:val="18"/>
        </w:rPr>
        <w:t>Table 8. Monte Carlo results, 300,000 samples.</w:t>
      </w:r>
    </w:p>
    <w:p>
      <w:pPr>
        <w:spacing w:after="160"/>
        <w:ind w:firstLine="317"/>
      </w:pPr>
      <w:r>
        <w:rPr>
          <w:i w:val="0"/>
          <w:sz w:val="21"/>
        </w:rPr>
        <w:t>The earlier version of this analysis treated non-energy operating cost as a share of energy cost, which concealed the dominant term. Costed explicitly, the precipitation reagents come to a median $1.70 per cubic metre of permeate against a median realisable mineral credit of $1.25. The soda ash and lime required to precipitate the two products cost more than the products are worth, and no sampled combination of prices, sellable fractions and capital assumptions produced a net cost below the conventional comparator. No sampled configuration is carbon negative. The comparator itself requires definition: the $0.76 m-3 figure is a levelized cost for a conventional SWRO plant covering intake, pretreatment, high-pressure pumping with energy recovery, post-treatment, brine outfall, membrane replacement, labour, maintenance and annualized capital at the same 6% discount rate and 20-year life used here. It excludes distribution and excludes any valorization train. Table 6 sets the two boundaries side by side, and the comparison in this paper is made on that table rather than between headline figures.</w:t>
      </w:r>
    </w:p>
    <w:p>
      <w:pPr>
        <w:spacing w:before="300" w:after="100"/>
      </w:pPr>
      <w:r>
        <w:rPr>
          <w:b/>
          <w:sz w:val="26"/>
        </w:rPr>
        <w:t>5.  Discussion</w:t>
      </w:r>
    </w:p>
    <w:p>
      <w:pPr>
        <w:spacing w:before="220" w:after="100"/>
      </w:pPr>
      <w:r>
        <w:rPr>
          <w:b/>
          <w:sz w:val="23"/>
        </w:rPr>
        <w:t>5.1  Comparison with conventional SWRO</w:t>
      </w:r>
    </w:p>
    <w:p>
      <w:pPr>
        <w:spacing w:after="160"/>
        <w:ind w:firstLine="317"/>
      </w:pPr>
      <w:r>
        <w:rPr>
          <w:i w:val="0"/>
          <w:sz w:val="21"/>
        </w:rPr>
        <w:t>The energy claim made in the original version of this work does not survive. Modern SWRO plants with isobaric recovery operate at 2.5-3.5 kWh m-3, and an audited measurement on an operating plant reports 1.794 kWh m-3 [16,24]. Adding the boron-compliant second pass that a municipal plant requires brings the desalination stage of this architecture to a modelled 2.89-3.19 kWh m-3, within that band rather than below it. The architecture should not be presented as an energy-reduction technology.</w:t>
      </w:r>
    </w:p>
    <w:p>
      <w:pPr>
        <w:spacing w:before="220" w:after="100"/>
      </w:pPr>
      <w:r>
        <w:rPr>
          <w:b/>
          <w:sz w:val="23"/>
        </w:rPr>
        <w:t>5.2  Comparison with the brine-valorization literature</w:t>
      </w:r>
    </w:p>
    <w:p>
      <w:pPr>
        <w:spacing w:after="160"/>
        <w:ind w:firstLine="317"/>
      </w:pPr>
      <w:r>
        <w:rPr>
          <w:i w:val="0"/>
          <w:sz w:val="21"/>
        </w:rPr>
        <w:t>Assessments of mineral recovery from desalination brine commonly report favourable economics [10,17,25]. The present analysis suggests those results are sensitive to whether the alkalinity is costed. Where the reagent demand implied by Eq. (12) is priced at bulk industrial rates, it exceeds the value of the recovered minerals at any sellable fraction and price combination sampled here. This may help explain why a process repeatedly reported as attractive has not been commercialised at scale.</w:t>
      </w:r>
    </w:p>
    <w:p>
      <w:pPr>
        <w:spacing w:before="220" w:after="100"/>
      </w:pPr>
      <w:r>
        <w:rPr>
          <w:b/>
          <w:sz w:val="23"/>
        </w:rPr>
        <w:t>5.3  Alternative crystallization pathways</w:t>
      </w:r>
    </w:p>
    <w:p>
      <w:pPr>
        <w:spacing w:after="160"/>
        <w:ind w:firstLine="317"/>
      </w:pPr>
      <w:r>
        <w:rPr>
          <w:i w:val="0"/>
          <w:sz w:val="21"/>
        </w:rPr>
        <w:t>Mechanical vapour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 and solar-driven interfacial evaporation now sustains evaporation from high-salinity brine with autonomous salt harvesting [4,5,6]. The last substitutes land area and capital for electricity. Since grid electricity is only about a third of this architecture's carbon account, eliminating it would not by itself make the process carbon neutral: the reagent term would remain.</w:t>
      </w:r>
    </w:p>
    <w:p>
      <w:pPr>
        <w:spacing w:before="220" w:after="100"/>
      </w:pPr>
      <w:r>
        <w:rPr>
          <w:b/>
          <w:sz w:val="23"/>
        </w:rPr>
        <w:t>5.4  Limitations</w:t>
      </w:r>
    </w:p>
    <w:p>
      <w:pPr>
        <w:spacing w:after="160"/>
        <w:ind w:firstLine="317"/>
      </w:pPr>
      <w:r>
        <w:rPr>
          <w:i w:val="0"/>
          <w:sz w:val="21"/>
        </w:rPr>
        <w:t>The osmotic-coefficient correction in Eq. (5) is carried as a swept parameter rather than a fitted correlation. Locking it requires implementing the seawater property correlations of [22] and [12] over the full 35-125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at under 2%% of total SEC, so no conclusion in this paper turns on it. The embodied-carbon factors for soda ash and lime are indicative and are swept rather than fixed. Precipitation yields are taken from the literature and not measured here, and product purity is not modelled: purity is set by co-precipitation and occlusion of the sodium chloride background [9], which determines whether the solids meet any industrial specification and therefore whether the sellable fractions assumed here are attainable at all. The residual liquid fraction is modelled, not validated. Subsurface intake performance is site dependent, and the risks of aquifer clogging and seawater intrusion are not modelled.</w:t>
      </w:r>
    </w:p>
    <w:p>
      <w:pPr>
        <w:spacing w:before="220" w:after="100"/>
      </w:pPr>
      <w:r>
        <w:rPr>
          <w:b/>
          <w:sz w:val="23"/>
        </w:rPr>
        <w:t>5.5  Proposed validation</w:t>
      </w:r>
    </w:p>
    <w:p>
      <w:pPr>
        <w:spacing w:after="160"/>
        <w:ind w:firstLine="317"/>
      </w:pPr>
      <w:r>
        <w:rPr>
          <w:i w:val="0"/>
          <w:sz w:val="21"/>
        </w:rPr>
        <w:t>Three measurements would settle the questions this analysis raises, and none requires the full architecture to be built. First, the second-law efficiency of a high-pressure concentrator operating on real SWRO brine at 60-65 g L-1, which fixes the energy term the original assumed. Second, the reagent demand and product purity of sequential Ca/Mg precipitation from that concentrate at pilot scale, which fixes both the alkalinity cost and the sellable fraction. Third, the calcium balance across the precipitation train, which Table 1 predicts does not close. Each is a bench or skid-scale measurement, and each independently tests one of the three consistency tests reported here.</w:t>
      </w:r>
    </w:p>
    <w:p>
      <w:pPr>
        <w:spacing w:before="300" w:after="100"/>
      </w:pPr>
      <w:r>
        <w:rPr>
          <w:b/>
          <w:sz w:val="26"/>
        </w:rPr>
        <w:t>6.  Conclusions</w:t>
      </w:r>
    </w:p>
    <w:p>
      <w:pPr>
        <w:spacing w:after="160"/>
        <w:ind w:firstLine="317"/>
      </w:pPr>
      <w:r>
        <w:rPr>
          <w:i w:val="0"/>
          <w:sz w:val="21"/>
        </w:rPr>
        <w:t>This study applied three consistency tests to an integrated SWRO and brine-valorization architecture and reports the outcome of each, including where the architecture fails.</w:t>
      </w:r>
    </w:p>
    <w:p>
      <w:pPr>
        <w:spacing w:after="160"/>
        <w:ind w:firstLine="317"/>
      </w:pPr>
      <w:r>
        <w:rPr>
          <w:i w:val="0"/>
          <w:sz w:val="21"/>
        </w:rPr>
        <w:t>The energy claim does not survive a modern comparator. Against plants operating at 2.5-3.5 kWh m-3 the desalination stage offers no material advantage once a boron-compliant second pass is included, and the corrected concentrator raises modelled total specific energy consumption to a median 13.1 kWh m-3. That figure, and every specific-energy figure in this paper, is a bounded model estimate rather than a measured or predicted plant value, for the reasons set out in Sections 3 and 5.4.</w:t>
      </w:r>
    </w:p>
    <w:p>
      <w:pPr>
        <w:spacing w:after="160"/>
        <w:ind w:firstLine="317"/>
      </w:pPr>
      <w:r>
        <w:rPr>
          <w:i w:val="0"/>
          <w:sz w:val="21"/>
        </w:rPr>
        <w:t>The valorization case, as configured, does not close, and the binding constraint is alkalinity in both currencies. In money, the soda ash and lime cost a median $1.70 per cubic metre of permeate against a realisable mineral credit of $1.25. In carbon, calcination costs 10.0 kg CO2 per cubic metre against 0.94 kg fixed in the carbonate product, while electrochemical base costs 27 kWh m-3. Published assessments generally count neither.</w:t>
      </w:r>
    </w:p>
    <w:p>
      <w:pPr>
        <w:spacing w:after="160"/>
        <w:ind w:firstLine="317"/>
      </w:pPr>
      <w:r>
        <w:rPr>
          <w:i w:val="0"/>
          <w:sz w:val="21"/>
        </w:rPr>
        <w:t>Two narrow and tractable directions follow, and identifying them is the practical value of this analysis. The first is low-carbon, low-cost alkalinity: waste-derived bases, or electrochemical generation coupled to surplus renewable capacity where the energy penalty is not charged at grid carbon intensity. The second is closure of the calcium balance, for which calcined dolomite is a partial answer whose cost is the import of product. Neither requires the architecture to be redesigned, and both can be tested independently of it.</w:t>
      </w:r>
    </w:p>
    <w:p>
      <w:pPr>
        <w:spacing w:before="300" w:after="100"/>
      </w:pPr>
      <w:r>
        <w:rPr>
          <w:b/>
          <w:sz w:val="26"/>
        </w:rPr>
        <w:t>Nomenclature</w:t>
      </w:r>
    </w:p>
    <w:tbl>
      <w:tblPr>
        <w:tblStyle w:val="LightGrid-Accent1"/>
        <w:tblW w:type="auto" w:w="0"/>
        <w:tblLook w:firstColumn="1" w:firstRow="1" w:lastColumn="0" w:lastRow="0" w:noHBand="0" w:noVBand="1" w:val="04A0"/>
      </w:tblPr>
      <w:tblGrid>
        <w:gridCol w:w="3264"/>
        <w:gridCol w:w="3264"/>
        <w:gridCol w:w="3264"/>
      </w:tblGrid>
      <w:tr>
        <w:tc>
          <w:tcPr>
            <w:tcW w:type="dxa" w:w="2448"/>
          </w:tcPr>
          <w:p>
            <w:r/>
            <w:r>
              <w:rPr>
                <w:b/>
                <w:sz w:val="17"/>
              </w:rPr>
              <w:t>Symbol</w:t>
            </w:r>
          </w:p>
        </w:tc>
        <w:tc>
          <w:tcPr>
            <w:tcW w:type="dxa" w:w="6048"/>
          </w:tcPr>
          <w:p>
            <w:r/>
            <w:r>
              <w:rPr>
                <w:b/>
                <w:sz w:val="17"/>
              </w:rPr>
              <w:t>Definition</w:t>
            </w:r>
          </w:p>
        </w:tc>
        <w:tc>
          <w:tcPr>
            <w:tcW w:type="dxa" w:w="1872"/>
          </w:tcPr>
          <w:p>
            <w:r/>
            <w:r>
              <w:rPr>
                <w:b/>
                <w:sz w:val="17"/>
              </w:rPr>
              <w:t>Unit</w:t>
            </w:r>
          </w:p>
        </w:tc>
      </w:tr>
      <w:tr>
        <w:tc>
          <w:tcPr>
            <w:tcW w:type="dxa" w:w="2448"/>
          </w:tcPr>
          <w:p>
            <w:pPr>
              <w:spacing w:after="20"/>
            </w:pPr>
            <w:r/>
            <w:r>
              <w:rPr>
                <w:sz w:val="17"/>
              </w:rPr>
              <w:t>C_f,i / C_p,i / C_b,i</w:t>
            </w:r>
          </w:p>
        </w:tc>
        <w:tc>
          <w:tcPr>
            <w:tcW w:type="dxa" w:w="6048"/>
          </w:tcPr>
          <w:p>
            <w:pPr>
              <w:spacing w:after="20"/>
            </w:pPr>
            <w:r/>
            <w:r>
              <w:rPr>
                <w:sz w:val="17"/>
              </w:rPr>
              <w:t>feed, permeate, concentrate concentration of ion i</w:t>
            </w:r>
          </w:p>
        </w:tc>
        <w:tc>
          <w:tcPr>
            <w:tcW w:type="dxa" w:w="1872"/>
          </w:tcPr>
          <w:p>
            <w:pPr>
              <w:spacing w:after="20"/>
            </w:pPr>
            <w:r/>
            <w:r>
              <w:rPr>
                <w:sz w:val="17"/>
              </w:rPr>
              <w:t>g L-1</w:t>
            </w:r>
          </w:p>
        </w:tc>
      </w:tr>
      <w:tr>
        <w:tc>
          <w:tcPr>
            <w:tcW w:type="dxa" w:w="2448"/>
          </w:tcPr>
          <w:p>
            <w:pPr>
              <w:spacing w:after="20"/>
            </w:pPr>
            <w:r/>
            <w:r>
              <w:rPr>
                <w:sz w:val="17"/>
              </w:rPr>
              <w:t>r_i</w:t>
            </w:r>
          </w:p>
        </w:tc>
        <w:tc>
          <w:tcPr>
            <w:tcW w:type="dxa" w:w="6048"/>
          </w:tcPr>
          <w:p>
            <w:pPr>
              <w:spacing w:after="20"/>
            </w:pPr>
            <w:r/>
            <w:r>
              <w:rPr>
                <w:sz w:val="17"/>
              </w:rPr>
              <w:t>membrane rejection of ion i</w:t>
            </w:r>
          </w:p>
        </w:tc>
        <w:tc>
          <w:tcPr>
            <w:tcW w:type="dxa" w:w="1872"/>
          </w:tcPr>
          <w:p>
            <w:pPr>
              <w:spacing w:after="20"/>
            </w:pPr>
            <w:r/>
            <w:r>
              <w:rPr>
                <w:sz w:val="17"/>
              </w:rPr>
              <w:t>-</w:t>
            </w:r>
          </w:p>
        </w:tc>
      </w:tr>
      <w:tr>
        <w:tc>
          <w:tcPr>
            <w:tcW w:type="dxa" w:w="2448"/>
          </w:tcPr>
          <w:p>
            <w:pPr>
              <w:spacing w:after="20"/>
            </w:pPr>
            <w:r/>
            <w:r>
              <w:rPr>
                <w:sz w:val="17"/>
              </w:rPr>
              <w:t>R</w:t>
            </w:r>
          </w:p>
        </w:tc>
        <w:tc>
          <w:tcPr>
            <w:tcW w:type="dxa" w:w="6048"/>
          </w:tcPr>
          <w:p>
            <w:pPr>
              <w:spacing w:after="20"/>
            </w:pPr>
            <w:r/>
            <w:r>
              <w:rPr>
                <w:sz w:val="17"/>
              </w:rPr>
              <w:t>water recovery ratio of a membrane stage</w:t>
            </w:r>
          </w:p>
        </w:tc>
        <w:tc>
          <w:tcPr>
            <w:tcW w:type="dxa" w:w="1872"/>
          </w:tcPr>
          <w:p>
            <w:pPr>
              <w:spacing w:after="20"/>
            </w:pPr>
            <w:r/>
            <w:r>
              <w:rPr>
                <w:sz w:val="17"/>
              </w:rPr>
              <w:t>-</w:t>
            </w:r>
          </w:p>
        </w:tc>
      </w:tr>
      <w:tr>
        <w:tc>
          <w:tcPr>
            <w:tcW w:type="dxa" w:w="2448"/>
          </w:tcPr>
          <w:p>
            <w:pPr>
              <w:spacing w:after="20"/>
            </w:pPr>
            <w:r/>
            <w:r>
              <w:rPr>
                <w:sz w:val="17"/>
              </w:rPr>
              <w:t>Q_f / Q_p / Q_b</w:t>
            </w:r>
          </w:p>
        </w:tc>
        <w:tc>
          <w:tcPr>
            <w:tcW w:type="dxa" w:w="6048"/>
          </w:tcPr>
          <w:p>
            <w:pPr>
              <w:spacing w:after="20"/>
            </w:pPr>
            <w:r/>
            <w:r>
              <w:rPr>
                <w:sz w:val="17"/>
              </w:rPr>
              <w:t>feed, permeate, concentrate flow</w:t>
            </w:r>
          </w:p>
        </w:tc>
        <w:tc>
          <w:tcPr>
            <w:tcW w:type="dxa" w:w="1872"/>
          </w:tcPr>
          <w:p>
            <w:pPr>
              <w:spacing w:after="20"/>
            </w:pPr>
            <w:r/>
            <w:r>
              <w:rPr>
                <w:sz w:val="17"/>
              </w:rPr>
              <w:t>m3 m-3 feed</w:t>
            </w:r>
          </w:p>
        </w:tc>
      </w:tr>
      <w:tr>
        <w:tc>
          <w:tcPr>
            <w:tcW w:type="dxa" w:w="2448"/>
          </w:tcPr>
          <w:p>
            <w:pPr>
              <w:spacing w:after="20"/>
            </w:pPr>
            <w:r/>
            <w:r>
              <w:rPr>
                <w:sz w:val="17"/>
              </w:rPr>
              <w:t>pi</w:t>
            </w:r>
          </w:p>
        </w:tc>
        <w:tc>
          <w:tcPr>
            <w:tcW w:type="dxa" w:w="6048"/>
          </w:tcPr>
          <w:p>
            <w:pPr>
              <w:spacing w:after="20"/>
            </w:pPr>
            <w:r/>
            <w:r>
              <w:rPr>
                <w:sz w:val="17"/>
              </w:rPr>
              <w:t>osmotic pressure</w:t>
            </w:r>
          </w:p>
        </w:tc>
        <w:tc>
          <w:tcPr>
            <w:tcW w:type="dxa" w:w="1872"/>
          </w:tcPr>
          <w:p>
            <w:pPr>
              <w:spacing w:after="20"/>
            </w:pPr>
            <w:r/>
            <w:r>
              <w:rPr>
                <w:sz w:val="17"/>
              </w:rPr>
              <w:t>bar</w:t>
            </w:r>
          </w:p>
        </w:tc>
      </w:tr>
      <w:tr>
        <w:tc>
          <w:tcPr>
            <w:tcW w:type="dxa" w:w="2448"/>
          </w:tcPr>
          <w:p>
            <w:pPr>
              <w:spacing w:after="20"/>
            </w:pPr>
            <w:r/>
            <w:r>
              <w:rPr>
                <w:sz w:val="17"/>
              </w:rPr>
              <w:t>phi(S)</w:t>
            </w:r>
          </w:p>
        </w:tc>
        <w:tc>
          <w:tcPr>
            <w:tcW w:type="dxa" w:w="6048"/>
          </w:tcPr>
          <w:p>
            <w:pPr>
              <w:spacing w:after="20"/>
            </w:pPr>
            <w:r/>
            <w:r>
              <w:rPr>
                <w:sz w:val="17"/>
              </w:rPr>
              <w:t>osmotic coefficient at salinity S</w:t>
            </w:r>
          </w:p>
        </w:tc>
        <w:tc>
          <w:tcPr>
            <w:tcW w:type="dxa" w:w="1872"/>
          </w:tcPr>
          <w:p>
            <w:pPr>
              <w:spacing w:after="20"/>
            </w:pPr>
            <w:r/>
            <w:r>
              <w:rPr>
                <w:sz w:val="17"/>
              </w:rPr>
              <w:t>-</w:t>
            </w:r>
          </w:p>
        </w:tc>
      </w:tr>
      <w:tr>
        <w:tc>
          <w:tcPr>
            <w:tcW w:type="dxa" w:w="2448"/>
          </w:tcPr>
          <w:p>
            <w:pPr>
              <w:spacing w:after="20"/>
            </w:pPr>
            <w:r/>
            <w:r>
              <w:rPr>
                <w:sz w:val="17"/>
              </w:rPr>
              <w:t>P_f</w:t>
            </w:r>
          </w:p>
        </w:tc>
        <w:tc>
          <w:tcPr>
            <w:tcW w:type="dxa" w:w="6048"/>
          </w:tcPr>
          <w:p>
            <w:pPr>
              <w:spacing w:after="20"/>
            </w:pPr>
            <w:r/>
            <w:r>
              <w:rPr>
                <w:sz w:val="17"/>
              </w:rPr>
              <w:t>applied feed pressure</w:t>
            </w:r>
          </w:p>
        </w:tc>
        <w:tc>
          <w:tcPr>
            <w:tcW w:type="dxa" w:w="1872"/>
          </w:tcPr>
          <w:p>
            <w:pPr>
              <w:spacing w:after="20"/>
            </w:pPr>
            <w:r/>
            <w:r>
              <w:rPr>
                <w:sz w:val="17"/>
              </w:rPr>
              <w:t>bar</w:t>
            </w:r>
          </w:p>
        </w:tc>
      </w:tr>
      <w:tr>
        <w:tc>
          <w:tcPr>
            <w:tcW w:type="dxa" w:w="2448"/>
          </w:tcPr>
          <w:p>
            <w:pPr>
              <w:spacing w:after="20"/>
            </w:pPr>
            <w:r/>
            <w:r>
              <w:rPr>
                <w:sz w:val="17"/>
              </w:rPr>
              <w:t>NDP</w:t>
            </w:r>
          </w:p>
        </w:tc>
        <w:tc>
          <w:tcPr>
            <w:tcW w:type="dxa" w:w="6048"/>
          </w:tcPr>
          <w:p>
            <w:pPr>
              <w:spacing w:after="20"/>
            </w:pPr>
            <w:r/>
            <w:r>
              <w:rPr>
                <w:sz w:val="17"/>
              </w:rPr>
              <w:t>net driving pressure allowance</w:t>
            </w:r>
          </w:p>
        </w:tc>
        <w:tc>
          <w:tcPr>
            <w:tcW w:type="dxa" w:w="1872"/>
          </w:tcPr>
          <w:p>
            <w:pPr>
              <w:spacing w:after="20"/>
            </w:pPr>
            <w:r/>
            <w:r>
              <w:rPr>
                <w:sz w:val="17"/>
              </w:rPr>
              <w:t>bar</w:t>
            </w:r>
          </w:p>
        </w:tc>
      </w:tr>
      <w:tr>
        <w:tc>
          <w:tcPr>
            <w:tcW w:type="dxa" w:w="2448"/>
          </w:tcPr>
          <w:p>
            <w:pPr>
              <w:spacing w:after="20"/>
            </w:pPr>
            <w:r/>
            <w:r>
              <w:rPr>
                <w:sz w:val="17"/>
              </w:rPr>
              <w:t>beta</w:t>
            </w:r>
          </w:p>
        </w:tc>
        <w:tc>
          <w:tcPr>
            <w:tcW w:type="dxa" w:w="6048"/>
          </w:tcPr>
          <w:p>
            <w:pPr>
              <w:spacing w:after="20"/>
            </w:pPr>
            <w:r/>
            <w:r>
              <w:rPr>
                <w:sz w:val="17"/>
              </w:rPr>
              <w:t>concentration-polarization factor, C_wall / C_bulk</w:t>
            </w:r>
          </w:p>
        </w:tc>
        <w:tc>
          <w:tcPr>
            <w:tcW w:type="dxa" w:w="1872"/>
          </w:tcPr>
          <w:p>
            <w:pPr>
              <w:spacing w:after="20"/>
            </w:pPr>
            <w:r/>
            <w:r>
              <w:rPr>
                <w:sz w:val="17"/>
              </w:rPr>
              <w:t>-</w:t>
            </w:r>
          </w:p>
        </w:tc>
      </w:tr>
      <w:tr>
        <w:tc>
          <w:tcPr>
            <w:tcW w:type="dxa" w:w="2448"/>
          </w:tcPr>
          <w:p>
            <w:pPr>
              <w:spacing w:after="20"/>
            </w:pPr>
            <w:r/>
            <w:r>
              <w:rPr>
                <w:sz w:val="17"/>
              </w:rPr>
              <w:t>eta_pump / eta_PX / eta_II</w:t>
            </w:r>
          </w:p>
        </w:tc>
        <w:tc>
          <w:tcPr>
            <w:tcW w:type="dxa" w:w="6048"/>
          </w:tcPr>
          <w:p>
            <w:pPr>
              <w:spacing w:after="20"/>
            </w:pPr>
            <w:r/>
            <w:r>
              <w:rPr>
                <w:sz w:val="17"/>
              </w:rPr>
              <w:t>pump, pressure-exchanger, second-law efficiency</w:t>
            </w:r>
          </w:p>
        </w:tc>
        <w:tc>
          <w:tcPr>
            <w:tcW w:type="dxa" w:w="1872"/>
          </w:tcPr>
          <w:p>
            <w:pPr>
              <w:spacing w:after="20"/>
            </w:pPr>
            <w:r/>
            <w:r>
              <w:rPr>
                <w:sz w:val="17"/>
              </w:rPr>
              <w:t>-</w:t>
            </w:r>
          </w:p>
        </w:tc>
      </w:tr>
      <w:tr>
        <w:tc>
          <w:tcPr>
            <w:tcW w:type="dxa" w:w="2448"/>
          </w:tcPr>
          <w:p>
            <w:pPr>
              <w:spacing w:after="20"/>
            </w:pPr>
            <w:r/>
            <w:r>
              <w:rPr>
                <w:sz w:val="17"/>
              </w:rPr>
              <w:t>w_min</w:t>
            </w:r>
          </w:p>
        </w:tc>
        <w:tc>
          <w:tcPr>
            <w:tcW w:type="dxa" w:w="6048"/>
          </w:tcPr>
          <w:p>
            <w:pPr>
              <w:spacing w:after="20"/>
            </w:pPr>
            <w:r/>
            <w:r>
              <w:rPr>
                <w:sz w:val="17"/>
              </w:rPr>
              <w:t>least work of separation</w:t>
            </w:r>
          </w:p>
        </w:tc>
        <w:tc>
          <w:tcPr>
            <w:tcW w:type="dxa" w:w="1872"/>
          </w:tcPr>
          <w:p>
            <w:pPr>
              <w:spacing w:after="20"/>
            </w:pPr>
            <w:r/>
            <w:r>
              <w:rPr>
                <w:sz w:val="17"/>
              </w:rPr>
              <w:t>kWh m-3</w:t>
            </w:r>
          </w:p>
        </w:tc>
      </w:tr>
      <w:tr>
        <w:tc>
          <w:tcPr>
            <w:tcW w:type="dxa" w:w="2448"/>
          </w:tcPr>
          <w:p>
            <w:pPr>
              <w:spacing w:after="20"/>
            </w:pPr>
            <w:r/>
            <w:r>
              <w:rPr>
                <w:sz w:val="17"/>
              </w:rPr>
              <w:t>SEC</w:t>
            </w:r>
          </w:p>
        </w:tc>
        <w:tc>
          <w:tcPr>
            <w:tcW w:type="dxa" w:w="6048"/>
          </w:tcPr>
          <w:p>
            <w:pPr>
              <w:spacing w:after="20"/>
            </w:pPr>
            <w:r/>
            <w:r>
              <w:rPr>
                <w:sz w:val="17"/>
              </w:rPr>
              <w:t>specific energy consumption</w:t>
            </w:r>
          </w:p>
        </w:tc>
        <w:tc>
          <w:tcPr>
            <w:tcW w:type="dxa" w:w="1872"/>
          </w:tcPr>
          <w:p>
            <w:pPr>
              <w:spacing w:after="20"/>
            </w:pPr>
            <w:r/>
            <w:r>
              <w:rPr>
                <w:sz w:val="17"/>
              </w:rPr>
              <w:t>kWh m-3 permeate</w:t>
            </w:r>
          </w:p>
        </w:tc>
      </w:tr>
      <w:tr>
        <w:tc>
          <w:tcPr>
            <w:tcW w:type="dxa" w:w="2448"/>
          </w:tcPr>
          <w:p>
            <w:pPr>
              <w:spacing w:after="20"/>
            </w:pPr>
            <w:r/>
            <w:r>
              <w:rPr>
                <w:sz w:val="17"/>
              </w:rPr>
              <w:t>LCOW</w:t>
            </w:r>
          </w:p>
        </w:tc>
        <w:tc>
          <w:tcPr>
            <w:tcW w:type="dxa" w:w="6048"/>
          </w:tcPr>
          <w:p>
            <w:pPr>
              <w:spacing w:after="20"/>
            </w:pPr>
            <w:r/>
            <w:r>
              <w:rPr>
                <w:sz w:val="17"/>
              </w:rPr>
              <w:t>levelized cost of water</w:t>
            </w:r>
          </w:p>
        </w:tc>
        <w:tc>
          <w:tcPr>
            <w:tcW w:type="dxa" w:w="1872"/>
          </w:tcPr>
          <w:p>
            <w:pPr>
              <w:spacing w:after="20"/>
            </w:pPr>
            <w:r/>
            <w:r>
              <w:rPr>
                <w:sz w:val="17"/>
              </w:rPr>
              <w:t>$ m-3</w:t>
            </w:r>
          </w:p>
        </w:tc>
      </w:tr>
      <w:tr>
        <w:tc>
          <w:tcPr>
            <w:tcW w:type="dxa" w:w="2448"/>
          </w:tcPr>
          <w:p>
            <w:pPr>
              <w:spacing w:after="20"/>
            </w:pPr>
            <w:r/>
            <w:r>
              <w:rPr>
                <w:sz w:val="17"/>
              </w:rPr>
              <w:t>CRF</w:t>
            </w:r>
          </w:p>
        </w:tc>
        <w:tc>
          <w:tcPr>
            <w:tcW w:type="dxa" w:w="6048"/>
          </w:tcPr>
          <w:p>
            <w:pPr>
              <w:spacing w:after="20"/>
            </w:pPr>
            <w:r/>
            <w:r>
              <w:rPr>
                <w:sz w:val="17"/>
              </w:rPr>
              <w:t>capital recovery factor</w:t>
            </w:r>
          </w:p>
        </w:tc>
        <w:tc>
          <w:tcPr>
            <w:tcW w:type="dxa" w:w="1872"/>
          </w:tcPr>
          <w:p>
            <w:pPr>
              <w:spacing w:after="20"/>
            </w:pPr>
            <w:r/>
            <w:r>
              <w:rPr>
                <w:sz w:val="17"/>
              </w:rPr>
              <w:t>yr-1</w:t>
            </w:r>
          </w:p>
        </w:tc>
      </w:tr>
      <w:tr>
        <w:tc>
          <w:tcPr>
            <w:tcW w:type="dxa" w:w="2448"/>
          </w:tcPr>
          <w:p>
            <w:pPr>
              <w:spacing w:after="20"/>
            </w:pPr>
            <w:r/>
            <w:r>
              <w:rPr>
                <w:sz w:val="17"/>
              </w:rPr>
              <w:t>Y_Ca / Y_Mg</w:t>
            </w:r>
          </w:p>
        </w:tc>
        <w:tc>
          <w:tcPr>
            <w:tcW w:type="dxa" w:w="6048"/>
          </w:tcPr>
          <w:p>
            <w:pPr>
              <w:spacing w:after="20"/>
            </w:pPr>
            <w:r/>
            <w:r>
              <w:rPr>
                <w:sz w:val="17"/>
              </w:rPr>
              <w:t>precipitation yield of calcium and magnesium</w:t>
            </w:r>
          </w:p>
        </w:tc>
        <w:tc>
          <w:tcPr>
            <w:tcW w:type="dxa" w:w="1872"/>
          </w:tcPr>
          <w:p>
            <w:pPr>
              <w:spacing w:after="20"/>
            </w:pPr>
            <w:r/>
            <w:r>
              <w:rPr>
                <w:sz w:val="17"/>
              </w:rPr>
              <w:t>-</w:t>
            </w:r>
          </w:p>
        </w:tc>
      </w:tr>
      <w:tr>
        <w:tc>
          <w:tcPr>
            <w:tcW w:type="dxa" w:w="2448"/>
          </w:tcPr>
          <w:p>
            <w:pPr>
              <w:spacing w:after="20"/>
            </w:pPr>
            <w:r/>
            <w:r>
              <w:rPr>
                <w:sz w:val="17"/>
              </w:rPr>
              <w:t>n_base</w:t>
            </w:r>
          </w:p>
        </w:tc>
        <w:tc>
          <w:tcPr>
            <w:tcW w:type="dxa" w:w="6048"/>
          </w:tcPr>
          <w:p>
            <w:pPr>
              <w:spacing w:after="20"/>
            </w:pPr>
            <w:r/>
            <w:r>
              <w:rPr>
                <w:sz w:val="17"/>
              </w:rPr>
              <w:t>alkalinity demand</w:t>
            </w:r>
          </w:p>
        </w:tc>
        <w:tc>
          <w:tcPr>
            <w:tcW w:type="dxa" w:w="1872"/>
          </w:tcPr>
          <w:p>
            <w:pPr>
              <w:spacing w:after="20"/>
            </w:pPr>
            <w:r/>
            <w:r>
              <w:rPr>
                <w:sz w:val="17"/>
              </w:rPr>
              <w:t>equivalents</w:t>
            </w:r>
          </w:p>
        </w:tc>
      </w:tr>
    </w:tbl>
    <w:p>
      <w:pPr>
        <w:spacing w:after="80"/>
      </w:pPr>
    </w:p>
    <w:p>
      <w:pPr>
        <w:spacing w:before="300" w:after="100"/>
      </w:pPr>
      <w:r>
        <w:rPr>
          <w:b/>
          <w:sz w:val="26"/>
        </w:rPr>
        <w:t>Data availability</w:t>
      </w:r>
    </w:p>
    <w:p>
      <w:pPr>
        <w:spacing w:after="160"/>
        <w:ind w:firstLine="317"/>
      </w:pPr>
      <w:r>
        <w:rPr>
          <w:i w:val="0"/>
          <w:sz w:val="21"/>
        </w:rPr>
        <w:t>The model implementation, the parameter set, the random seed, and the scripts that generate every table and figure are openly available at https://github.com/sandlerleon/iledbv-desalination-model, release tag v2.0.1. An archived snapshot of that release is deposited at https://doi.org/10.5281/zenodo.22178234; this manuscript and the point-by-point response to reviewers are deposited at https://doi.org/10.5281/zenodo.22178232. Both are concept DOIs and resolve to the current version of each deposit. The revision was produced with Python 3.11.9 and NumPy 2.4.6. Running iledbv_revision_v2.py, design_and_costing.py and boron_recalc.py regenerates the JSON files from which every number in this paper is taken; audit_manuscript.py re-checks the built document against them. No experimental data were generated.</w:t>
      </w:r>
    </w:p>
    <w:p>
      <w:pPr>
        <w:spacing w:before="300" w:after="100"/>
      </w:pPr>
      <w:r>
        <w:rPr>
          <w:b/>
          <w:sz w:val="26"/>
        </w:rPr>
        <w:t>Declaration of competing interest</w:t>
      </w:r>
    </w:p>
    <w:p>
      <w:pPr>
        <w:spacing w:after="160"/>
        <w:ind w:firstLine="317"/>
      </w:pPr>
      <w:r>
        <w:rPr>
          <w:i w:val="0"/>
          <w:sz w:val="21"/>
        </w:rPr>
        <w:t>The author declares no competing financial or non-financial interests.</w:t>
      </w:r>
    </w:p>
    <w:p>
      <w:pPr>
        <w:spacing w:before="300" w:after="100"/>
      </w:pPr>
      <w:r>
        <w:rPr>
          <w:b/>
          <w:sz w:val="26"/>
        </w:rPr>
        <w:t>Funding</w:t>
      </w:r>
    </w:p>
    <w:p>
      <w:pPr>
        <w:spacing w:after="160"/>
        <w:ind w:firstLine="317"/>
      </w:pPr>
      <w:r>
        <w:rPr>
          <w:i w:val="0"/>
          <w:sz w:val="21"/>
        </w:rPr>
        <w:t>This research received no specific grant from funding agencies in the public, commercial, or not-for-profit sectors.</w:t>
      </w:r>
    </w:p>
    <w:p>
      <w:pPr>
        <w:spacing w:before="300" w:after="100"/>
      </w:pPr>
      <w:r>
        <w:rPr>
          <w:b/>
          <w:sz w:val="26"/>
        </w:rPr>
        <w:t>References</w:t>
      </w:r>
    </w:p>
    <w:p>
      <w:pPr>
        <w:spacing w:after="60"/>
      </w:pPr>
      <w:r>
        <w:rPr>
          <w:sz w:val="18"/>
        </w:rPr>
        <w:t>[1] O. Alagha, O. Abuhajar, Numerical Modeling of Beach Well Intake as Pre-Treatment for a Desalination Plant, Water 12 (2020) 2420. https://doi.org/10.3390/w12092420</w:t>
      </w:r>
    </w:p>
    <w:p>
      <w:pPr>
        <w:spacing w:after="60"/>
      </w:pPr>
      <w:r>
        <w:rPr>
          <w:sz w:val="18"/>
        </w:rPr>
        <w:t>[2] A.A. Atia, N.Y. Yip, V. Fthenakis, Pathways for minimal and zero liquid discharge with enhanced reverse osmosis technologies: Module-scale modeling and techno-economic assessment, Desalination 509 (2021) 115069. https://doi.org/10.1016/j.desal.2021.115069</w:t>
      </w:r>
    </w:p>
    <w:p>
      <w:pPr>
        <w:spacing w:after="60"/>
      </w:pPr>
      <w:r>
        <w:rPr>
          <w:sz w:val="18"/>
        </w:rPr>
        <w:t>[3] T.V. Bartholomew, L. Mey, J.T. Arena, N.S. Siefert, M.S. Mauter, Osmotically assisted reverse osmosis for high salinity brine treatment, Desalination 421 (2017) 3-11. https://doi.org/10.1016/j.desal.2017.04.012</w:t>
      </w:r>
    </w:p>
    <w:p>
      <w:pPr>
        <w:spacing w:after="60"/>
      </w:pPr>
      <w:r>
        <w:rPr>
          <w:sz w:val="18"/>
        </w:rPr>
        <w:t>[4] M. Ding, Z. Duan, L. Zhang, H. Wu, H. Xu, C. Liu, et al., Spatial Decoupling of Water Evaporation and Salt Crystallization via a 3D Discrete Wettability Patterned Architecture, Advanced Functional Materials 36 (2026) e76165. https://doi.org/10.1002/adfm.76165</w:t>
      </w:r>
    </w:p>
    <w:p>
      <w:pPr>
        <w:spacing w:after="60"/>
      </w:pPr>
      <w:r>
        <w:rPr>
          <w:sz w:val="18"/>
        </w:rPr>
        <w:t>[5] M. Ding, Z. Duan, D. Zhao, C. Liu, C. Li, Tree‐Inspired 3D Biomimetic Evaporator for Efficient Solar Desalination and Automated Salt Collection with Zero Liquid Discharge, Advanced Functional Materials 36 (2025) e12220. https://doi.org/10.1002/adfm.202512220</w:t>
      </w:r>
    </w:p>
    <w:p>
      <w:pPr>
        <w:spacing w:after="60"/>
      </w:pPr>
      <w:r>
        <w:rPr>
          <w:sz w:val="18"/>
        </w:rPr>
        <w:t>[6] M. Ding, Z. Duan, L. Zhang, C.Y. Liu, C. Li, J. Zhang, Modular gradient-porous evaporator for efficient solar desalination and autonomous salt harvesting from high-salinity brine, Water Research 290 (2026) 125053. https://doi.org/10.1016/j.watres.2025.125053</w:t>
      </w:r>
    </w:p>
    <w:p>
      <w:pPr>
        <w:spacing w:after="60"/>
      </w:pPr>
      <w:r>
        <w:rPr>
          <w:sz w:val="18"/>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spacing w:after="60"/>
      </w:pPr>
      <w:r>
        <w:rPr>
          <w:sz w:val="18"/>
        </w:rPr>
        <w:t>[8] S. Flatscher, F. Hell, M.W. Hlawitschka, J. Lahnsteiner, Seeded membrane distillation crystallization for hypersaline brine treatment, Water Reuse 14 (2024) 16-29. https://doi.org/10.2166/wrd.2024.086</w:t>
      </w:r>
    </w:p>
    <w:p>
      <w:pPr>
        <w:spacing w:after="60"/>
      </w:pPr>
      <w:r>
        <w:rPr>
          <w:sz w:val="18"/>
        </w:rPr>
        <w:t>[9] N.A. Kasimu, J. Gu, Effect of sodium chloride on yield, purity, morphology and polymorphs of calcium or magnesium carbonate sequentially precipitated from brine solution, Desalination 578 (2024) 117443. https://doi.org/10.1016/j.desal.2024.117443</w:t>
      </w:r>
    </w:p>
    <w:p>
      <w:pPr>
        <w:spacing w:after="60"/>
      </w:pPr>
      <w:r>
        <w:rPr>
          <w:sz w:val="18"/>
        </w:rPr>
        <w:t>[10] N. Mahmud, M.H. El-Naas, Selective recovery of calcium and magnesium from desalination brine through mineral carbonation and alkaline precipitation, Next Sustainability 8 (2026) 100388. https://doi.org/10.1016/j.nxsust.2026.100388</w:t>
      </w:r>
    </w:p>
    <w:p>
      <w:pPr>
        <w:spacing w:after="60"/>
      </w:pPr>
      <w:r>
        <w:rPr>
          <w:sz w:val="18"/>
        </w:rPr>
        <w:t>[11] G. Migliorini, E. Luzzo, Seawater reverse osmosis plant using the pressure exchanger for energy recovery: a calculation model, Desalination 165 (2004) 289-298. https://doi.org/10.1016/j.desal.2004.06.034</w:t>
      </w:r>
    </w:p>
    <w:p>
      <w:pPr>
        <w:spacing w:after="60"/>
      </w:pPr>
      <w:r>
        <w:rPr>
          <w:sz w:val="18"/>
        </w:rPr>
        <w:t>[12] K.G. Nayar, M.H. Sharqawy, L.D. Banchik, J.H. Lienhard V, Thermophysical properties of seawater: A review and new correlations that include pressure dependence, Desalination 390 (2016) 1-24. https://doi.org/10.1016/j.desal.2016.02.024</w:t>
      </w:r>
    </w:p>
    <w:p>
      <w:pPr>
        <w:spacing w:after="60"/>
      </w:pPr>
      <w:r>
        <w:rPr>
          <w:sz w:val="18"/>
        </w:rPr>
        <w:t>[13] A. Nemmour, H. Zhang, K.E. Kadi, I. Janajreh, Salt recovery from a reverse osmosis brine by eutectic freeze crystallization method for waste brine management, Environmental Science and Pollution Research 33 (2025) 1930-1940. https://doi.org/10.1007/s11356-025-36553-7</w:t>
      </w:r>
    </w:p>
    <w:p>
      <w:pPr>
        <w:spacing w:after="60"/>
      </w:pPr>
      <w:r>
        <w:rPr>
          <w:sz w:val="18"/>
        </w:rPr>
        <w:t>[14] A. Panagopoulos, A comparative study on minimum and actual energy consumption for the treatment of desalination brine, Energy 212 (2020) 118733. https://doi.org/10.1016/j.energy.2020.118733</w:t>
      </w:r>
    </w:p>
    <w:p>
      <w:pPr>
        <w:spacing w:after="60"/>
      </w:pPr>
      <w:r>
        <w:rPr>
          <w:sz w:val="18"/>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spacing w:after="60"/>
      </w:pPr>
      <w:r>
        <w:rPr>
          <w:sz w:val="18"/>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spacing w:after="60"/>
      </w:pPr>
      <w:r>
        <w:rPr>
          <w:sz w:val="18"/>
        </w:rPr>
        <w:t>[17] R.K. Puthanveettil, S. Kim, M.J. Kim, Utilizing seawater and brine to simultaneously produce high-purity magnesium sulfate and vaterite-type calcium carbonate, Desalination 578 (2024) 117436. https://doi.org/10.1016/j.desal.2024.117436</w:t>
      </w:r>
    </w:p>
    <w:p>
      <w:pPr>
        <w:spacing w:after="60"/>
      </w:pPr>
      <w:r>
        <w:rPr>
          <w:sz w:val="18"/>
        </w:rPr>
        <w:t>[18] H. Qian, Z. Zhou, L. Zhang, F. Wu, Q. Zhang, Z. Zhang, Thermodynamic analysis on the theoretical energy consumption of seawater desalination, Desalination 320 (2013) 73-79. https://doi.org/10.1016/j.desal.2013.04.006</w:t>
      </w:r>
    </w:p>
    <w:p>
      <w:pPr>
        <w:spacing w:after="60"/>
      </w:pPr>
      <w:r>
        <w:rPr>
          <w:sz w:val="18"/>
        </w:rPr>
        <w:t>[19] C. Quist-Jensen, F. Macedonio, E. Drioli, Membrane crystallization for salts recovery from brine—an experimental and theoretical analysis, Desalination and Water Treatment 57 (2016) 7593-7603. https://doi.org/10.1080/19443994.2015.1030110</w:t>
      </w:r>
    </w:p>
    <w:p>
      <w:pPr>
        <w:spacing w:after="60"/>
      </w:pPr>
      <w:r>
        <w:rPr>
          <w:sz w:val="18"/>
        </w:rPr>
        <w:t>[20] A. RANDON, S. RECH, A. LAZZARETTO, Brine Management: Techno-economic Analysis of a Mechanical Vapor Compression Energy System for a Near-Zero Liquid Discharge Application, International Journal of Thermodynamics 23 (2020) 128-137. https://doi.org/10.5541/ijot.673573</w:t>
      </w:r>
    </w:p>
    <w:p>
      <w:pPr>
        <w:spacing w:after="60"/>
      </w:pPr>
      <w:r>
        <w:rPr>
          <w:sz w:val="18"/>
        </w:rPr>
        <w:t>[21] M.P. Shahabi, A. McHugh, G. Ho, Environmental and economic assessment of beach well intake versus open intake for seawater reverse osmosis desalination, Desalination 357 (2015) 259-266. https://doi.org/10.1016/j.desal.2014.12.003</w:t>
      </w:r>
    </w:p>
    <w:p>
      <w:pPr>
        <w:spacing w:after="60"/>
      </w:pPr>
      <w:r>
        <w:rPr>
          <w:sz w:val="18"/>
        </w:rPr>
        <w:t>[22] M.H. Sharqawy, J.H. Lienhard, S.M. Zubair, Thermophysical properties of seawater: a review of existing correlations and data, Desalination and Water Treatment 16 (2010) 354-380. https://doi.org/10.5004/dwt.2010.1079</w:t>
      </w:r>
    </w:p>
    <w:p>
      <w:pPr>
        <w:spacing w:after="60"/>
      </w:pPr>
      <w:r>
        <w:rPr>
          <w:sz w:val="18"/>
        </w:rPr>
        <w:t>[23] R.L. Stover, Seawater reverse osmosis with isobaric energy recovery devices, Desalination 203 (2007) 168-175. https://doi.org/10.1016/j.desal.2006.03.528</w:t>
      </w:r>
    </w:p>
    <w:p>
      <w:pPr>
        <w:spacing w:after="60"/>
      </w:pPr>
      <w:r>
        <w:rPr>
          <w:sz w:val="18"/>
        </w:rPr>
        <w:t>[24] C. Wang, L. Wang, L. Dong, H.K. Shon, J. Kim, Specific energy consumption of seawater reverse osmosis desalination plants using machine learning, Desalination 602 (2025) 118654. https://doi.org/10.1016/j.desal.2025.118654</w:t>
      </w:r>
    </w:p>
    <w:p>
      <w:pPr>
        <w:spacing w:after="60"/>
      </w:pPr>
      <w:r>
        <w:rPr>
          <w:sz w:val="18"/>
        </w:rPr>
        <w:t>[25] D. Zhang, Y. Li, J. Cao, Efficient magnesium recovery from seawater desalination brine via CO2 mineralization to synthesize hydromagnesite for uranium extraction, Desalination 559 (2023) 116629. https://doi.org/10.1016/j.desal.2023.116629</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