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0"/>
          <w:lang w:val="en-US"/>
        </w:rPr>
        <w:t>Consistency Testing of an Integrated SWRO–Brine Valorization Architecture: Alkalinity as the Binding Constraint</w:t>
      </w:r>
    </w:p>
    <w:p>
      <w:pPr>
        <w:pStyle w:val="Normal"/>
        <w:spacing w:before="0" w:after="20"/>
        <w:jc w:val="center"/>
        <w:rPr/>
      </w:pPr>
      <w:r>
        <w:rPr>
          <w:sz w:val="22"/>
          <w:lang w:val="en-US"/>
        </w:rPr>
        <w:t>Leon Sandler</w:t>
      </w:r>
    </w:p>
    <w:p>
      <w:pPr>
        <w:pStyle w:val="Normal"/>
        <w:spacing w:before="0" w:after="20"/>
        <w:jc w:val="center"/>
        <w:rPr/>
      </w:pPr>
      <w:r>
        <w:rPr>
          <w:sz w:val="20"/>
          <w:lang w:val="en-US"/>
        </w:rPr>
        <w:t>Independent Researcher, Northbrook, Illinois, USA</w:t>
      </w:r>
    </w:p>
    <w:p>
      <w:pPr>
        <w:pStyle w:val="Normal"/>
        <w:spacing w:before="0" w:after="20"/>
        <w:jc w:val="center"/>
        <w:rPr/>
      </w:pPr>
      <w:r>
        <w:rPr>
          <w:sz w:val="19"/>
          <w:lang w:val="en-US"/>
        </w:rPr>
        <w:t>ORCID: https://orcid.org/0009-0007-4584-808X</w:t>
      </w:r>
    </w:p>
    <w:p>
      <w:pPr>
        <w:pStyle w:val="Normal"/>
        <w:spacing w:before="0" w:after="20"/>
        <w:jc w:val="center"/>
        <w:rPr/>
      </w:pPr>
      <w:r>
        <w:rPr>
          <w:sz w:val="19"/>
          <w:lang w:val="en-US"/>
        </w:rPr>
        <w:t>Corresponding author: sandler.leon@gmail.com</w:t>
      </w:r>
    </w:p>
    <w:p>
      <w:pPr>
        <w:pStyle w:val="Normal"/>
        <w:spacing w:before="0" w:after="160"/>
        <w:rPr/>
      </w:pPr>
      <w:r>
        <w:rPr/>
      </w:r>
    </w:p>
    <w:p>
      <w:pPr>
        <w:pStyle w:val="Normal"/>
        <w:spacing w:before="300" w:after="100"/>
        <w:rPr/>
      </w:pPr>
      <w:r>
        <w:rPr>
          <w:b/>
          <w:sz w:val="26"/>
          <w:lang w:val="en-US"/>
        </w:rPr>
        <w:t>Abstract</w:t>
      </w:r>
    </w:p>
    <w:p>
      <w:pPr>
        <w:pStyle w:val="Normal"/>
        <w:spacing w:before="0" w:after="160"/>
        <w:rPr/>
      </w:pPr>
      <w:r>
        <w:rPr>
          <w:i w:val="false"/>
          <w:sz w:val="21"/>
          <w:lang w:val="en-US"/>
        </w:rPr>
        <w:t xml:space="preserve">Integrated seawater reverse osmosis (SWRO) with brine valorization is widely proposed as a route to simultaneous energy reduction and near-zero liquid discharge, but such architectures are seldom tested against the physical bounds </w:t>
      </w:r>
      <w:r>
        <w:rPr>
          <w:lang w:val="en-US"/>
        </w:rPr>
        <w:t xml:space="preserve">that </w:t>
      </w:r>
      <w:r>
        <w:rPr>
          <w:i w:val="false"/>
          <w:sz w:val="21"/>
          <w:lang w:val="en-US"/>
        </w:rPr>
        <w:t xml:space="preserve">their individual stages must obey. </w:t>
      </w:r>
      <w:r>
        <w:rPr>
          <w:lang w:val="en-US"/>
        </w:rPr>
        <w:t>In this</w:t>
      </w:r>
      <w:r>
        <w:rPr>
          <w:i w:val="false"/>
          <w:sz w:val="21"/>
          <w:lang w:val="en-US"/>
        </w:rPr>
        <w:t xml:space="preserve"> study</w:t>
      </w:r>
      <w:r>
        <w:rPr>
          <w:lang w:val="en-US"/>
        </w:rPr>
        <w:t>,</w:t>
      </w:r>
      <w:r>
        <w:rPr>
          <w:i w:val="false"/>
          <w:sz w:val="21"/>
          <w:lang w:val="en-US"/>
        </w:rPr>
        <w:t xml:space="preserve"> a consistency</w:t>
      </w:r>
      <w:r>
        <w:rPr>
          <w:lang w:val="en-US"/>
        </w:rPr>
        <w:t xml:space="preserve"> </w:t>
      </w:r>
      <w:r>
        <w:rPr>
          <w:i w:val="false"/>
          <w:sz w:val="21"/>
          <w:lang w:val="en-US"/>
        </w:rPr>
        <w:t xml:space="preserve">testing framework </w:t>
      </w:r>
      <w:r>
        <w:rPr>
          <w:lang w:val="en-US"/>
        </w:rPr>
        <w:t xml:space="preserve">is applied </w:t>
      </w:r>
      <w:r>
        <w:rPr>
          <w:i w:val="false"/>
          <w:sz w:val="21"/>
          <w:lang w:val="en-US"/>
        </w:rPr>
        <w:t xml:space="preserve">to one architecture </w:t>
      </w:r>
      <w:r>
        <w:rPr>
          <w:lang w:val="en-US"/>
        </w:rPr>
        <w:t>that combines</w:t>
      </w:r>
      <w:r>
        <w:rPr>
          <w:i w:val="false"/>
          <w:sz w:val="21"/>
          <w:lang w:val="en-US"/>
        </w:rPr>
        <w:t xml:space="preserve"> subsurface intake, isobaric energy recovery, membrane brine concentration, selective Ca/Mg precipitation and mechanical-vapor-compression crystallization, </w:t>
      </w:r>
      <w:r>
        <w:rPr>
          <w:lang w:val="en-US"/>
        </w:rPr>
        <w:t>and</w:t>
      </w:r>
      <w:r>
        <w:rPr>
          <w:i w:val="false"/>
          <w:sz w:val="21"/>
          <w:lang w:val="en-US"/>
        </w:rPr>
        <w:t xml:space="preserve"> each subsystem </w:t>
      </w:r>
      <w:r>
        <w:rPr>
          <w:lang w:val="en-US"/>
        </w:rPr>
        <w:t xml:space="preserve">is checked </w:t>
      </w:r>
      <w:r>
        <w:rPr>
          <w:i w:val="false"/>
          <w:sz w:val="21"/>
          <w:lang w:val="en-US"/>
        </w:rPr>
        <w:t>against a physical constraint rather than an assumed value. The brine-concentrator energy commonly assumed in this class of study, 0.</w:t>
      </w:r>
      <w:r>
        <w:rPr>
          <w:lang w:val="en-US"/>
        </w:rPr>
        <w:t>5–1</w:t>
      </w:r>
      <w:r>
        <w:rPr>
          <w:i w:val="false"/>
          <w:sz w:val="21"/>
          <w:lang w:val="en-US"/>
        </w:rPr>
        <w:t xml:space="preserve">.0 kWh per cubic </w:t>
      </w:r>
      <w:r>
        <w:rPr>
          <w:lang w:val="en-US"/>
        </w:rPr>
        <w:t>meter</w:t>
      </w:r>
      <w:r>
        <w:rPr>
          <w:i w:val="false"/>
          <w:sz w:val="21"/>
          <w:lang w:val="en-US"/>
        </w:rPr>
        <w:t xml:space="preserve"> of brine, lies at or below the least work of separation for that feed (0.94 kWh m-3). A bounded estimate, obtained from that minimum and a </w:t>
      </w:r>
      <w:r>
        <w:rPr>
          <w:lang w:val="en-US"/>
        </w:rPr>
        <w:t>25–55%</w:t>
      </w:r>
      <w:r>
        <w:rPr>
          <w:i w:val="false"/>
          <w:sz w:val="21"/>
          <w:lang w:val="en-US"/>
        </w:rPr>
        <w:t xml:space="preserve"> second-law efficiency, is 1.</w:t>
      </w:r>
      <w:r>
        <w:rPr>
          <w:lang w:val="en-US"/>
        </w:rPr>
        <w:t>7–3</w:t>
      </w:r>
      <w:r>
        <w:rPr>
          <w:i w:val="false"/>
          <w:sz w:val="21"/>
          <w:lang w:val="en-US"/>
        </w:rPr>
        <w:t xml:space="preserve">.8 kWh m-3, raising </w:t>
      </w:r>
      <w:r>
        <w:rPr>
          <w:lang w:val="en-US"/>
        </w:rPr>
        <w:t>the modeled</w:t>
      </w:r>
      <w:r>
        <w:rPr>
          <w:i w:val="false"/>
          <w:sz w:val="21"/>
          <w:lang w:val="en-US"/>
        </w:rPr>
        <w:t xml:space="preserve"> total specific energy consumption to a median </w:t>
      </w:r>
      <w:r>
        <w:rPr>
          <w:lang w:val="en-US"/>
        </w:rPr>
        <w:t xml:space="preserve">of </w:t>
      </w:r>
      <w:r>
        <w:rPr>
          <w:i w:val="false"/>
          <w:sz w:val="21"/>
          <w:lang w:val="en-US"/>
        </w:rPr>
        <w:t xml:space="preserve">13.1 kWh m-3. Magnesium recovery is limited by alkalinity rather than by magnesium: the base required carries either 10.0 kg </w:t>
      </w:r>
      <w:r>
        <w:rPr>
          <w:lang w:val="en-US"/>
        </w:rPr>
        <w:t xml:space="preserve">of </w:t>
      </w:r>
      <w:r>
        <w:rPr>
          <w:i w:val="false"/>
          <w:sz w:val="21"/>
          <w:lang w:val="en-US"/>
        </w:rPr>
        <w:t xml:space="preserve">CO2 per cubic </w:t>
      </w:r>
      <w:r>
        <w:rPr>
          <w:lang w:val="en-US"/>
        </w:rPr>
        <w:t>meter</w:t>
      </w:r>
      <w:r>
        <w:rPr>
          <w:i w:val="false"/>
          <w:sz w:val="21"/>
          <w:lang w:val="en-US"/>
        </w:rPr>
        <w:t xml:space="preserve"> of permeate in embodied carbon, </w:t>
      </w:r>
      <w:r>
        <w:rPr>
          <w:lang w:val="en-US"/>
        </w:rPr>
        <w:t>approximately</w:t>
      </w:r>
      <w:r>
        <w:rPr>
          <w:i w:val="false"/>
          <w:sz w:val="21"/>
          <w:lang w:val="en-US"/>
        </w:rPr>
        <w:t xml:space="preserve"> double the </w:t>
      </w:r>
      <w:r>
        <w:rPr>
          <w:lang w:val="en-US"/>
        </w:rPr>
        <w:t>plant’s</w:t>
      </w:r>
      <w:r>
        <w:rPr>
          <w:i w:val="false"/>
          <w:sz w:val="21"/>
          <w:lang w:val="en-US"/>
        </w:rPr>
        <w:t xml:space="preserve"> grid emissions, or an electrochemical cost of 27 kWh m-3. Lime dosing releases 5.3 times more calcium than the preceding carbonate step removes, so the train does not close. </w:t>
      </w:r>
      <w:r>
        <w:rPr>
          <w:lang w:val="en-US"/>
        </w:rPr>
        <w:t>Costing those reagents explicitly is decisive</w:t>
      </w:r>
      <w:r>
        <w:rPr>
          <w:i w:val="false"/>
          <w:sz w:val="21"/>
          <w:lang w:val="en-US"/>
        </w:rPr>
        <w:t>: at $1.70 m-3</w:t>
      </w:r>
      <w:r>
        <w:rPr>
          <w:lang w:val="en-US"/>
        </w:rPr>
        <w:t>,</w:t>
      </w:r>
      <w:r>
        <w:rPr>
          <w:i w:val="false"/>
          <w:sz w:val="21"/>
          <w:lang w:val="en-US"/>
        </w:rPr>
        <w:t xml:space="preserve"> they exceed the $1.25 m-3 </w:t>
      </w:r>
      <w:r>
        <w:rPr>
          <w:lang w:val="en-US"/>
        </w:rPr>
        <w:t>realizable</w:t>
      </w:r>
      <w:r>
        <w:rPr>
          <w:i w:val="false"/>
          <w:sz w:val="21"/>
          <w:lang w:val="en-US"/>
        </w:rPr>
        <w:t xml:space="preserve"> mineral credit, and Monte Carlo propagation (300,000 samples) </w:t>
      </w:r>
      <w:r>
        <w:rPr>
          <w:lang w:val="en-US"/>
        </w:rPr>
        <w:t>results in</w:t>
      </w:r>
      <w:r>
        <w:rPr>
          <w:i w:val="false"/>
          <w:sz w:val="21"/>
          <w:lang w:val="en-US"/>
        </w:rPr>
        <w:t xml:space="preserve"> a net levelized cost of $2.20 m-3 (90% interval $1.</w:t>
      </w:r>
      <w:r>
        <w:rPr>
          <w:lang w:val="en-US"/>
        </w:rPr>
        <w:t>38–$3</w:t>
      </w:r>
      <w:r>
        <w:rPr>
          <w:i w:val="false"/>
          <w:sz w:val="21"/>
          <w:lang w:val="en-US"/>
        </w:rPr>
        <w:t xml:space="preserve">.01) against $0.76 m-3 for conventional SWRO. Brine mineral valorization by alkaline precipitation is limited by the base—but by its supply route, not its stoichiometry. Generating the base electrochemically closes the calcium balance, makes </w:t>
      </w:r>
      <w:r>
        <w:rPr>
          <w:lang w:val="en-US"/>
        </w:rPr>
        <w:t xml:space="preserve">the </w:t>
      </w:r>
      <w:r>
        <w:rPr>
          <w:i w:val="false"/>
          <w:sz w:val="21"/>
          <w:lang w:val="en-US"/>
        </w:rPr>
        <w:t>reagent carbon net negative, and reaches the conventional comparator below $0.033 kWh-1, where the purchased-alkali route stays above it even at zero electricity cost. That conclusion is conditional on low-carbon supply and excludes uncosted electrochemical capital.</w:t>
      </w:r>
    </w:p>
    <w:p>
      <w:pPr>
        <w:pStyle w:val="Normal"/>
        <w:spacing w:before="220" w:after="100"/>
        <w:rPr/>
      </w:pPr>
      <w:r>
        <w:rPr>
          <w:b/>
          <w:sz w:val="23"/>
          <w:lang w:val="en-US"/>
        </w:rPr>
        <w:t>Keywords</w:t>
      </w:r>
    </w:p>
    <w:p>
      <w:pPr>
        <w:pStyle w:val="Normal"/>
        <w:spacing w:before="0" w:after="160"/>
        <w:rPr/>
      </w:pPr>
      <w:r>
        <w:rPr>
          <w:i/>
          <w:sz w:val="20"/>
          <w:lang w:val="en-US"/>
        </w:rPr>
        <w:t>seawater desalination; reverse osmosis; brine valorization; alkalinity; consistency testing; technoeconomic analysis</w:t>
      </w:r>
    </w:p>
    <w:p>
      <w:pPr>
        <w:pStyle w:val="Normal"/>
        <w:spacing w:before="300" w:after="100"/>
        <w:rPr/>
      </w:pPr>
      <w:r>
        <w:rPr>
          <w:b/>
          <w:sz w:val="26"/>
          <w:lang w:val="en-US"/>
        </w:rPr>
        <w:t>1. Introduction</w:t>
      </w:r>
    </w:p>
    <w:p>
      <w:pPr>
        <w:pStyle w:val="Normal"/>
        <w:spacing w:before="0" w:after="160"/>
        <w:ind w:firstLine="317"/>
        <w:rPr/>
      </w:pPr>
      <w:r>
        <w:rPr>
          <w:i w:val="false"/>
          <w:sz w:val="21"/>
          <w:lang w:val="en-US"/>
        </w:rPr>
        <w:t xml:space="preserve">Seawater reverse osmosis (SWRO) supplies a growing share of municipal water in arid coastal regions, and its energy performance has improved to the point where further gains at the membrane stage are incremental. Specific energy consumption (SEC) in well-designed modern plants equipped with isobaric energy recovery falls in the range </w:t>
      </w:r>
      <w:r>
        <w:rPr>
          <w:lang w:val="en-US"/>
        </w:rPr>
        <w:t xml:space="preserve">of </w:t>
      </w:r>
      <w:r>
        <w:rPr>
          <w:i w:val="false"/>
          <w:sz w:val="21"/>
          <w:lang w:val="en-US"/>
        </w:rPr>
        <w:t>2.</w:t>
      </w:r>
      <w:r>
        <w:rPr>
          <w:lang w:val="en-US"/>
        </w:rPr>
        <w:t>5–3</w:t>
      </w:r>
      <w:r>
        <w:rPr>
          <w:i w:val="false"/>
          <w:sz w:val="21"/>
          <w:lang w:val="en-US"/>
        </w:rPr>
        <w:t xml:space="preserve">.5 kWh m-3, and a recent audited measurement on an operating 2,500 m3 d-1 plant </w:t>
      </w:r>
      <w:r>
        <w:rPr>
          <w:lang w:val="en-US"/>
        </w:rPr>
        <w:t>revealed a value of</w:t>
      </w:r>
      <w:r>
        <w:rPr>
          <w:i w:val="false"/>
          <w:sz w:val="21"/>
          <w:lang w:val="en-US"/>
        </w:rPr>
        <w:t xml:space="preserve"> 1.794 kWh m-3 under a low-flux design with new membranes [16]; a survey across operating plants </w:t>
      </w:r>
      <w:r>
        <w:rPr>
          <w:lang w:val="en-US"/>
        </w:rPr>
        <w:t>placed</w:t>
      </w:r>
      <w:r>
        <w:rPr>
          <w:i w:val="false"/>
          <w:sz w:val="21"/>
          <w:lang w:val="en-US"/>
        </w:rPr>
        <w:t xml:space="preserve"> the practical distribution firmly in that band [24]. The thermodynamic floor for seawater at typical recovery is still </w:t>
      </w:r>
      <w:r>
        <w:rPr>
          <w:lang w:val="en-US"/>
        </w:rPr>
        <w:t xml:space="preserve">lower </w:t>
      </w:r>
      <w:r>
        <w:rPr>
          <w:i w:val="false"/>
          <w:sz w:val="21"/>
          <w:lang w:val="en-US"/>
        </w:rPr>
        <w:t>[18]. These figures matter for how any new architecture should be assessed: the headroom between a modern plant and the thermodynamic limit is now small enough that claims of large energy savings at the desalination stage should be treated sceptically, and a proposed architecture is better judged on what it does with the concentrate than on what it saves at the membrane.</w:t>
      </w:r>
    </w:p>
    <w:p>
      <w:pPr>
        <w:pStyle w:val="Normal"/>
        <w:spacing w:before="0" w:after="160"/>
        <w:ind w:firstLine="317"/>
        <w:rPr/>
      </w:pPr>
      <w:r>
        <w:rPr>
          <w:i w:val="false"/>
          <w:sz w:val="21"/>
          <w:lang w:val="en-US"/>
        </w:rPr>
        <w:t xml:space="preserve">That concentrate is the unresolved problem. Every cubic </w:t>
      </w:r>
      <w:r>
        <w:rPr>
          <w:lang w:val="en-US"/>
        </w:rPr>
        <w:t>meter</w:t>
      </w:r>
      <w:r>
        <w:rPr>
          <w:i w:val="false"/>
          <w:sz w:val="21"/>
          <w:lang w:val="en-US"/>
        </w:rPr>
        <w:t xml:space="preserve"> of permeate is accompanied by </w:t>
      </w:r>
      <w:r>
        <w:rPr>
          <w:lang w:val="en-US"/>
        </w:rPr>
        <w:t xml:space="preserve">a </w:t>
      </w:r>
      <w:r>
        <w:rPr>
          <w:i w:val="false"/>
          <w:sz w:val="21"/>
          <w:lang w:val="en-US"/>
        </w:rPr>
        <w:t xml:space="preserve">roughly equal volume of brine at approximately twice the feed salinity, and its disposal is increasingly constrained. Two responses have developed in parallel. The first treats the brine as a waste to be </w:t>
      </w:r>
      <w:r>
        <w:rPr>
          <w:lang w:val="en-US"/>
        </w:rPr>
        <w:t>minimized</w:t>
      </w:r>
      <w:r>
        <w:rPr>
          <w:i w:val="false"/>
          <w:sz w:val="21"/>
          <w:lang w:val="en-US"/>
        </w:rPr>
        <w:t xml:space="preserve"> through minimal-liquid-discharge (MLD) and zero-liquid-discharge (ZLD) configurations; module-scale </w:t>
      </w:r>
      <w:r>
        <w:rPr>
          <w:lang w:val="en-US"/>
        </w:rPr>
        <w:t>modeling</w:t>
      </w:r>
      <w:r>
        <w:rPr>
          <w:i w:val="false"/>
          <w:sz w:val="21"/>
          <w:lang w:val="en-US"/>
        </w:rPr>
        <w:t xml:space="preserve"> of enhanced-RO pathways shows how far membrane processes can carry the concentration duty before a thermal step becomes unavoidable [2], and </w:t>
      </w:r>
      <w:r>
        <w:rPr>
          <w:lang w:val="en-US"/>
        </w:rPr>
        <w:t xml:space="preserve">a </w:t>
      </w:r>
      <w:r>
        <w:rPr>
          <w:i w:val="false"/>
          <w:sz w:val="21"/>
          <w:lang w:val="en-US"/>
        </w:rPr>
        <w:t xml:space="preserve">comparative </w:t>
      </w:r>
      <w:r>
        <w:rPr>
          <w:lang w:val="en-US"/>
        </w:rPr>
        <w:t>technoeconomic</w:t>
      </w:r>
      <w:r>
        <w:rPr>
          <w:i w:val="false"/>
          <w:sz w:val="21"/>
          <w:lang w:val="en-US"/>
        </w:rPr>
        <w:t xml:space="preserve"> assessment of </w:t>
      </w:r>
      <w:r>
        <w:rPr>
          <w:lang w:val="en-US"/>
        </w:rPr>
        <w:t xml:space="preserve">the </w:t>
      </w:r>
      <w:r>
        <w:rPr>
          <w:i w:val="false"/>
          <w:sz w:val="21"/>
          <w:lang w:val="en-US"/>
        </w:rPr>
        <w:t xml:space="preserve">MLD against </w:t>
      </w:r>
      <w:r>
        <w:rPr>
          <w:lang w:val="en-US"/>
        </w:rPr>
        <w:t xml:space="preserve">the </w:t>
      </w:r>
      <w:r>
        <w:rPr>
          <w:i w:val="false"/>
          <w:sz w:val="21"/>
          <w:lang w:val="en-US"/>
        </w:rPr>
        <w:t xml:space="preserve">full ZLD shows </w:t>
      </w:r>
      <w:r>
        <w:rPr>
          <w:lang w:val="en-US"/>
        </w:rPr>
        <w:t xml:space="preserve">that </w:t>
      </w:r>
      <w:r>
        <w:rPr>
          <w:i w:val="false"/>
          <w:sz w:val="21"/>
          <w:lang w:val="en-US"/>
        </w:rPr>
        <w:t>the cost penalty rises steeply over the final increments</w:t>
      </w:r>
      <w:r>
        <w:rPr>
          <w:lang w:val="en-US"/>
        </w:rPr>
      </w:r>
      <w:r>
        <w:rPr>
          <w:i w:val="false"/>
          <w:sz w:val="21"/>
          <w:lang w:val="en-US"/>
        </w:rPr>
        <w:t xml:space="preserve"> of water recovery [15]. The second treats the brine as an ore, recovering calcium, magnesium and</w:t>
      </w:r>
      <w:r>
        <w:rPr>
          <w:lang w:val="en-US"/>
        </w:rPr>
        <w:t>,</w:t>
      </w:r>
      <w:r>
        <w:rPr>
          <w:i w:val="false"/>
          <w:sz w:val="21"/>
          <w:lang w:val="en-US"/>
        </w:rPr>
        <w:t xml:space="preserve"> in some proposals</w:t>
      </w:r>
      <w:r>
        <w:rPr>
          <w:lang w:val="en-US"/>
        </w:rPr>
        <w:t>,</w:t>
      </w:r>
      <w:r>
        <w:rPr>
          <w:i w:val="false"/>
          <w:sz w:val="21"/>
          <w:lang w:val="en-US"/>
        </w:rPr>
        <w:t xml:space="preserve"> lithium as saleable </w:t>
      </w:r>
      <w:r>
        <w:rPr>
          <w:lang w:val="en-US"/>
        </w:rPr>
        <w:t>coproducts</w:t>
      </w:r>
      <w:r>
        <w:rPr>
          <w:i w:val="false"/>
          <w:sz w:val="21"/>
          <w:lang w:val="en-US"/>
        </w:rPr>
        <w:t>. The two responses are complementary in principle and are seldom combined in practice.</w:t>
      </w:r>
    </w:p>
    <w:p>
      <w:pPr>
        <w:pStyle w:val="Normal"/>
        <w:spacing w:before="0" w:after="160"/>
        <w:ind w:firstLine="317"/>
        <w:rPr/>
      </w:pPr>
      <w:r>
        <w:rPr>
          <w:i w:val="false"/>
          <w:sz w:val="21"/>
          <w:lang w:val="en-US"/>
        </w:rPr>
        <w:t xml:space="preserve">Within the desalination stage itself, </w:t>
      </w:r>
      <w:r>
        <w:rPr>
          <w:lang w:val="en-US"/>
        </w:rPr>
        <w:t xml:space="preserve">the </w:t>
      </w:r>
      <w:r>
        <w:rPr>
          <w:i w:val="false"/>
          <w:sz w:val="21"/>
          <w:lang w:val="en-US"/>
        </w:rPr>
        <w:t xml:space="preserve">two technologies are mature enough that their </w:t>
      </w:r>
      <w:r>
        <w:rPr>
          <w:lang w:val="en-US"/>
        </w:rPr>
        <w:t>behavior</w:t>
      </w:r>
      <w:r>
        <w:rPr>
          <w:i w:val="false"/>
          <w:sz w:val="21"/>
          <w:lang w:val="en-US"/>
        </w:rPr>
        <w:t xml:space="preserve"> is well </w:t>
      </w:r>
      <w:r>
        <w:rPr>
          <w:lang w:val="en-US"/>
        </w:rPr>
        <w:t>characterized</w:t>
      </w:r>
      <w:r>
        <w:rPr>
          <w:i w:val="false"/>
          <w:sz w:val="21"/>
          <w:lang w:val="en-US"/>
        </w:rPr>
        <w:t xml:space="preserve">. Isobaric pressure-exchanger energy recovery is standard practice, with device efficiencies above 95% and a design literature going back two decades [11,23]; it is the single change most responsible for the SEC figures quoted above, and it leaves little further </w:t>
      </w:r>
      <w:r>
        <w:rPr>
          <w:lang w:val="en-US"/>
        </w:rPr>
        <w:t>recovery</w:t>
      </w:r>
      <w:r>
        <w:rPr>
          <w:i w:val="false"/>
          <w:sz w:val="21"/>
          <w:lang w:val="en-US"/>
        </w:rPr>
        <w:t xml:space="preserve">. Subsurface intake through beach wells or seabed galleries is less universally applicable but well studied: </w:t>
      </w:r>
      <w:r>
        <w:rPr>
          <w:lang w:val="en-US"/>
        </w:rPr>
        <w:t>Comparative</w:t>
      </w:r>
      <w:r>
        <w:rPr>
          <w:i w:val="false"/>
          <w:sz w:val="21"/>
          <w:lang w:val="en-US"/>
        </w:rPr>
        <w:t xml:space="preserve"> assessments against open intakes report lower pretreatment demand, reduced chemical dosing and lower entrainment impact [21], </w:t>
      </w:r>
      <w:r>
        <w:rPr>
          <w:lang w:val="en-US"/>
        </w:rPr>
        <w:t xml:space="preserve">and </w:t>
      </w:r>
      <w:r>
        <w:rPr>
          <w:i w:val="false"/>
          <w:sz w:val="21"/>
          <w:lang w:val="en-US"/>
        </w:rPr>
        <w:t xml:space="preserve">operating-cost comparisons reach similar conclusions where the hydrogeology permits [7], and numerical </w:t>
      </w:r>
      <w:r>
        <w:rPr>
          <w:lang w:val="en-US"/>
        </w:rPr>
        <w:t>modeling</w:t>
      </w:r>
      <w:r>
        <w:rPr>
          <w:i w:val="false"/>
          <w:sz w:val="21"/>
          <w:lang w:val="en-US"/>
        </w:rPr>
        <w:t xml:space="preserve"> has clarified the conditions under which a beach well can sustain design yield without clogging [1]. The limitation is site dependence rather than process performance, </w:t>
      </w:r>
      <w:r>
        <w:rPr>
          <w:lang w:val="en-US"/>
        </w:rPr>
        <w:t>which</w:t>
      </w:r>
      <w:r>
        <w:rPr>
          <w:i w:val="false"/>
          <w:sz w:val="21"/>
          <w:lang w:val="en-US"/>
        </w:rPr>
        <w:t xml:space="preserve"> is the reason subsurface intake is a design choice rather than a general recommendation.</w:t>
      </w:r>
    </w:p>
    <w:p>
      <w:pPr>
        <w:pStyle w:val="Normal"/>
        <w:spacing w:before="0" w:after="160"/>
        <w:ind w:firstLine="317"/>
        <w:rPr/>
      </w:pPr>
      <w:r>
        <w:rPr>
          <w:i w:val="false"/>
          <w:sz w:val="21"/>
          <w:lang w:val="en-US"/>
        </w:rPr>
        <w:t>The brine</w:t>
      </w:r>
      <w:r>
        <w:rPr>
          <w:lang w:val="en-US"/>
        </w:rPr>
        <w:t xml:space="preserve"> </w:t>
      </w:r>
      <w:r>
        <w:rPr>
          <w:i w:val="false"/>
          <w:sz w:val="21"/>
          <w:lang w:val="en-US"/>
        </w:rPr>
        <w:t xml:space="preserve">concentration step is where the literature is least settled and where the </w:t>
      </w:r>
      <w:r>
        <w:rPr>
          <w:lang w:val="en-US"/>
        </w:rPr>
        <w:t>greatest discrepancy is found in the present study</w:t>
      </w:r>
      <w:r>
        <w:rPr>
          <w:i w:val="false"/>
          <w:sz w:val="21"/>
          <w:lang w:val="en-US"/>
        </w:rPr>
        <w:t xml:space="preserve">. Osmotically assisted and high-pressure membrane configurations extend </w:t>
      </w:r>
      <w:r>
        <w:rPr>
          <w:lang w:val="en-US"/>
        </w:rPr>
        <w:t xml:space="preserve">the </w:t>
      </w:r>
      <w:r>
        <w:rPr>
          <w:i w:val="false"/>
          <w:sz w:val="21"/>
          <w:lang w:val="en-US"/>
        </w:rPr>
        <w:t xml:space="preserve">membrane concentration well beyond conventional SWRO brine salinity [3], but the energy demand sharply </w:t>
      </w:r>
      <w:r>
        <w:rPr>
          <w:lang w:val="en-US"/>
        </w:rPr>
        <w:t xml:space="preserve">increases </w:t>
      </w:r>
      <w:r>
        <w:rPr>
          <w:i w:val="false"/>
          <w:sz w:val="21"/>
          <w:lang w:val="en-US"/>
        </w:rPr>
        <w:t>because the osmotic pressure to be overcome rises with it.</w:t>
      </w:r>
      <w:r>
        <w:rPr>
          <w:lang w:val="en-US"/>
        </w:rPr>
      </w:r>
      <w:r>
        <w:rPr>
          <w:i w:val="false"/>
          <w:sz w:val="21"/>
          <w:lang w:val="en-US"/>
        </w:rPr>
        <w:t xml:space="preserve"> Panagopoulos compared minimum and actual energy consumption across brine-treatment technologies and </w:t>
      </w:r>
      <w:r>
        <w:rPr>
          <w:lang w:val="en-US"/>
        </w:rPr>
        <w:t>reported that</w:t>
      </w:r>
      <w:r>
        <w:rPr>
          <w:i w:val="false"/>
          <w:sz w:val="21"/>
          <w:lang w:val="en-US"/>
        </w:rPr>
        <w:t xml:space="preserve"> the gap between the two </w:t>
      </w:r>
      <w:r>
        <w:rPr>
          <w:lang w:val="en-US"/>
        </w:rPr>
        <w:t>is</w:t>
      </w:r>
      <w:r>
        <w:rPr>
          <w:i w:val="false"/>
          <w:sz w:val="21"/>
          <w:lang w:val="en-US"/>
        </w:rPr>
        <w:t xml:space="preserve"> both large and frequently unacknowledged [14]. That comparison is the appropriate reference point for any assumed concentrator energy, and as Section 4.5 shows, values in common use in integrated-architecture </w:t>
      </w:r>
      <w:r>
        <w:rPr>
          <w:lang w:val="en-US"/>
        </w:rPr>
        <w:t>studies—including</w:t>
      </w:r>
      <w:r>
        <w:rPr>
          <w:i w:val="false"/>
          <w:sz w:val="21"/>
          <w:lang w:val="en-US"/>
        </w:rPr>
        <w:t xml:space="preserve"> the value adopted in the first version of this work—fall below the least work</w:t>
      </w:r>
      <w:r>
        <w:rPr>
          <w:lang w:val="en-US"/>
        </w:rPr>
      </w:r>
      <w:r>
        <w:rPr>
          <w:i w:val="false"/>
          <w:sz w:val="21"/>
          <w:lang w:val="en-US"/>
        </w:rPr>
        <w:t xml:space="preserve"> of separation for the feed concerned (0.94 kWh m-3), which no process can do.</w:t>
      </w:r>
    </w:p>
    <w:p>
      <w:pPr>
        <w:pStyle w:val="Normal"/>
        <w:spacing w:before="0" w:after="160"/>
        <w:ind w:firstLine="317"/>
        <w:rPr/>
      </w:pPr>
      <w:r>
        <w:rPr>
          <w:lang w:val="en-US"/>
        </w:rPr>
        <w:t>With respect to</w:t>
      </w:r>
      <w:r>
        <w:rPr>
          <w:i w:val="false"/>
          <w:sz w:val="21"/>
          <w:lang w:val="en-US"/>
        </w:rPr>
        <w:t xml:space="preserve"> the final concentration and crystallization, mechanical vapor compression (MVC) remains the reference technology, and </w:t>
      </w:r>
      <w:r>
        <w:rPr>
          <w:lang w:val="en-US"/>
        </w:rPr>
        <w:t>a technoeconomic</w:t>
      </w:r>
      <w:r>
        <w:rPr>
          <w:i w:val="false"/>
          <w:sz w:val="21"/>
          <w:lang w:val="en-US"/>
        </w:rPr>
        <w:t xml:space="preserve"> analysis of </w:t>
      </w:r>
      <w:r>
        <w:rPr>
          <w:lang w:val="en-US"/>
        </w:rPr>
        <w:t xml:space="preserve">the </w:t>
      </w:r>
      <w:r>
        <w:rPr>
          <w:i w:val="false"/>
          <w:sz w:val="21"/>
          <w:lang w:val="en-US"/>
        </w:rPr>
        <w:t xml:space="preserve">MVC in near-ZLD service establishes both its energy intensity and the conditions under which it dominates </w:t>
      </w:r>
      <w:r>
        <w:rPr>
          <w:lang w:val="en-US"/>
        </w:rPr>
        <w:t xml:space="preserve">the </w:t>
      </w:r>
      <w:r>
        <w:rPr>
          <w:i w:val="false"/>
          <w:sz w:val="21"/>
          <w:lang w:val="en-US"/>
        </w:rPr>
        <w:t>plant operating cost [20]. Three alternatives are under active development and deserve explicit comparison rather than omission. Membrane distillation crystallization has been demonstrated on hypersaline feeds with seeding to control scaling [8,19]; eutectic freeze crystallization offers a route to separate salts and water at lower theoretical energy and has been applied specifically to RO brine [13]; and solar-driven</w:t>
      </w:r>
      <w:r>
        <w:rPr>
          <w:lang w:val="en-US"/>
        </w:rPr>
      </w:r>
      <w:r>
        <w:rPr>
          <w:i w:val="false"/>
          <w:sz w:val="21"/>
          <w:lang w:val="en-US"/>
        </w:rPr>
        <w:t xml:space="preserve"> interfacial evaporation has advanced rapidly, with architectures now able to sustain evaporation from high-salinity brine while harvesting crystallized salt autonomously rather than fouling [4,5,6]. The </w:t>
      </w:r>
      <w:r>
        <w:rPr>
          <w:lang w:val="en-US"/>
        </w:rPr>
        <w:t>latter</w:t>
      </w:r>
      <w:r>
        <w:rPr>
          <w:i w:val="false"/>
          <w:sz w:val="21"/>
          <w:lang w:val="en-US"/>
        </w:rPr>
        <w:t xml:space="preserve"> substitutes land area and capital for electricity, which </w:t>
      </w:r>
      <w:r>
        <w:rPr>
          <w:lang w:val="en-US"/>
        </w:rPr>
        <w:t xml:space="preserve">materially </w:t>
      </w:r>
      <w:r>
        <w:rPr>
          <w:i w:val="false"/>
          <w:sz w:val="21"/>
          <w:lang w:val="en-US"/>
        </w:rPr>
        <w:t>changes the carbon comparison and is taken up in Section 4.7.</w:t>
      </w:r>
    </w:p>
    <w:p>
      <w:pPr>
        <w:pStyle w:val="Normal"/>
        <w:spacing w:before="0" w:after="160"/>
        <w:ind w:firstLine="317"/>
        <w:rPr/>
      </w:pPr>
      <w:r>
        <w:rPr>
          <w:i w:val="false"/>
          <w:sz w:val="21"/>
          <w:lang w:val="en-US"/>
        </w:rPr>
        <w:t xml:space="preserve">Mineral recovery from concentrated brine is the component with the widest spread between laboratory </w:t>
      </w:r>
      <w:r>
        <w:rPr>
          <w:lang w:val="en-US"/>
        </w:rPr>
        <w:t>results</w:t>
      </w:r>
      <w:r>
        <w:rPr>
          <w:i w:val="false"/>
          <w:sz w:val="21"/>
          <w:lang w:val="en-US"/>
        </w:rPr>
        <w:t xml:space="preserve"> and process </w:t>
      </w:r>
      <w:r>
        <w:rPr>
          <w:lang w:val="en-US"/>
        </w:rPr>
        <w:t>claims. The sequential</w:t>
      </w:r>
      <w:r>
        <w:rPr>
          <w:i w:val="false"/>
          <w:sz w:val="21"/>
          <w:lang w:val="en-US"/>
        </w:rPr>
        <w:t xml:space="preserve"> precipitation of calcium and magnesium is well established chemically, and recent work has quantified how the </w:t>
      </w:r>
      <w:r>
        <w:rPr>
          <w:lang w:val="en-US"/>
        </w:rPr>
        <w:t xml:space="preserve">background </w:t>
      </w:r>
      <w:r>
        <w:rPr>
          <w:i w:val="false"/>
          <w:sz w:val="21"/>
          <w:lang w:val="en-US"/>
        </w:rPr>
        <w:t>sodium chloride affects yield, purity, particle morphology and carbonate polymorph</w:t>
      </w:r>
      <w:r>
        <w:rPr>
          <w:lang w:val="en-US"/>
        </w:rPr>
        <w:t>,</w:t>
      </w:r>
      <w:r>
        <w:rPr>
          <w:i w:val="false"/>
          <w:sz w:val="21"/>
          <w:lang w:val="en-US"/>
        </w:rPr>
        <w:t xml:space="preserve"> all of which determine whether a recovered solid meets any industrial specification [9]. Product-quality-directed studies have produced high-purity magnesium sulfate and vaterite-type calcium carbonate from seawater and brine feeds [17]</w:t>
      </w:r>
      <w:r>
        <w:rPr>
          <w:lang w:val="en-US"/>
        </w:rPr>
      </w:r>
      <w:r>
        <w:rPr>
          <w:i w:val="false"/>
          <w:sz w:val="21"/>
          <w:lang w:val="en-US"/>
        </w:rPr>
        <w:t xml:space="preserve">, establishing that </w:t>
      </w:r>
      <w:r>
        <w:rPr>
          <w:lang w:val="en-US"/>
        </w:rPr>
        <w:t xml:space="preserve">a </w:t>
      </w:r>
      <w:r>
        <w:rPr>
          <w:i w:val="false"/>
          <w:sz w:val="21"/>
          <w:lang w:val="en-US"/>
        </w:rPr>
        <w:t xml:space="preserve">specification-grade product is attainable but not that it is attainable as a byproduct of a plant </w:t>
      </w:r>
      <w:r>
        <w:rPr>
          <w:lang w:val="en-US"/>
        </w:rPr>
        <w:t>optimized</w:t>
      </w:r>
      <w:r>
        <w:rPr>
          <w:i w:val="false"/>
          <w:sz w:val="21"/>
          <w:lang w:val="en-US"/>
        </w:rPr>
        <w:t xml:space="preserve"> for water. Mineral carbonation has been proposed as the route to selective recovery [10], and magnesium recovery via CO2 mineralization has been demonstrated </w:t>
      </w:r>
      <w:r>
        <w:rPr>
          <w:lang w:val="en-US"/>
        </w:rPr>
        <w:t>when</w:t>
      </w:r>
      <w:r>
        <w:rPr>
          <w:i w:val="false"/>
          <w:sz w:val="21"/>
          <w:lang w:val="en-US"/>
        </w:rPr>
        <w:t xml:space="preserve"> carbon dioxide </w:t>
      </w:r>
      <w:r>
        <w:rPr>
          <w:lang w:val="en-US"/>
        </w:rPr>
        <w:t>supplies</w:t>
      </w:r>
      <w:r>
        <w:rPr>
          <w:i w:val="false"/>
          <w:sz w:val="21"/>
          <w:lang w:val="en-US"/>
        </w:rPr>
        <w:t xml:space="preserve"> carbonate [25]. This last result is directly relevant to the present architecture: it indicates that the carbonate source and the alkalinity source are design variables rather than fixed reagents, which is the observation Section 4.7 develops.</w:t>
      </w:r>
      <w:r>
        <w:rPr>
          <w:lang w:val="en-US"/>
        </w:rPr>
      </w:r>
      <w:r>
        <w:rPr>
          <w:i w:val="false"/>
          <w:sz w:val="21"/>
          <w:lang w:val="en-US"/>
        </w:rPr>
      </w:r>
    </w:p>
    <w:p>
      <w:pPr>
        <w:pStyle w:val="Normal"/>
        <w:spacing w:before="0" w:after="160"/>
        <w:ind w:firstLine="317"/>
        <w:rPr/>
      </w:pPr>
      <w:r>
        <w:rPr>
          <w:i w:val="false"/>
          <w:sz w:val="21"/>
          <w:lang w:val="en-US"/>
        </w:rPr>
        <w:t>Integration of these components has been attempted only in part. Energy recovery and subsurface intake are routinely combined because neither constrains the other. Brine concentration has been coupled to crystallization in MLD and ZLD studies [2,15]. Mineral recovery has been studied on brine streams</w:t>
      </w:r>
      <w:r>
        <w:rPr>
          <w:lang w:val="en-US"/>
        </w:rPr>
      </w:r>
      <w:r>
        <w:rPr>
          <w:i w:val="false"/>
          <w:sz w:val="21"/>
          <w:lang w:val="en-US"/>
        </w:rPr>
        <w:t xml:space="preserve"> in isolation from the </w:t>
      </w:r>
      <w:r>
        <w:rPr>
          <w:lang w:val="en-US"/>
        </w:rPr>
        <w:t>plants</w:t>
      </w:r>
      <w:r>
        <w:rPr>
          <w:i w:val="false"/>
          <w:sz w:val="21"/>
          <w:lang w:val="en-US"/>
        </w:rPr>
        <w:t xml:space="preserve"> that </w:t>
      </w:r>
      <w:r>
        <w:rPr>
          <w:lang w:val="en-US"/>
        </w:rPr>
        <w:t>produce</w:t>
      </w:r>
      <w:r>
        <w:rPr>
          <w:i w:val="false"/>
          <w:sz w:val="21"/>
          <w:lang w:val="en-US"/>
        </w:rPr>
        <w:t xml:space="preserve"> them [9,10,17]. </w:t>
      </w:r>
      <w:r>
        <w:rPr>
          <w:lang w:val="en-US"/>
        </w:rPr>
        <w:t>An</w:t>
      </w:r>
      <w:r>
        <w:rPr>
          <w:i w:val="false"/>
          <w:sz w:val="21"/>
          <w:lang w:val="en-US"/>
        </w:rPr>
        <w:t xml:space="preserve"> end-to-end assessment in which the intake, energy-recovery configuration, concentration, precipitation chemistry and crystallization load are solved on a single mass, salt, energy and carbon balance </w:t>
      </w:r>
      <w:r>
        <w:rPr>
          <w:lang w:val="en-US"/>
        </w:rPr>
        <w:t>has not been reported—nor one in which, critically, each stage is then tested against the physical bound it must respect.</w:t>
      </w:r>
      <w:r>
        <w:rPr>
          <w:i w:val="false"/>
          <w:sz w:val="21"/>
          <w:lang w:val="en-US"/>
        </w:rPr>
        <w:t xml:space="preserve"> </w:t>
      </w:r>
      <w:r>
        <w:rPr>
          <w:lang w:val="en-US"/>
        </w:rPr>
        <w:t>This</w:t>
      </w:r>
      <w:r>
        <w:rPr>
          <w:i w:val="false"/>
          <w:sz w:val="21"/>
          <w:lang w:val="en-US"/>
        </w:rPr>
        <w:t xml:space="preserve"> absence matters because the components interact: the concentrator sets the crystallizer feed salinity, the precipitation chemistry returns ions to the stream the concentrator has just stripped</w:t>
      </w:r>
      <w:r>
        <w:rPr>
          <w:lang w:val="en-US"/>
        </w:rPr>
      </w:r>
      <w:r>
        <w:rPr>
          <w:i w:val="false"/>
          <w:sz w:val="21"/>
          <w:lang w:val="en-US"/>
        </w:rPr>
      </w:r>
      <w:r>
        <w:rPr>
          <w:lang w:val="en-US"/>
        </w:rPr>
      </w:r>
      <w:r>
        <w:rPr>
          <w:i w:val="false"/>
          <w:sz w:val="21"/>
          <w:lang w:val="en-US"/>
        </w:rPr>
        <w:t>, and the reagents that drive the precipitation carry an embodied carbon burden that no stage-level analysis sees.</w:t>
      </w:r>
    </w:p>
    <w:p>
      <w:pPr>
        <w:pStyle w:val="Normal"/>
        <w:spacing w:before="0" w:after="160"/>
        <w:ind w:firstLine="317"/>
        <w:rPr/>
      </w:pPr>
      <w:r>
        <w:rPr>
          <w:i w:val="false"/>
          <w:sz w:val="21"/>
          <w:lang w:val="en-US"/>
        </w:rPr>
        <w:t xml:space="preserve">This study addresses that gap for one representative architecture, referred to here as ILEDBV (Integrated Low-Energy Desalination with Brine Valorization), </w:t>
      </w:r>
      <w:r>
        <w:rPr>
          <w:lang w:val="en-US"/>
        </w:rPr>
        <w:t>which combines</w:t>
      </w:r>
      <w:r>
        <w:rPr>
          <w:i w:val="false"/>
          <w:sz w:val="21"/>
          <w:lang w:val="en-US"/>
        </w:rPr>
        <w:t xml:space="preserve"> subsurface intake, isobaric pressure-exchanger energy recovery, membrane brine concentration, selective Ca/Mg precipitation and MVC crystallization. </w:t>
      </w:r>
      <w:r>
        <w:rPr>
          <w:lang w:val="en-US"/>
        </w:rPr>
        <w:t>Figure 1 is the author’s conceptual integration of these five published component technologies rather than a description of an existing installation, and is presented as such.</w:t>
      </w:r>
      <w:r>
        <w:rPr>
          <w:i w:val="false"/>
          <w:sz w:val="21"/>
          <w:lang w:val="en-US"/>
        </w:rPr>
      </w:r>
      <w:r>
        <w:rPr>
          <w:lang w:val="en-US"/>
        </w:rPr>
      </w:r>
      <w:r>
        <w:rPr>
          <w:i w:val="false"/>
          <w:sz w:val="21"/>
          <w:lang w:val="en-US"/>
        </w:rPr>
        <w:t xml:space="preserve"> The objective is not to advocate the architecture but to test it: each subsystem claim</w:t>
      </w:r>
      <w:r>
        <w:rPr>
          <w:lang w:val="en-US"/>
        </w:rPr>
      </w:r>
      <w:r>
        <w:rPr>
          <w:i w:val="false"/>
          <w:sz w:val="21"/>
          <w:lang w:val="en-US"/>
        </w:rPr>
        <w:t xml:space="preserve"> is checked against a thermodynamic or stoichiometric constraint rather than carried as an assumed value, and a claim is allowed to fail. Three questions are posed. What is the </w:t>
      </w:r>
      <w:r>
        <w:rPr>
          <w:lang w:val="en-US"/>
        </w:rPr>
        <w:t>modeled</w:t>
      </w:r>
      <w:r>
        <w:rPr>
          <w:i w:val="false"/>
          <w:sz w:val="21"/>
          <w:lang w:val="en-US"/>
        </w:rPr>
        <w:t xml:space="preserve"> specific energy requirement once each stage is held to its physical bound, and how does it decompose? What governs the recovery of minerals from the brine, given that the reagents required to precipitate them are themselves products of energy-intensive processes? </w:t>
      </w:r>
      <w:r>
        <w:rPr>
          <w:lang w:val="en-US"/>
        </w:rPr>
        <w:t>And under what combination of capital cost, electricity price</w:t>
      </w:r>
      <w:r>
        <w:rPr>
          <w:i w:val="false"/>
          <w:sz w:val="21"/>
          <w:lang w:val="en-US"/>
        </w:rPr>
        <w:t xml:space="preserve"> and </w:t>
      </w:r>
      <w:r>
        <w:rPr>
          <w:lang w:val="en-US"/>
        </w:rPr>
        <w:t>realizable mineral value, propagated probabilistically rather than varied one factor at a time, does the integrated architecture</w:t>
      </w:r>
      <w:r>
        <w:rPr>
          <w:i w:val="false"/>
          <w:sz w:val="21"/>
          <w:lang w:val="en-US"/>
        </w:rPr>
      </w:r>
      <w:r>
        <w:rPr>
          <w:lang w:val="en-US"/>
        </w:rPr>
      </w:r>
      <w:r>
        <w:rPr>
          <w:i w:val="false"/>
          <w:sz w:val="21"/>
          <w:lang w:val="en-US"/>
        </w:rPr>
      </w:r>
      <w:r>
        <w:rPr>
          <w:lang w:val="en-US"/>
        </w:rPr>
      </w:r>
      <w:r>
        <w:rPr>
          <w:i w:val="false"/>
          <w:sz w:val="21"/>
          <w:lang w:val="en-US"/>
        </w:rPr>
        <w:t xml:space="preserve"> outperform conventional SWRO? The answers are, respectively, that the energy advantage does not survive a modern comparator, that mineral recovery is limited by alkalinity rather than by mineral inventory at a cost of 10.0 kg CO2 per cubic meter of permeate, and that the economic case</w:t>
      </w:r>
      <w:r>
        <w:rPr>
          <w:lang w:val="en-US"/>
        </w:rPr>
      </w:r>
      <w:r>
        <w:rPr>
          <w:i w:val="false"/>
          <w:sz w:val="21"/>
          <w:lang w:val="en-US"/>
        </w:rPr>
        <w:t xml:space="preserve"> is close to evenly balanced.</w:t>
      </w:r>
    </w:p>
    <w:p>
      <w:pPr>
        <w:pStyle w:val="Normal"/>
        <w:spacing w:before="300" w:after="100"/>
        <w:rPr/>
      </w:pPr>
      <w:r>
        <w:rPr>
          <w:b/>
          <w:sz w:val="26"/>
          <w:lang w:val="en-US"/>
        </w:rPr>
        <w:t>2. Integrated process architecture</w:t>
      </w:r>
    </w:p>
    <w:p>
      <w:pPr>
        <w:pStyle w:val="Normal"/>
        <w:spacing w:before="0" w:after="160"/>
        <w:ind w:firstLine="317"/>
        <w:rPr/>
      </w:pPr>
      <w:r>
        <w:rPr>
          <w:i w:val="false"/>
          <w:sz w:val="21"/>
          <w:lang w:val="en-US"/>
        </w:rPr>
        <w:t>The architecture examined here, referred to as ILEDBV (Integrated Low-Energy Desalination with Brine Valorization), is shown in Figure 1 with stream-level mass, salinity and pressure labels for the baseline case (R = 45%, feed salinity 35 g/L). Figure 1 is the author’s conceptual integration of five separately published component technologies rather than a description of an existing installation.</w:t>
      </w:r>
    </w:p>
    <w:p>
      <w:pPr>
        <w:pStyle w:val="Normal"/>
        <w:spacing w:before="220" w:after="100"/>
        <w:rPr/>
      </w:pPr>
      <w:r>
        <w:rPr>
          <w:b/>
          <w:sz w:val="23"/>
          <w:lang w:val="en-US"/>
        </w:rPr>
        <w:t>2.1 System boundary</w:t>
      </w:r>
    </w:p>
    <w:p>
      <w:pPr>
        <w:pStyle w:val="Normal"/>
        <w:spacing w:before="0" w:after="160"/>
        <w:ind w:firstLine="317"/>
        <w:rPr/>
      </w:pPr>
      <w:r>
        <w:rPr>
          <w:i w:val="false"/>
          <w:sz w:val="21"/>
          <w:lang w:val="en-US"/>
        </w:rPr>
        <w:t xml:space="preserve">The boundary begins at raw seawater intake and ends at three outputs: potable permeate to municipal supply, solid Mg(OH)2 and CaCO3 products, and final crystallizer output. </w:t>
      </w:r>
      <w:r>
        <w:rPr>
          <w:lang w:val="en-US"/>
        </w:rPr>
        <w:t>Water</w:t>
      </w:r>
      <w:r>
        <w:rPr>
          <w:i w:val="false"/>
          <w:sz w:val="21"/>
          <w:lang w:val="en-US"/>
        </w:rPr>
        <w:t xml:space="preserve"> distribution, mineral transport and </w:t>
      </w:r>
      <w:r>
        <w:rPr>
          <w:lang w:val="en-US"/>
        </w:rPr>
        <w:t>refinement</w:t>
      </w:r>
      <w:r>
        <w:rPr>
          <w:i w:val="false"/>
          <w:sz w:val="21"/>
          <w:lang w:val="en-US"/>
        </w:rPr>
        <w:t xml:space="preserve"> beyond primary precipitation, and civil works</w:t>
      </w:r>
      <w:r>
        <w:rPr>
          <w:lang w:val="en-US"/>
        </w:rPr>
        <w:t xml:space="preserve"> are excluded</w:t>
      </w:r>
      <w:r>
        <w:rPr>
          <w:i w:val="false"/>
          <w:sz w:val="21"/>
          <w:lang w:val="en-US"/>
        </w:rPr>
        <w:t>. The revision adds one term inside the boundary that the original omitted: the embodied carbon and purchase cost of the precipitation reagents, which Section 4.7 shows to dominate both the carbon and the economic account.</w:t>
      </w:r>
    </w:p>
    <w:p>
      <w:pPr>
        <w:pStyle w:val="Normal"/>
        <w:spacing w:before="220" w:after="100"/>
        <w:rPr/>
      </w:pPr>
      <w:r>
        <w:rPr>
          <w:b/>
          <w:sz w:val="23"/>
          <w:lang w:val="en-US"/>
        </w:rPr>
        <w:t>2.2 Subsurface intake</w:t>
      </w:r>
    </w:p>
    <w:p>
      <w:pPr>
        <w:pStyle w:val="Normal"/>
        <w:spacing w:before="0" w:after="160"/>
        <w:ind w:firstLine="317"/>
        <w:rPr/>
      </w:pPr>
      <w:r>
        <w:rPr>
          <w:i w:val="false"/>
          <w:sz w:val="21"/>
          <w:lang w:val="en-US"/>
        </w:rPr>
        <w:t xml:space="preserve">Source water is drawn through a subsurface seabed or beach-well intake rather than an open-ocean pipe, reducing particulate and biological loading and hence pretreatment demand [21,7,1]. </w:t>
      </w:r>
      <w:r>
        <w:rPr>
          <w:lang w:val="en-US"/>
        </w:rPr>
        <w:t>The pretreatment</w:t>
      </w:r>
      <w:r>
        <w:rPr>
          <w:i w:val="false"/>
          <w:sz w:val="21"/>
          <w:lang w:val="en-US"/>
        </w:rPr>
        <w:t xml:space="preserve"> energy is swept across the full 0.</w:t>
      </w:r>
      <w:r>
        <w:rPr>
          <w:lang w:val="en-US"/>
        </w:rPr>
        <w:t>05–0</w:t>
      </w:r>
      <w:r>
        <w:rPr>
          <w:i w:val="false"/>
          <w:sz w:val="21"/>
          <w:lang w:val="en-US"/>
        </w:rPr>
        <w:t xml:space="preserve">.80 kWh m-3 range reported for intake configurations rather than fixed at a midpoint. The intake is not claimed to eliminate biofouling, and its performance is site dependent on </w:t>
      </w:r>
      <w:r>
        <w:rPr>
          <w:lang w:val="en-US"/>
        </w:rPr>
        <w:t xml:space="preserve">the </w:t>
      </w:r>
      <w:r>
        <w:rPr>
          <w:i w:val="false"/>
          <w:sz w:val="21"/>
          <w:lang w:val="en-US"/>
        </w:rPr>
        <w:t xml:space="preserve">seabed and aquifer hydraulic conductivity. A subsurface intake also removes the need for the vortex or hydrocyclone </w:t>
      </w:r>
      <w:r>
        <w:rPr>
          <w:lang w:val="en-US"/>
        </w:rPr>
        <w:t>preseparation</w:t>
      </w:r>
      <w:r>
        <w:rPr>
          <w:i w:val="false"/>
          <w:sz w:val="21"/>
          <w:lang w:val="en-US"/>
        </w:rPr>
        <w:t xml:space="preserve"> sometimes proposed ahead of </w:t>
      </w:r>
      <w:r>
        <w:rPr>
          <w:lang w:val="en-US"/>
        </w:rPr>
        <w:t xml:space="preserve">the </w:t>
      </w:r>
      <w:r>
        <w:rPr>
          <w:i w:val="false"/>
          <w:sz w:val="21"/>
          <w:lang w:val="en-US"/>
        </w:rPr>
        <w:t>SWRO: the seabed performs that duty, which is part of the rationale for choosing it.</w:t>
      </w:r>
    </w:p>
    <w:p>
      <w:pPr>
        <w:pStyle w:val="Normal"/>
        <w:spacing w:before="220" w:after="100"/>
        <w:rPr/>
      </w:pPr>
      <w:r>
        <w:rPr>
          <w:b/>
          <w:sz w:val="23"/>
          <w:lang w:val="en-US"/>
        </w:rPr>
        <w:t>2.3 SWRO, pressure exchanger, and product-water quality</w:t>
      </w:r>
    </w:p>
    <w:p>
      <w:pPr>
        <w:pStyle w:val="Normal"/>
        <w:spacing w:before="0" w:after="160"/>
        <w:ind w:firstLine="317"/>
        <w:rPr/>
      </w:pPr>
      <w:r>
        <w:rPr>
          <w:i w:val="false"/>
          <w:sz w:val="21"/>
          <w:lang w:val="en-US"/>
        </w:rPr>
        <w:t xml:space="preserve">The RO stage is </w:t>
      </w:r>
      <w:r>
        <w:rPr>
          <w:lang w:val="en-US"/>
        </w:rPr>
        <w:t>modeled</w:t>
      </w:r>
      <w:r>
        <w:rPr>
          <w:i w:val="false"/>
          <w:sz w:val="21"/>
          <w:lang w:val="en-US"/>
        </w:rPr>
        <w:t xml:space="preserve"> with an isobaric pressure exchanger </w:t>
      </w:r>
      <w:r>
        <w:rPr>
          <w:lang w:val="en-US"/>
        </w:rPr>
        <w:t>that recovers</w:t>
      </w:r>
      <w:r>
        <w:rPr>
          <w:i w:val="false"/>
          <w:sz w:val="21"/>
          <w:lang w:val="en-US"/>
        </w:rPr>
        <w:t xml:space="preserve"> energy from the reject brine (Sections 3.</w:t>
      </w:r>
      <w:r>
        <w:rPr>
          <w:lang w:val="en-US"/>
        </w:rPr>
        <w:t>4–3</w:t>
      </w:r>
      <w:r>
        <w:rPr>
          <w:i w:val="false"/>
          <w:sz w:val="21"/>
          <w:lang w:val="en-US"/>
        </w:rPr>
        <w:t xml:space="preserve">.5), with </w:t>
      </w:r>
      <w:r>
        <w:rPr>
          <w:lang w:val="en-US"/>
        </w:rPr>
        <w:t xml:space="preserve">the </w:t>
      </w:r>
      <w:r>
        <w:rPr>
          <w:i w:val="false"/>
          <w:sz w:val="21"/>
          <w:lang w:val="en-US"/>
        </w:rPr>
        <w:t xml:space="preserve">PX efficiency swept </w:t>
      </w:r>
      <w:r>
        <w:rPr>
          <w:lang w:val="en-US"/>
        </w:rPr>
        <w:t>90–98%</w:t>
      </w:r>
      <w:r>
        <w:rPr>
          <w:i w:val="false"/>
          <w:sz w:val="21"/>
          <w:lang w:val="en-US"/>
        </w:rPr>
        <w:t xml:space="preserve"> [23,11]. Reviewer comment on the original prompted an explicit treatment of product-water quality. At 45% recovery</w:t>
      </w:r>
      <w:r>
        <w:rPr>
          <w:lang w:val="en-US"/>
        </w:rPr>
        <w:t>,</w:t>
      </w:r>
      <w:r>
        <w:rPr>
          <w:i w:val="false"/>
          <w:sz w:val="21"/>
          <w:lang w:val="en-US"/>
        </w:rPr>
        <w:t xml:space="preserve"> the </w:t>
      </w:r>
      <w:r>
        <w:rPr>
          <w:lang w:val="en-US"/>
        </w:rPr>
        <w:t>modeled</w:t>
      </w:r>
      <w:r>
        <w:rPr>
          <w:i w:val="false"/>
          <w:sz w:val="21"/>
          <w:lang w:val="en-US"/>
        </w:rPr>
        <w:t xml:space="preserve"> first-pass permeate is approximately 250 mg L-1 TDS and 140 mg L-1 chloride, both </w:t>
      </w:r>
      <w:r>
        <w:rPr>
          <w:lang w:val="en-US"/>
        </w:rPr>
        <w:t xml:space="preserve">of which are </w:t>
      </w:r>
      <w:r>
        <w:rPr>
          <w:i w:val="false"/>
          <w:sz w:val="21"/>
          <w:lang w:val="en-US"/>
        </w:rPr>
        <w:t xml:space="preserve">comfortably within </w:t>
      </w:r>
      <w:r>
        <w:rPr>
          <w:lang w:val="en-US"/>
        </w:rPr>
        <w:t xml:space="preserve">the </w:t>
      </w:r>
      <w:r>
        <w:rPr>
          <w:i w:val="false"/>
          <w:sz w:val="21"/>
          <w:lang w:val="en-US"/>
        </w:rPr>
        <w:t xml:space="preserve">potable limits. Boron is the parameter that </w:t>
      </w:r>
      <w:r>
        <w:rPr>
          <w:lang w:val="en-US"/>
        </w:rPr>
        <w:t>determines</w:t>
      </w:r>
      <w:r>
        <w:rPr>
          <w:i w:val="false"/>
          <w:sz w:val="21"/>
          <w:lang w:val="en-US"/>
        </w:rPr>
        <w:t xml:space="preserve"> whether a second pass is needed because boric acid is largely </w:t>
      </w:r>
      <w:r>
        <w:rPr>
          <w:lang w:val="en-US"/>
        </w:rPr>
        <w:t>unionized</w:t>
      </w:r>
      <w:r>
        <w:rPr>
          <w:i w:val="false"/>
          <w:sz w:val="21"/>
          <w:lang w:val="en-US"/>
        </w:rPr>
        <w:t xml:space="preserve"> at seawater pH and is therefore poorly rejected.</w:t>
      </w:r>
    </w:p>
    <w:p>
      <w:pPr>
        <w:pStyle w:val="Normal"/>
        <w:spacing w:before="0" w:after="160"/>
        <w:ind w:firstLine="317"/>
        <w:rPr/>
      </w:pPr>
      <w:r>
        <w:rPr>
          <w:i w:val="false"/>
          <w:sz w:val="21"/>
          <w:lang w:val="en-US"/>
        </w:rPr>
        <w:t xml:space="preserve">Boron rejection is not a single number: it </w:t>
      </w:r>
      <w:r>
        <w:rPr>
          <w:lang w:val="en-US"/>
        </w:rPr>
        <w:t>decreases</w:t>
      </w:r>
      <w:r>
        <w:rPr>
          <w:i w:val="false"/>
          <w:sz w:val="21"/>
          <w:lang w:val="en-US"/>
        </w:rPr>
        <w:t xml:space="preserve"> as elements age and </w:t>
      </w:r>
      <w:r>
        <w:rPr>
          <w:lang w:val="en-US"/>
        </w:rPr>
        <w:t>increases</w:t>
      </w:r>
      <w:r>
        <w:rPr>
          <w:i w:val="false"/>
          <w:sz w:val="21"/>
          <w:lang w:val="en-US"/>
        </w:rPr>
        <w:t xml:space="preserve"> with temperature and pH. Across seawater boron </w:t>
      </w:r>
      <w:r>
        <w:rPr>
          <w:lang w:val="en-US"/>
        </w:rPr>
        <w:t xml:space="preserve">concentrations </w:t>
      </w:r>
      <w:r>
        <w:rPr>
          <w:i w:val="false"/>
          <w:sz w:val="21"/>
          <w:lang w:val="en-US"/>
        </w:rPr>
        <w:t>of 4.</w:t>
      </w:r>
      <w:r>
        <w:rPr>
          <w:lang w:val="en-US"/>
        </w:rPr>
        <w:t>6–5</w:t>
      </w:r>
      <w:r>
        <w:rPr>
          <w:i w:val="false"/>
          <w:sz w:val="21"/>
          <w:lang w:val="en-US"/>
        </w:rPr>
        <w:t xml:space="preserve">.5 mg L-1 and </w:t>
      </w:r>
      <w:r>
        <w:rPr>
          <w:lang w:val="en-US"/>
        </w:rPr>
        <w:t xml:space="preserve">a </w:t>
      </w:r>
      <w:r>
        <w:rPr>
          <w:i w:val="false"/>
          <w:sz w:val="21"/>
          <w:lang w:val="en-US"/>
        </w:rPr>
        <w:t xml:space="preserve">single-pass rejection of </w:t>
      </w:r>
      <w:r>
        <w:rPr>
          <w:lang w:val="en-US"/>
        </w:rPr>
        <w:t>72–88%, which spans</w:t>
      </w:r>
      <w:r>
        <w:rPr>
          <w:i w:val="false"/>
          <w:sz w:val="21"/>
          <w:lang w:val="en-US"/>
        </w:rPr>
        <w:t xml:space="preserve"> new elements in cool water to end-of-life elements at 32 </w:t>
      </w:r>
      <w:r>
        <w:rPr>
          <w:lang w:val="en-US"/>
        </w:rPr>
        <w:t>°C</w:t>
      </w:r>
      <w:r>
        <w:rPr>
          <w:i w:val="false"/>
          <w:sz w:val="21"/>
          <w:lang w:val="en-US"/>
        </w:rPr>
        <w:t xml:space="preserve">, </w:t>
      </w:r>
      <w:r>
        <w:rPr>
          <w:lang w:val="en-US"/>
        </w:rPr>
        <w:t xml:space="preserve">the </w:t>
      </w:r>
      <w:r>
        <w:rPr>
          <w:i w:val="false"/>
          <w:sz w:val="21"/>
          <w:lang w:val="en-US"/>
        </w:rPr>
        <w:t xml:space="preserve">first-pass permeate boron </w:t>
      </w:r>
      <w:r>
        <w:rPr>
          <w:lang w:val="en-US"/>
        </w:rPr>
        <w:t xml:space="preserve">concentration </w:t>
      </w:r>
      <w:r>
        <w:rPr>
          <w:i w:val="false"/>
          <w:sz w:val="21"/>
          <w:lang w:val="en-US"/>
        </w:rPr>
        <w:t>is 0.</w:t>
      </w:r>
      <w:r>
        <w:rPr>
          <w:lang w:val="en-US"/>
        </w:rPr>
        <w:t>55–1</w:t>
      </w:r>
      <w:r>
        <w:rPr>
          <w:i w:val="false"/>
          <w:sz w:val="21"/>
          <w:lang w:val="en-US"/>
        </w:rPr>
        <w:t xml:space="preserve">.54 mg L-1. That range complies with the WHO </w:t>
      </w:r>
      <w:r>
        <w:rPr>
          <w:lang w:val="en-US"/>
        </w:rPr>
        <w:t>guidelines</w:t>
      </w:r>
      <w:r>
        <w:rPr>
          <w:i w:val="false"/>
          <w:sz w:val="21"/>
          <w:lang w:val="en-US"/>
        </w:rPr>
        <w:t xml:space="preserve"> of 2.4 mg L-1 in every case and with the EU directive limit of 1.5 mg L-1 in all but the most severe case, but it straddles the 1.0 mg L-1 figure often written into municipal supply contracts and exceeds a 0.5 mg L-1 irrigation specification in every case.</w:t>
      </w:r>
    </w:p>
    <w:p>
      <w:pPr>
        <w:pStyle w:val="Normal"/>
        <w:spacing w:before="0" w:after="160"/>
        <w:ind w:firstLine="317"/>
        <w:rPr/>
      </w:pPr>
      <w:r>
        <w:rPr>
          <w:i w:val="false"/>
          <w:sz w:val="21"/>
          <w:lang w:val="en-US"/>
        </w:rPr>
        <w:t xml:space="preserve">The requirement for a second pass is therefore conditional rather than absolute, and we state it as such: it is not required to meet the WHO </w:t>
      </w:r>
      <w:r>
        <w:rPr>
          <w:lang w:val="en-US"/>
        </w:rPr>
        <w:t>guidelines;</w:t>
      </w:r>
      <w:r>
        <w:rPr>
          <w:i w:val="false"/>
          <w:sz w:val="21"/>
          <w:lang w:val="en-US"/>
        </w:rPr>
        <w:t xml:space="preserve"> it is required at end-of-life conditions against a 1.0 mg L-1 contract specification, and it is required in all cases where the product serves </w:t>
      </w:r>
      <w:r>
        <w:rPr>
          <w:lang w:val="en-US"/>
        </w:rPr>
        <w:t xml:space="preserve">the </w:t>
      </w:r>
      <w:r>
        <w:rPr>
          <w:i w:val="false"/>
          <w:sz w:val="21"/>
          <w:lang w:val="en-US"/>
        </w:rPr>
        <w:t xml:space="preserve">irrigation of boron-sensitive crops. </w:t>
      </w:r>
      <w:r>
        <w:rPr>
          <w:lang w:val="en-US"/>
        </w:rPr>
        <w:t>When</w:t>
      </w:r>
      <w:r>
        <w:rPr>
          <w:i w:val="false"/>
          <w:sz w:val="21"/>
          <w:lang w:val="en-US"/>
        </w:rPr>
        <w:t xml:space="preserve"> fitted, a partial second pass at elevated pH treating 35–100% of the permeate adds</w:t>
      </w:r>
      <w:r>
        <w:rPr>
          <w:lang w:val="en-US"/>
        </w:rPr>
      </w:r>
      <w:r>
        <w:rPr>
          <w:i w:val="false"/>
          <w:sz w:val="21"/>
          <w:lang w:val="en-US"/>
        </w:rPr>
      </w:r>
      <w:r>
        <w:rPr>
          <w:lang w:val="en-US"/>
        </w:rPr>
      </w:r>
      <w:r>
        <w:rPr>
          <w:i w:val="false"/>
          <w:sz w:val="21"/>
          <w:lang w:val="en-US"/>
        </w:rPr>
        <w:t xml:space="preserve"> 0.</w:t>
      </w:r>
      <w:r>
        <w:rPr>
          <w:lang w:val="en-US"/>
        </w:rPr>
        <w:t>16–0</w:t>
      </w:r>
      <w:r>
        <w:rPr>
          <w:i w:val="false"/>
          <w:sz w:val="21"/>
          <w:lang w:val="en-US"/>
        </w:rPr>
        <w:t>.46 kWh m-3 and brings boron to 0.03–0.15 mg L-1 from the worst first-pass case</w:t>
      </w:r>
      <w:r>
        <w:rPr>
          <w:lang w:val="en-US"/>
        </w:rPr>
      </w:r>
      <w:r>
        <w:rPr>
          <w:i w:val="false"/>
          <w:sz w:val="21"/>
          <w:lang w:val="en-US"/>
        </w:rPr>
      </w:r>
      <w:r>
        <w:rPr>
          <w:lang w:val="en-US"/>
        </w:rPr>
      </w:r>
      <w:r>
        <w:rPr>
          <w:i w:val="false"/>
          <w:sz w:val="21"/>
          <w:lang w:val="en-US"/>
        </w:rPr>
      </w:r>
      <w:r>
        <w:rPr>
          <w:lang w:val="en-US"/>
        </w:rPr>
      </w:r>
      <w:r>
        <w:rPr>
          <w:i w:val="false"/>
          <w:sz w:val="21"/>
          <w:lang w:val="en-US"/>
        </w:rPr>
        <w:t>, which satisfies every specification considered. The energy comparison in Section 5.1 is reported both with and without it so that the conclusion does not depend on which specification a given project faces.</w:t>
      </w:r>
    </w:p>
    <w:p>
      <w:pPr>
        <w:pStyle w:val="Normal"/>
        <w:spacing w:before="0" w:after="160"/>
        <w:ind w:firstLine="317"/>
        <w:rPr/>
      </w:pPr>
      <w:r>
        <w:rPr>
          <w:i w:val="false"/>
          <w:sz w:val="21"/>
          <w:lang w:val="en-US"/>
        </w:rPr>
        <w:t xml:space="preserve">A gravity-fed second pass, </w:t>
      </w:r>
      <w:r>
        <w:rPr>
          <w:lang w:val="en-US"/>
        </w:rPr>
        <w:t>drawn</w:t>
      </w:r>
      <w:r>
        <w:rPr>
          <w:i w:val="false"/>
          <w:sz w:val="21"/>
          <w:lang w:val="en-US"/>
        </w:rPr>
        <w:t xml:space="preserve"> on an elevated cistern rather than a booster pump, was considered and rejected on hydraulic grounds. A 12 bar feed requires 122 m of static head; no coastal municipal site offers it, and the structure required would cost more than the pump it replaces.</w:t>
      </w:r>
    </w:p>
    <w:p>
      <w:pPr>
        <w:pStyle w:val="Normal"/>
        <w:spacing w:before="220" w:after="100"/>
        <w:rPr/>
      </w:pPr>
      <w:r>
        <w:rPr>
          <w:b/>
          <w:sz w:val="23"/>
          <w:lang w:val="en-US"/>
        </w:rPr>
        <w:t>2.4  Brine concentration</w:t>
      </w:r>
    </w:p>
    <w:p>
      <w:pPr>
        <w:pStyle w:val="Normal"/>
        <w:spacing w:before="0" w:after="160"/>
        <w:ind w:firstLine="317"/>
        <w:rPr/>
      </w:pPr>
      <w:r>
        <w:rPr>
          <w:i w:val="false"/>
          <w:sz w:val="21"/>
          <w:lang w:val="en-US"/>
        </w:rPr>
        <w:t>The RO concentrate is routed to a high-pressure, low-salt-rejection membrane stage</w:t>
      </w:r>
      <w:r>
        <w:rPr>
          <w:lang w:val="en-US"/>
        </w:rPr>
        <w:t>,</w:t>
      </w:r>
      <w:r>
        <w:rPr>
          <w:i w:val="false"/>
          <w:sz w:val="21"/>
          <w:lang w:val="en-US"/>
        </w:rPr>
        <w:t xml:space="preserve"> recovering an additional 50% of its water. The original described this stage as nanofiltration. That label is withdrawn: at the rejections assumed (90% monovalent, 98% divalent) and the pressures implied by the feed osmotic pressure, the stage is a high-pressure RO stage. A genuine NF</w:t>
      </w:r>
      <w:r>
        <w:rPr>
          <w:lang w:val="en-US"/>
        </w:rPr>
        <w:t>, which would reject</w:t>
      </w:r>
      <w:r>
        <w:rPr>
          <w:i w:val="false"/>
          <w:sz w:val="21"/>
          <w:lang w:val="en-US"/>
        </w:rPr>
        <w:t xml:space="preserve"> perhaps 30% of </w:t>
      </w:r>
      <w:r>
        <w:rPr>
          <w:lang w:val="en-US"/>
        </w:rPr>
        <w:t xml:space="preserve">the </w:t>
      </w:r>
      <w:r>
        <w:rPr>
          <w:i w:val="false"/>
          <w:sz w:val="21"/>
          <w:lang w:val="en-US"/>
        </w:rPr>
        <w:t>monovalent salt, would give a crystallizer feed of 91.3 g L-1 rather than 124.8 g L-1 and a materially different downstream duty.</w:t>
      </w:r>
    </w:p>
    <w:p>
      <w:pPr>
        <w:pStyle w:val="Normal"/>
        <w:spacing w:before="220" w:after="100"/>
        <w:rPr/>
      </w:pPr>
      <w:r>
        <w:rPr>
          <w:b/>
          <w:sz w:val="23"/>
          <w:lang w:val="en-US"/>
        </w:rPr>
        <w:t>2.5 Mineral recovery and crystallization</w:t>
      </w:r>
    </w:p>
    <w:p>
      <w:pPr>
        <w:pStyle w:val="Normal"/>
        <w:spacing w:before="0" w:after="160"/>
        <w:ind w:firstLine="317"/>
        <w:rPr/>
      </w:pPr>
      <w:r>
        <w:rPr>
          <w:i w:val="false"/>
          <w:sz w:val="21"/>
          <w:lang w:val="en-US"/>
        </w:rPr>
        <w:t xml:space="preserve">The concentrated brine undergoes selective precipitation, </w:t>
      </w:r>
      <w:r>
        <w:rPr>
          <w:lang w:val="en-US"/>
        </w:rPr>
        <w:t xml:space="preserve">with </w:t>
      </w:r>
      <w:r>
        <w:rPr>
          <w:i w:val="false"/>
          <w:sz w:val="21"/>
          <w:lang w:val="en-US"/>
        </w:rPr>
        <w:t>calcium as CaCO3 by soda-ash dosing followed by magnesium as Mg(OH)2 by lime dosing, with the design basis given in Table 4. The residue is routed to a mechanical vapor compression crystallizer</w:t>
      </w:r>
      <w:r>
        <w:rPr>
          <w:lang w:val="en-US"/>
        </w:rPr>
        <w:t>, which consumes 8–15</w:t>
      </w:r>
      <w:r>
        <w:rPr>
          <w:i w:val="false"/>
          <w:sz w:val="21"/>
          <w:lang w:val="en-US"/>
        </w:rPr>
        <w:t xml:space="preserve"> kWh m-3 of electrical energy per cubic meter of crystallizer feed [20]. The stage is described throughout as ZLD-capable, by which we mean only that the configuration contains no designed liquid discharge stream, not that zero discharge has been demonstrated. The residual liquid fraction is a </w:t>
      </w:r>
      <w:r>
        <w:rPr>
          <w:lang w:val="en-US"/>
        </w:rPr>
        <w:t>modeled</w:t>
      </w:r>
      <w:r>
        <w:rPr>
          <w:i w:val="false"/>
          <w:sz w:val="21"/>
          <w:lang w:val="en-US"/>
        </w:rPr>
        <w:t xml:space="preserve"> quantity without pilot validation, and real leakage, blowdown and operational upsets would raise it.</w:t>
      </w:r>
      <w:r>
        <w:rPr>
          <w:lang w:val="en-US"/>
        </w:rPr>
      </w:r>
      <w:r>
        <w:rPr>
          <w:i w:val="false"/>
          <w:sz w:val="21"/>
          <w:lang w:val="en-US"/>
        </w:rPr>
        <w:t xml:space="preserve"> No claim of achieved zero liquid discharge is made anywhere in this work.</w:t>
      </w:r>
    </w:p>
    <w:p>
      <w:pPr>
        <w:pStyle w:val="Normal"/>
        <w:spacing w:before="300" w:after="100"/>
        <w:rPr/>
      </w:pPr>
      <w:r>
        <w:rPr>
          <w:b/>
          <w:sz w:val="26"/>
          <w:lang w:val="en-US"/>
        </w:rPr>
        <w:t>3. Mathematical model</w:t>
      </w:r>
    </w:p>
    <w:p>
      <w:pPr>
        <w:pStyle w:val="Normal"/>
        <w:spacing w:before="0" w:after="160"/>
        <w:ind w:firstLine="317"/>
        <w:rPr/>
      </w:pPr>
      <w:r>
        <w:rPr>
          <w:i w:val="false"/>
          <w:sz w:val="21"/>
          <w:lang w:val="en-US"/>
        </w:rPr>
        <w:t>Symbols are defined in the Nomenclature. The solution procedure is sequential: Eqs. (1)</w:t>
      </w:r>
      <w:r>
        <w:rPr>
          <w:lang w:val="en-US"/>
        </w:rPr>
        <w:t>–</w:t>
      </w:r>
      <w:r>
        <w:rPr>
          <w:i w:val="false"/>
          <w:sz w:val="21"/>
          <w:lang w:val="en-US"/>
        </w:rPr>
        <w:t>(3) close the water and per-ion salt balance for each membrane stage in turn; Eqs. (4)</w:t>
      </w:r>
      <w:r>
        <w:rPr>
          <w:lang w:val="en-US"/>
        </w:rPr>
        <w:t>–</w:t>
      </w:r>
      <w:r>
        <w:rPr>
          <w:i w:val="false"/>
          <w:sz w:val="21"/>
          <w:lang w:val="en-US"/>
        </w:rPr>
        <w:t>(5) give the osmotic pressure of each stream; Eqs. (6)</w:t>
      </w:r>
      <w:r>
        <w:rPr>
          <w:lang w:val="en-US"/>
        </w:rPr>
        <w:t>–</w:t>
      </w:r>
      <w:r>
        <w:rPr>
          <w:i w:val="false"/>
          <w:sz w:val="21"/>
          <w:lang w:val="en-US"/>
        </w:rPr>
        <w:t>(7) give the RO stage energy; Eqs. (8)</w:t>
      </w:r>
      <w:r>
        <w:rPr>
          <w:lang w:val="en-US"/>
        </w:rPr>
        <w:t>–</w:t>
      </w:r>
      <w:r>
        <w:rPr>
          <w:i w:val="false"/>
          <w:sz w:val="21"/>
          <w:lang w:val="en-US"/>
        </w:rPr>
        <w:t>(9) bound the concentrator energy; Eqs. (10)</w:t>
      </w:r>
      <w:r>
        <w:rPr>
          <w:lang w:val="en-US"/>
        </w:rPr>
        <w:t>–</w:t>
      </w:r>
      <w:r>
        <w:rPr>
          <w:i w:val="false"/>
          <w:sz w:val="21"/>
          <w:lang w:val="en-US"/>
        </w:rPr>
        <w:t>(12) give the mineral masses and the alkalinity they require; and Eq. (13) gives the levelized cost. No stage is solved before its feed is known</w:t>
      </w:r>
      <w:r>
        <w:rPr>
          <w:lang w:val="en-US"/>
        </w:rPr>
        <w:t>; thus</w:t>
      </w:r>
      <w:r>
        <w:rPr>
          <w:i w:val="false"/>
          <w:sz w:val="21"/>
          <w:lang w:val="en-US"/>
        </w:rPr>
        <w:t>, the procedure requires no iteration.</w:t>
      </w:r>
    </w:p>
    <w:p>
      <w:pPr>
        <w:pStyle w:val="Normal"/>
        <w:spacing w:before="80" w:after="120"/>
        <w:jc w:val="center"/>
        <w:rPr/>
      </w:pPr>
      <w:r>
        <w:rPr>
          <w:i/>
          <w:sz w:val="21"/>
          <w:lang w:val="en-US"/>
        </w:rPr>
        <w:t>Q_p = R Q_f;   Q_b = Q_f - Q_p          (1)</w:t>
      </w:r>
    </w:p>
    <w:p>
      <w:pPr>
        <w:pStyle w:val="Normal"/>
        <w:spacing w:before="0" w:after="40"/>
        <w:rPr/>
      </w:pPr>
      <w:r>
        <w:rPr>
          <w:i/>
          <w:sz w:val="18"/>
          <w:lang w:val="en-US"/>
        </w:rPr>
        <w:t xml:space="preserve">      </w:t>
      </w:r>
      <w:r>
        <w:rPr>
          <w:i/>
          <w:sz w:val="18"/>
          <w:lang w:val="en-US"/>
        </w:rPr>
        <w:t>stage water balance</w:t>
      </w:r>
    </w:p>
    <w:p>
      <w:pPr>
        <w:pStyle w:val="Normal"/>
        <w:spacing w:before="80" w:after="120"/>
        <w:jc w:val="center"/>
        <w:rPr/>
      </w:pPr>
      <w:r>
        <w:rPr>
          <w:i/>
          <w:sz w:val="21"/>
          <w:lang w:val="en-US"/>
        </w:rPr>
        <w:t>C_p,i = C_f,i (1 - r_i)          (2)</w:t>
      </w:r>
    </w:p>
    <w:p>
      <w:pPr>
        <w:pStyle w:val="Normal"/>
        <w:spacing w:before="0" w:after="40"/>
        <w:rPr/>
      </w:pPr>
      <w:r>
        <w:rPr>
          <w:i/>
          <w:sz w:val="18"/>
          <w:lang w:val="en-US"/>
        </w:rPr>
        <w:t xml:space="preserve">      </w:t>
      </w:r>
      <w:r>
        <w:rPr>
          <w:i/>
          <w:sz w:val="18"/>
          <w:lang w:val="en-US"/>
        </w:rPr>
        <w:t>per-ion permeate concentration</w:t>
      </w:r>
    </w:p>
    <w:p>
      <w:pPr>
        <w:pStyle w:val="Normal"/>
        <w:spacing w:before="80" w:after="120"/>
        <w:jc w:val="center"/>
        <w:rPr/>
      </w:pPr>
      <w:r>
        <w:rPr>
          <w:i/>
          <w:sz w:val="21"/>
          <w:lang w:val="en-US"/>
        </w:rPr>
        <w:t>C_b,i = (Q_f C_f,i - Q_p C_p,i)/Q_b          (3)</w:t>
      </w:r>
    </w:p>
    <w:p>
      <w:pPr>
        <w:pStyle w:val="Normal"/>
        <w:spacing w:before="0" w:after="40"/>
        <w:rPr/>
      </w:pPr>
      <w:r>
        <w:rPr>
          <w:i/>
          <w:sz w:val="18"/>
          <w:lang w:val="en-US"/>
        </w:rPr>
        <w:t xml:space="preserve">      </w:t>
      </w:r>
      <w:r>
        <w:rPr>
          <w:i/>
          <w:sz w:val="18"/>
          <w:lang w:val="en-US"/>
        </w:rPr>
        <w:t>per-ion salt balance</w:t>
      </w:r>
    </w:p>
    <w:p>
      <w:pPr>
        <w:pStyle w:val="Normal"/>
        <w:spacing w:before="80" w:after="120"/>
        <w:jc w:val="center"/>
        <w:rPr/>
      </w:pPr>
      <w:r>
        <w:rPr>
          <w:i/>
          <w:sz w:val="21"/>
          <w:lang w:val="en-US"/>
        </w:rPr>
        <w:t>pi = 27 (TDS/35)          (4)</w:t>
      </w:r>
    </w:p>
    <w:p>
      <w:pPr>
        <w:pStyle w:val="Normal"/>
        <w:spacing w:before="0" w:after="40"/>
        <w:rPr/>
      </w:pPr>
      <w:r>
        <w:rPr>
          <w:i/>
          <w:sz w:val="18"/>
          <w:lang w:val="en-US"/>
        </w:rPr>
        <w:t xml:space="preserve">      </w:t>
      </w:r>
      <w:r>
        <w:rPr>
          <w:i/>
          <w:sz w:val="18"/>
          <w:lang w:val="en-US"/>
        </w:rPr>
        <w:t>linear osmotic model, calibrated at seawater</w:t>
      </w:r>
    </w:p>
    <w:p>
      <w:pPr>
        <w:pStyle w:val="Normal"/>
        <w:spacing w:before="80" w:after="120"/>
        <w:jc w:val="center"/>
        <w:rPr/>
      </w:pPr>
      <w:r>
        <w:rPr>
          <w:i/>
          <w:sz w:val="21"/>
          <w:lang w:val="en-US"/>
        </w:rPr>
        <w:t>pi = phi(S) x 27 (TDS/35)          (5)</w:t>
      </w:r>
    </w:p>
    <w:p>
      <w:pPr>
        <w:pStyle w:val="Normal"/>
        <w:spacing w:before="0" w:after="40"/>
        <w:rPr/>
      </w:pPr>
      <w:r>
        <w:rPr>
          <w:i/>
          <w:sz w:val="18"/>
          <w:lang w:val="en-US"/>
        </w:rPr>
        <w:t xml:space="preserve">      </w:t>
      </w:r>
      <w:r>
        <w:rPr>
          <w:i/>
          <w:sz w:val="18"/>
          <w:lang w:val="en-US"/>
        </w:rPr>
        <w:t>osmotic-coefficient-corrected form</w:t>
      </w:r>
    </w:p>
    <w:p>
      <w:pPr>
        <w:pStyle w:val="Normal"/>
        <w:spacing w:before="80" w:after="120"/>
        <w:jc w:val="center"/>
        <w:rPr/>
      </w:pPr>
      <w:r>
        <w:rPr>
          <w:i/>
          <w:sz w:val="21"/>
          <w:lang w:val="en-US"/>
        </w:rPr>
        <w:t>P_f = beta pi_b + NDP          (6)</w:t>
      </w:r>
    </w:p>
    <w:p>
      <w:pPr>
        <w:pStyle w:val="Normal"/>
        <w:spacing w:before="0" w:after="40"/>
        <w:rPr/>
      </w:pPr>
      <w:r>
        <w:rPr>
          <w:i/>
          <w:sz w:val="18"/>
          <w:lang w:val="en-US"/>
        </w:rPr>
        <w:t xml:space="preserve">      </w:t>
      </w:r>
      <w:r>
        <w:rPr>
          <w:i/>
          <w:sz w:val="18"/>
          <w:lang w:val="en-US"/>
        </w:rPr>
        <w:t>applied pressure including polarization</w:t>
      </w:r>
    </w:p>
    <w:p>
      <w:pPr>
        <w:pStyle w:val="Normal"/>
        <w:spacing w:before="80" w:after="120"/>
        <w:jc w:val="center"/>
        <w:rPr/>
      </w:pPr>
      <w:r>
        <w:rPr>
          <w:i/>
          <w:sz w:val="21"/>
          <w:lang w:val="en-US"/>
        </w:rPr>
        <w:t>SEC_RO = [P_f Q_f/eta_pump - eta_PX P_f Q_b]/Q_p          (7)</w:t>
      </w:r>
    </w:p>
    <w:p>
      <w:pPr>
        <w:pStyle w:val="Normal"/>
        <w:spacing w:before="0" w:after="40"/>
        <w:rPr/>
      </w:pPr>
      <w:r>
        <w:rPr>
          <w:i/>
          <w:sz w:val="18"/>
          <w:lang w:val="en-US"/>
        </w:rPr>
        <w:t xml:space="preserve">      </w:t>
      </w:r>
      <w:r>
        <w:rPr>
          <w:i/>
          <w:sz w:val="18"/>
          <w:lang w:val="en-US"/>
        </w:rPr>
        <w:t>RO stage with isobaric recovery</w:t>
      </w:r>
    </w:p>
    <w:p>
      <w:pPr>
        <w:pStyle w:val="Normal"/>
        <w:spacing w:before="80" w:after="120"/>
        <w:jc w:val="center"/>
        <w:rPr/>
      </w:pPr>
      <w:r>
        <w:rPr>
          <w:i/>
          <w:sz w:val="21"/>
          <w:lang w:val="en-US"/>
        </w:rPr>
        <w:t>w_min = pi_f ln[1/(1 - R)]          (8)</w:t>
      </w:r>
    </w:p>
    <w:p>
      <w:pPr>
        <w:pStyle w:val="Normal"/>
        <w:spacing w:before="0" w:after="40"/>
        <w:rPr/>
      </w:pPr>
      <w:r>
        <w:rPr>
          <w:i/>
          <w:sz w:val="18"/>
          <w:lang w:val="en-US"/>
        </w:rPr>
        <w:t xml:space="preserve">      </w:t>
      </w:r>
      <w:r>
        <w:rPr>
          <w:i/>
          <w:sz w:val="18"/>
          <w:lang w:val="en-US"/>
        </w:rPr>
        <w:t>reversible minimum work of separation under the stated idealized assumptions, per m3 of FEED to the stage</w:t>
      </w:r>
    </w:p>
    <w:p>
      <w:pPr>
        <w:pStyle w:val="Normal"/>
        <w:spacing w:before="80" w:after="120"/>
        <w:jc w:val="center"/>
        <w:rPr/>
      </w:pPr>
      <w:r>
        <w:rPr>
          <w:i/>
          <w:sz w:val="21"/>
          <w:lang w:val="en-US"/>
        </w:rPr>
        <w:t>SEC_stage = w_min/eta_II          (9)</w:t>
      </w:r>
    </w:p>
    <w:p>
      <w:pPr>
        <w:pStyle w:val="Normal"/>
        <w:spacing w:before="0" w:after="40"/>
        <w:rPr/>
      </w:pPr>
      <w:r>
        <w:rPr>
          <w:i/>
          <w:sz w:val="18"/>
          <w:lang w:val="en-US"/>
        </w:rPr>
        <w:t xml:space="preserve">      </w:t>
      </w:r>
      <w:r>
        <w:rPr>
          <w:i/>
          <w:sz w:val="18"/>
          <w:lang w:val="en-US"/>
        </w:rPr>
        <w:t>actual stage energy from the reversible bound</w:t>
      </w:r>
    </w:p>
    <w:p>
      <w:pPr>
        <w:pStyle w:val="Normal"/>
        <w:spacing w:before="80" w:after="120"/>
        <w:jc w:val="center"/>
        <w:rPr/>
      </w:pPr>
      <w:r>
        <w:rPr>
          <w:i/>
          <w:sz w:val="21"/>
          <w:lang w:val="en-US"/>
        </w:rPr>
        <w:t>m_CaCO3 = C_Ca Q_c Y_Ca (M_CaCO3/M_Ca)          (10)</w:t>
      </w:r>
    </w:p>
    <w:p>
      <w:pPr>
        <w:pStyle w:val="Normal"/>
        <w:spacing w:before="0" w:after="40"/>
        <w:rPr/>
      </w:pPr>
      <w:r>
        <w:rPr>
          <w:i/>
          <w:sz w:val="18"/>
          <w:lang w:val="en-US"/>
        </w:rPr>
        <w:t xml:space="preserve">      </w:t>
      </w:r>
      <w:r>
        <w:rPr>
          <w:i/>
          <w:sz w:val="18"/>
          <w:lang w:val="en-US"/>
        </w:rPr>
        <w:t>carbonate product mass</w:t>
      </w:r>
    </w:p>
    <w:p>
      <w:pPr>
        <w:pStyle w:val="Normal"/>
        <w:spacing w:before="80" w:after="120"/>
        <w:jc w:val="center"/>
        <w:rPr/>
      </w:pPr>
      <w:r>
        <w:rPr>
          <w:i/>
          <w:sz w:val="21"/>
          <w:lang w:val="en-US"/>
        </w:rPr>
        <w:t>m_MgOH2 = C_Mg Q_c Y_Mg (M_MgOH2/M_Mg)          (11)</w:t>
      </w:r>
    </w:p>
    <w:p>
      <w:pPr>
        <w:pStyle w:val="Normal"/>
        <w:spacing w:before="0" w:after="40"/>
        <w:rPr/>
      </w:pPr>
      <w:r>
        <w:rPr>
          <w:i/>
          <w:sz w:val="18"/>
          <w:lang w:val="en-US"/>
        </w:rPr>
        <w:t xml:space="preserve">      </w:t>
      </w:r>
      <w:r>
        <w:rPr>
          <w:i/>
          <w:sz w:val="18"/>
          <w:lang w:val="en-US"/>
        </w:rPr>
        <w:t>hydroxide product mass</w:t>
      </w:r>
    </w:p>
    <w:p>
      <w:pPr>
        <w:pStyle w:val="Normal"/>
        <w:spacing w:before="80" w:after="120"/>
        <w:jc w:val="center"/>
        <w:rPr/>
      </w:pPr>
      <w:r>
        <w:rPr>
          <w:i/>
          <w:sz w:val="21"/>
          <w:lang w:val="en-US"/>
        </w:rPr>
        <w:t>n_base = 2 n_Mg + 2 n_Ca          (12)</w:t>
      </w:r>
    </w:p>
    <w:p>
      <w:pPr>
        <w:pStyle w:val="Normal"/>
        <w:spacing w:before="0" w:after="40"/>
        <w:rPr/>
      </w:pPr>
      <w:r>
        <w:rPr>
          <w:i/>
          <w:sz w:val="18"/>
          <w:lang w:val="en-US"/>
        </w:rPr>
        <w:t xml:space="preserve">      </w:t>
      </w:r>
      <w:r>
        <w:rPr>
          <w:i/>
          <w:sz w:val="18"/>
          <w:lang w:val="en-US"/>
        </w:rPr>
        <w:t>alkalinity demand, equivalents</w:t>
      </w:r>
    </w:p>
    <w:p>
      <w:pPr>
        <w:pStyle w:val="Normal"/>
        <w:spacing w:before="80" w:after="120"/>
        <w:jc w:val="center"/>
        <w:rPr/>
      </w:pPr>
      <w:r>
        <w:rPr>
          <w:i/>
          <w:sz w:val="21"/>
          <w:lang w:val="en-US"/>
        </w:rPr>
        <w:t>LCOW = (CAPEX CRF + OPEX)/V_annual - R_minerals/V_annual          (13)</w:t>
      </w:r>
    </w:p>
    <w:p>
      <w:pPr>
        <w:pStyle w:val="Normal"/>
        <w:spacing w:before="0" w:after="40"/>
        <w:rPr/>
      </w:pPr>
      <w:r>
        <w:rPr>
          <w:i/>
          <w:sz w:val="18"/>
          <w:lang w:val="en-US"/>
        </w:rPr>
        <w:t xml:space="preserve">      </w:t>
      </w:r>
      <w:r>
        <w:rPr>
          <w:i/>
          <w:sz w:val="18"/>
          <w:lang w:val="en-US"/>
        </w:rPr>
        <w:t>levelized cost</w:t>
      </w:r>
    </w:p>
    <w:p>
      <w:pPr>
        <w:pStyle w:val="Normal"/>
        <w:spacing w:before="0" w:after="160"/>
        <w:ind w:firstLine="317"/>
        <w:rPr/>
      </w:pPr>
      <w:r>
        <w:rPr>
          <w:i w:val="false"/>
          <w:sz w:val="21"/>
          <w:lang w:val="en-US"/>
        </w:rPr>
        <w:t xml:space="preserve">Equation (8) is obtained as follows. Removing a differential volume dx of pure water from </w:t>
      </w:r>
      <w:r>
        <w:rPr>
          <w:lang w:val="en-US"/>
        </w:rPr>
        <w:t xml:space="preserve">the </w:t>
      </w:r>
      <w:r>
        <w:rPr>
          <w:i w:val="false"/>
          <w:sz w:val="21"/>
          <w:lang w:val="en-US"/>
        </w:rPr>
        <w:t xml:space="preserve">unit feed volume leaves the retained salt in a smaller volume, so the concentrate osmotic pressure </w:t>
      </w:r>
      <w:r>
        <w:rPr>
          <w:lang w:val="en-US"/>
        </w:rPr>
        <w:t>increases</w:t>
      </w:r>
      <w:r>
        <w:rPr>
          <w:i w:val="false"/>
          <w:sz w:val="21"/>
          <w:lang w:val="en-US"/>
        </w:rPr>
        <w:t xml:space="preserve"> as pi(x) = pi_f/(1 - x) under the van’t Hoff proportionality and complete salt retention. The reversible work is the integral of that rising pressure over the extracted volume, and integrating from 0 to the stage recovery R gives Eq. (8). Three assumptions are embedded and are stated rather than left implicit: complete salt rejection, an infinitely staged or continuously </w:t>
      </w:r>
      <w:r>
        <w:rPr>
          <w:lang w:val="en-US"/>
        </w:rPr>
        <w:t>counterbalanced</w:t>
      </w:r>
      <w:r>
        <w:rPr>
          <w:i w:val="false"/>
          <w:sz w:val="21"/>
          <w:lang w:val="en-US"/>
        </w:rPr>
        <w:t xml:space="preserve"> process so that the applied pressure never exceeds the local osmotic pressure, and negligible concentration polarization. Each makes the bound looser, so a real stage must exceed it. The result is expressed per cubic meter of FEED to the stage, which for the brine concentrator is per cubic meter of brine </w:t>
      </w:r>
      <w:r>
        <w:rPr>
          <w:lang w:val="en-US"/>
        </w:rPr>
        <w:t>processed—the</w:t>
      </w:r>
      <w:r>
        <w:rPr>
          <w:i w:val="false"/>
          <w:sz w:val="21"/>
          <w:lang w:val="en-US"/>
        </w:rPr>
        <w:t xml:space="preserve"> same basis on which the original energy assumption was quoted, so the two are directly comparable.</w:t>
      </w:r>
    </w:p>
    <w:p>
      <w:pPr>
        <w:pStyle w:val="Normal"/>
        <w:spacing w:before="0" w:after="160"/>
        <w:ind w:firstLine="317"/>
        <w:rPr/>
      </w:pPr>
      <w:r>
        <w:rPr>
          <w:i w:val="false"/>
          <w:sz w:val="21"/>
          <w:lang w:val="en-US"/>
        </w:rPr>
        <w:t xml:space="preserve">Because phi(S) in Eq. (5) is carried as a bounded sensitivity rather than a locked correlation, the specific energy figures reported here are model estimates rather than final values. Section 4.5 shows the residual uncertainty from this source to be under 2% of </w:t>
      </w:r>
      <w:r>
        <w:rPr>
          <w:lang w:val="en-US"/>
        </w:rPr>
        <w:t xml:space="preserve">the </w:t>
      </w:r>
      <w:r>
        <w:rPr>
          <w:i w:val="false"/>
          <w:sz w:val="21"/>
          <w:lang w:val="en-US"/>
        </w:rPr>
        <w:t xml:space="preserve">total SEC, an order of magnitude smaller than the concentrator correction, so it does not affect any </w:t>
      </w:r>
      <w:r>
        <w:rPr>
          <w:lang w:val="en-US"/>
        </w:rPr>
        <w:t>conclusions</w:t>
      </w:r>
      <w:r>
        <w:rPr>
          <w:i w:val="false"/>
          <w:sz w:val="21"/>
          <w:lang w:val="en-US"/>
        </w:rPr>
        <w:t xml:space="preserve"> drawn; </w:t>
      </w:r>
      <w:r>
        <w:rPr>
          <w:lang w:val="en-US"/>
        </w:rPr>
        <w:t>however,</w:t>
      </w:r>
      <w:r>
        <w:rPr>
          <w:i w:val="false"/>
          <w:sz w:val="21"/>
          <w:lang w:val="en-US"/>
        </w:rPr>
        <w:t xml:space="preserve"> the distinction is stated so that the numbers are not quoted onward as settled.</w:t>
      </w:r>
    </w:p>
    <w:p>
      <w:pPr>
        <w:pStyle w:val="Normal"/>
        <w:spacing w:before="0" w:after="160"/>
        <w:ind w:firstLine="317"/>
        <w:rPr/>
      </w:pPr>
      <w:r>
        <w:rPr>
          <w:i w:val="false"/>
          <w:sz w:val="21"/>
          <w:lang w:val="en-US"/>
        </w:rPr>
        <w:t>This is a reversible benchmark, not a membrane-process energy model. It bounds what any configuration can achieve; it does not predict what a particular element, array or staging arrangement will consume. Second-law efficiency, Eq. (9), carries that distinction explicitly.</w:t>
      </w:r>
    </w:p>
    <w:p>
      <w:pPr>
        <w:pStyle w:val="Normal"/>
        <w:spacing w:before="0" w:after="160"/>
        <w:ind w:firstLine="317"/>
        <w:rPr/>
      </w:pPr>
      <w:r>
        <w:rPr>
          <w:i w:val="false"/>
          <w:sz w:val="21"/>
          <w:lang w:val="en-US"/>
        </w:rPr>
        <w:t xml:space="preserve">The osmotic coefficient of seawater is not constant: it passes through a minimum near seawater salinity and </w:t>
      </w:r>
      <w:r>
        <w:rPr>
          <w:lang w:val="en-US"/>
        </w:rPr>
        <w:t>increases</w:t>
      </w:r>
      <w:r>
        <w:rPr>
          <w:i w:val="false"/>
          <w:sz w:val="21"/>
          <w:lang w:val="en-US"/>
        </w:rPr>
        <w:t xml:space="preserve"> as the solution concentrates, so a correlation anchored at 35 g L-1 underpredicts at brine salinities</w:t>
      </w:r>
      <w:r>
        <w:rPr>
          <w:lang w:val="en-US"/>
        </w:rPr>
      </w:r>
      <w:r>
        <w:rPr>
          <w:i w:val="false"/>
          <w:sz w:val="21"/>
          <w:lang w:val="en-US"/>
        </w:rPr>
        <w:t>. Published seawater property correlations covering this range are available [22,12] and are the appropriate basis for phi(S) in Eq. (5). Section 4.5 reports how much the correction actually matters.</w:t>
      </w:r>
    </w:p>
    <w:p>
      <w:pPr>
        <w:pStyle w:val="Normal"/>
        <w:spacing w:before="0" w:after="160"/>
        <w:ind w:firstLine="317"/>
        <w:rPr/>
      </w:pPr>
      <w:r>
        <w:rPr>
          <w:i w:val="false"/>
          <w:sz w:val="21"/>
          <w:lang w:val="en-US"/>
        </w:rPr>
        <w:t>Equations (5), (8), (9) and (12) are new in this revision. Equation (8) is the reversible bound against which the concentrator assumption is tested in Section 4.7; Eq. (12) is the alkalinity balance on which Section 4.7 rests.</w:t>
      </w:r>
    </w:p>
    <w:p>
      <w:pPr>
        <w:pStyle w:val="Normal"/>
        <w:spacing w:before="300" w:after="100"/>
        <w:rPr/>
      </w:pPr>
      <w:r>
        <w:rPr>
          <w:b/>
          <w:sz w:val="26"/>
          <w:lang w:val="en-US"/>
        </w:rPr>
        <w:t>4. Results</w:t>
      </w:r>
    </w:p>
    <w:p>
      <w:pPr>
        <w:pStyle w:val="Normal"/>
        <w:spacing w:before="220" w:after="100"/>
        <w:rPr/>
      </w:pPr>
      <w:r>
        <w:rPr>
          <w:b/>
          <w:sz w:val="23"/>
          <w:lang w:val="en-US"/>
        </w:rPr>
        <w:t>4.1 Stream table and process composition</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889"/>
        <w:gridCol w:w="890"/>
        <w:gridCol w:w="890"/>
        <w:gridCol w:w="890"/>
        <w:gridCol w:w="890"/>
        <w:gridCol w:w="891"/>
        <w:gridCol w:w="890"/>
        <w:gridCol w:w="890"/>
        <w:gridCol w:w="890"/>
        <w:gridCol w:w="890"/>
        <w:gridCol w:w="890"/>
      </w:tblGrid>
      <w:tr>
        <w:trPr/>
        <w:tc>
          <w:tcPr>
            <w:tcW w:w="889"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Stream</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Q</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TDS</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Na+</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Mg2+</w:t>
            </w:r>
          </w:p>
        </w:tc>
        <w:tc>
          <w:tcPr>
            <w:tcW w:w="891"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Ca2+</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K+</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Cl-</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SO4 2-</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HCO3-</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Br-</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S1 raw seawater</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1.000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10.781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1.284</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0.412</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0.399</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19.353</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2.712</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0.126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0.067</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S2 RO permeate</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0.450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0.004</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0.003</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0.136</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S3 RO brine</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0.550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63.7</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19.540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2.331</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0.748</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0.723</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35.076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4.924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0.228</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0.122</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S4 concentrator permeate</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5.7</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1.954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0.047</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0.072</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3.508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0.099</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0.023</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0.012</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S5 concentrator concentrate</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121.7</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37.126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4.616</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1.481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1.374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66.645</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9.750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0.434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0.232</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S6 crystallizer feed</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124.8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38.740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0.092</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7.534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1.374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66.645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9.750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0.434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0.232</w:t>
            </w:r>
          </w:p>
        </w:tc>
      </w:tr>
    </w:tbl>
    <w:p>
      <w:pPr>
        <w:pStyle w:val="Normal"/>
        <w:spacing w:before="0" w:after="200"/>
        <w:rPr/>
      </w:pPr>
      <w:r>
        <w:rPr>
          <w:i/>
          <w:sz w:val="18"/>
          <w:lang w:val="en-US"/>
        </w:rPr>
        <w:t>Table 1. Ion-by-ion stream table, g L-1, per cubic meter of raw seawater. S6 is the crystallizer feed.</w:t>
      </w:r>
    </w:p>
    <w:p>
      <w:pPr>
        <w:pStyle w:val="Normal"/>
        <w:spacing w:before="0" w:after="160"/>
        <w:ind w:firstLine="317"/>
        <w:rPr/>
      </w:pPr>
      <w:r>
        <w:rPr>
          <w:i w:val="false"/>
          <w:sz w:val="21"/>
          <w:lang w:val="en-US"/>
        </w:rPr>
        <w:t xml:space="preserve">Two features of Table 1 were not visible in the original analysis. </w:t>
      </w:r>
      <w:r>
        <w:rPr>
          <w:lang w:val="en-US"/>
        </w:rPr>
        <w:t>The calcium concentration increases</w:t>
      </w:r>
      <w:r>
        <w:rPr>
          <w:i w:val="false"/>
          <w:sz w:val="21"/>
          <w:lang w:val="en-US"/>
        </w:rPr>
        <w:t xml:space="preserve"> from 1.48 to 7.53 g L-1 across the precipitation train rather than decreasing, because lime dosing returns one calcium ion per magnesium precipitated.</w:t>
      </w:r>
      <w:r>
        <w:rPr>
          <w:lang w:val="en-US"/>
        </w:rPr>
      </w:r>
      <w:r>
        <w:rPr>
          <w:i w:val="false"/>
          <w:sz w:val="21"/>
          <w:lang w:val="en-US"/>
        </w:rPr>
      </w:r>
      <w:r>
        <w:rPr>
          <w:lang w:val="en-US"/>
        </w:rPr>
        <w:t xml:space="preserve"> Total dissolved solids also increase, from 121.7 to 124.8 g L-1, because the dissolved reagents added exceed the solids removed.</w:t>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t xml:space="preserve"> Selective precipitation is therefore justified by the value of its products and not by any reduction in crystallizer duty, which slightly increases. This </w:t>
      </w:r>
      <w:r>
        <w:rPr>
          <w:lang w:val="en-US"/>
        </w:rPr>
        <w:t xml:space="preserve">finding </w:t>
      </w:r>
      <w:r>
        <w:rPr>
          <w:i w:val="false"/>
          <w:sz w:val="21"/>
          <w:lang w:val="en-US"/>
        </w:rPr>
        <w:t xml:space="preserve">is </w:t>
      </w:r>
      <w:r>
        <w:rPr>
          <w:lang w:val="en-US"/>
        </w:rPr>
        <w:t>important</w:t>
      </w:r>
      <w:r>
        <w:rPr>
          <w:i w:val="false"/>
          <w:sz w:val="21"/>
          <w:lang w:val="en-US"/>
        </w:rPr>
        <w:t xml:space="preserve"> because it contradicts a common intuition about brine mineral recovery: extracting solids from the stream does not </w:t>
      </w:r>
      <w:r>
        <w:rPr>
          <w:lang w:val="en-US"/>
        </w:rPr>
        <w:t>decrease</w:t>
      </w:r>
      <w:r>
        <w:rPr>
          <w:i w:val="false"/>
          <w:sz w:val="21"/>
          <w:lang w:val="en-US"/>
        </w:rPr>
        <w:t xml:space="preserve"> the thermal load downstream when the reagents that extract them add more dissolved mass than the solids remove.</w:t>
      </w:r>
      <w:r>
        <w:rPr>
          <w:lang w:val="en-US"/>
        </w:rPr>
      </w:r>
      <w:r>
        <w:rPr>
          <w:i w:val="false"/>
          <w:sz w:val="21"/>
          <w:lang w:val="en-US"/>
        </w:rPr>
        <w:t xml:space="preserve"> Any assessment that credits precipitation with a reduced crystallizer duty should check this balance for its own reagent set.</w:t>
      </w:r>
    </w:p>
    <w:p>
      <w:pPr>
        <w:pStyle w:val="Normal"/>
        <w:spacing w:before="220" w:after="100"/>
        <w:rPr/>
      </w:pPr>
      <w:r>
        <w:rPr>
          <w:b/>
          <w:sz w:val="23"/>
          <w:lang w:val="en-US"/>
        </w:rPr>
        <w:t>4.2 Incremental contribution of each subsystem</w:t>
      </w:r>
    </w:p>
    <w:p>
      <w:pPr>
        <w:pStyle w:val="Normal"/>
        <w:spacing w:before="0" w:after="160"/>
        <w:ind w:firstLine="317"/>
        <w:rPr/>
      </w:pPr>
      <w:r>
        <w:rPr>
          <w:i w:val="false"/>
          <w:sz w:val="21"/>
          <w:lang w:val="en-US"/>
        </w:rPr>
        <w:t xml:space="preserve">The five-case decomposition isolates each subsystem’s contribution to specific energy consumption. Case A is a conventional turbine-ERD baseline, Case B substitutes the isobaric pressure exchanger, Case C adds the subsurface intake, Case D adds </w:t>
      </w:r>
      <w:r>
        <w:rPr>
          <w:lang w:val="en-US"/>
        </w:rPr>
        <w:t xml:space="preserve">the </w:t>
      </w:r>
      <w:r>
        <w:rPr>
          <w:i w:val="false"/>
          <w:sz w:val="21"/>
          <w:lang w:val="en-US"/>
        </w:rPr>
        <w:t>brine concentration, and Case E adds crystallization. Table 2 reports the decomposition with the concentrator held to the bounded range of Section 4.5 rather than to the literature midpoint used in the original.</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basis</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kWh m-3 brine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C</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D</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original assumption, 0.75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3.65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10.67</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55% second-law efficiency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4.83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11.85</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Monte Carlo median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2.36</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5.61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12.64</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25% second-law efficiency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3.77</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7.34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14.37</w:t>
            </w:r>
          </w:p>
        </w:tc>
      </w:tr>
    </w:tbl>
    <w:p>
      <w:pPr>
        <w:pStyle w:val="Normal"/>
        <w:spacing w:before="0" w:after="200"/>
        <w:rPr/>
      </w:pPr>
      <w:r>
        <w:rPr>
          <w:i/>
          <w:sz w:val="18"/>
          <w:lang w:val="en-US"/>
        </w:rPr>
        <w:t>Table 2. Stage decomposition, kWh per cubic meter of permeate. Case C is the desalination stage, Case D adds brine concentration, and Case E adds crystallization. The original reported Case E as 10.68 kWh m-3.</w:t>
      </w:r>
    </w:p>
    <w:p>
      <w:pPr>
        <w:pStyle w:val="Normal"/>
        <w:spacing w:before="0" w:after="160"/>
        <w:ind w:firstLine="317"/>
        <w:rPr/>
      </w:pPr>
      <w:r>
        <w:rPr>
          <w:i w:val="false"/>
          <w:sz w:val="21"/>
          <w:lang w:val="en-US"/>
        </w:rPr>
        <w:t xml:space="preserve">Crystallization remains the dominant single term in every case, but the concentrator correction moves Case E from the 10.68 kWh m-3 originally reported to a </w:t>
      </w:r>
      <w:r>
        <w:rPr>
          <w:lang w:val="en-US"/>
        </w:rPr>
        <w:t>modeled</w:t>
      </w:r>
      <w:r>
        <w:rPr>
          <w:i w:val="false"/>
          <w:sz w:val="21"/>
          <w:lang w:val="en-US"/>
        </w:rPr>
        <w:t xml:space="preserve"> 11.</w:t>
      </w:r>
      <w:r>
        <w:rPr>
          <w:lang w:val="en-US"/>
        </w:rPr>
        <w:t>85–14</w:t>
      </w:r>
      <w:r>
        <w:rPr>
          <w:i w:val="false"/>
          <w:sz w:val="21"/>
          <w:lang w:val="en-US"/>
        </w:rPr>
        <w:t>.37 kWh m-3. As elsewhere in this paper, that range is a bounded model estimate rather than a measured or predicted plant value.</w:t>
      </w:r>
    </w:p>
    <w:p>
      <w:pPr>
        <w:pStyle w:val="Normal"/>
        <w:spacing w:before="220" w:after="100"/>
        <w:rPr/>
      </w:pPr>
      <w:r>
        <w:rPr>
          <w:b/>
          <w:sz w:val="23"/>
          <w:lang w:val="en-US"/>
        </w:rPr>
        <w:t>4.3 Market absorption</w:t>
      </w:r>
    </w:p>
    <w:p>
      <w:pPr>
        <w:pStyle w:val="Normal"/>
        <w:spacing w:before="0" w:after="160"/>
        <w:ind w:firstLine="317"/>
        <w:rPr/>
      </w:pPr>
      <w:r>
        <w:rPr>
          <w:i w:val="false"/>
          <w:sz w:val="21"/>
          <w:lang w:val="en-US"/>
        </w:rPr>
        <w:t>The original included a market</w:t>
      </w:r>
      <w:r>
        <w:rPr>
          <w:lang w:val="en-US"/>
        </w:rPr>
        <w:t xml:space="preserve"> </w:t>
      </w:r>
      <w:r>
        <w:rPr>
          <w:i w:val="false"/>
          <w:sz w:val="21"/>
          <w:lang w:val="en-US"/>
        </w:rPr>
        <w:t>absorption check to test whether the recovered tonnage could in fact be sold, and that check stands: a 10,000 m3 d-1 plant would produce a material fraction of the addressable Mg(OH)2 market, so a sellable fraction well below unity is the realistic assumption rather than a conservative one. The revision extends the same reasoning to calcium carbonate, which the original credited at 100% of the market price.</w:t>
      </w:r>
      <w:r>
        <w:rPr>
          <w:lang w:val="en-US"/>
        </w:rPr>
      </w:r>
      <w:r>
        <w:rPr>
          <w:i w:val="false"/>
          <w:sz w:val="21"/>
          <w:lang w:val="en-US"/>
        </w:rPr>
      </w:r>
      <w:r>
        <w:rPr>
          <w:lang w:val="en-US"/>
        </w:rPr>
      </w:r>
      <w:r>
        <w:rPr>
          <w:i w:val="false"/>
          <w:sz w:val="21"/>
          <w:lang w:val="en-US"/>
        </w:rPr>
        <w:t xml:space="preserve"> Recovered carbonate competes against a large, low-margin commodity whose specification depends on purity, particle size and brightness, none of which is controlled by a process </w:t>
      </w:r>
      <w:r>
        <w:rPr>
          <w:lang w:val="en-US"/>
        </w:rPr>
        <w:t>optimized</w:t>
      </w:r>
      <w:r>
        <w:rPr>
          <w:i w:val="false"/>
          <w:sz w:val="21"/>
          <w:lang w:val="en-US"/>
        </w:rPr>
        <w:t xml:space="preserve"> for water. A sellable fraction of </w:t>
      </w:r>
      <w:r>
        <w:rPr>
          <w:lang w:val="en-US"/>
        </w:rPr>
        <w:t>50–70%</w:t>
      </w:r>
      <w:r>
        <w:rPr>
          <w:i w:val="false"/>
          <w:sz w:val="21"/>
          <w:lang w:val="en-US"/>
        </w:rPr>
        <w:t xml:space="preserve"> is used here, sampled rather than fixed, and transport and refining beyond primary precipitation remain outside the boundary and therefore uncredited.</w:t>
      </w:r>
    </w:p>
    <w:p>
      <w:pPr>
        <w:pStyle w:val="Normal"/>
        <w:spacing w:before="220" w:after="100"/>
        <w:rPr/>
      </w:pPr>
      <w:r>
        <w:rPr>
          <w:b/>
          <w:sz w:val="23"/>
          <w:lang w:val="en-US"/>
        </w:rPr>
        <w:t>4.4 Environmental performance</w:t>
      </w:r>
    </w:p>
    <w:p>
      <w:pPr>
        <w:pStyle w:val="Normal"/>
        <w:spacing w:before="0" w:after="160"/>
        <w:ind w:firstLine="317"/>
        <w:rPr/>
      </w:pPr>
      <w:r>
        <w:rPr>
          <w:i w:val="false"/>
          <w:sz w:val="21"/>
          <w:lang w:val="en-US"/>
        </w:rPr>
        <w:t xml:space="preserve">The original environmental assessment </w:t>
      </w:r>
      <w:r>
        <w:rPr>
          <w:lang w:val="en-US"/>
        </w:rPr>
        <w:t>considered</w:t>
      </w:r>
      <w:r>
        <w:rPr>
          <w:i w:val="false"/>
          <w:sz w:val="21"/>
          <w:lang w:val="en-US"/>
        </w:rPr>
        <w:t xml:space="preserve"> carbon dioxide from grid electricity only. On the corrected energy basis</w:t>
      </w:r>
      <w:r>
        <w:rPr>
          <w:lang w:val="en-US"/>
        </w:rPr>
        <w:t>, the</w:t>
      </w:r>
      <w:r>
        <w:rPr>
          <w:i w:val="false"/>
          <w:sz w:val="21"/>
          <w:lang w:val="en-US"/>
        </w:rPr>
        <w:t xml:space="preserve"> term is approximately 5.2 kg CO2 per cubic </w:t>
      </w:r>
      <w:r>
        <w:rPr>
          <w:lang w:val="en-US"/>
        </w:rPr>
        <w:t>meter</w:t>
      </w:r>
      <w:r>
        <w:rPr>
          <w:i w:val="false"/>
          <w:sz w:val="21"/>
          <w:lang w:val="en-US"/>
        </w:rPr>
        <w:t xml:space="preserve"> of permeate at a grid intensity of 0.4 kg kWh-1. Section 4.7 shows </w:t>
      </w:r>
      <w:r>
        <w:rPr>
          <w:lang w:val="en-US"/>
        </w:rPr>
        <w:t xml:space="preserve">that </w:t>
      </w:r>
      <w:r>
        <w:rPr>
          <w:i w:val="false"/>
          <w:sz w:val="21"/>
          <w:lang w:val="en-US"/>
        </w:rPr>
        <w:t xml:space="preserve">it </w:t>
      </w:r>
      <w:r>
        <w:rPr>
          <w:lang w:val="en-US"/>
        </w:rPr>
        <w:t>is</w:t>
      </w:r>
      <w:r>
        <w:rPr>
          <w:i w:val="false"/>
          <w:sz w:val="21"/>
          <w:lang w:val="en-US"/>
        </w:rPr>
        <w:t xml:space="preserve"> the smaller half of the account: reagent</w:t>
      </w:r>
      <w:r>
        <w:rPr>
          <w:lang w:val="en-US"/>
        </w:rPr>
        <w:t>-</w:t>
      </w:r>
      <w:r>
        <w:rPr>
          <w:i w:val="false"/>
          <w:sz w:val="21"/>
          <w:lang w:val="en-US"/>
        </w:rPr>
        <w:t>embodied carbon adds 10.0 kg m-3</w:t>
      </w:r>
      <w:r>
        <w:rPr>
          <w:lang w:val="en-US"/>
        </w:rPr>
        <w:t>,</w:t>
      </w:r>
      <w:r>
        <w:rPr>
          <w:i w:val="false"/>
          <w:sz w:val="21"/>
          <w:lang w:val="en-US"/>
        </w:rPr>
        <w:t xml:space="preserve"> and the carbonate product fixes only 0.94 kg m-3, </w:t>
      </w:r>
      <w:r>
        <w:rPr>
          <w:lang w:val="en-US"/>
        </w:rPr>
        <w:t>yielding</w:t>
      </w:r>
      <w:r>
        <w:rPr>
          <w:i w:val="false"/>
          <w:sz w:val="21"/>
          <w:lang w:val="en-US"/>
        </w:rPr>
        <w:t xml:space="preserve"> a net median of 14.3 kg CO2 per cubic </w:t>
      </w:r>
      <w:r>
        <w:rPr>
          <w:lang w:val="en-US"/>
        </w:rPr>
        <w:t>meter</w:t>
      </w:r>
      <w:r>
        <w:rPr>
          <w:i w:val="false"/>
          <w:sz w:val="21"/>
          <w:lang w:val="en-US"/>
        </w:rPr>
        <w:t xml:space="preserve"> (90% interval 10.</w:t>
      </w:r>
      <w:r>
        <w:rPr>
          <w:lang w:val="en-US"/>
        </w:rPr>
        <w:t>7–18</w:t>
      </w:r>
      <w:r>
        <w:rPr>
          <w:i w:val="false"/>
          <w:sz w:val="21"/>
          <w:lang w:val="en-US"/>
        </w:rPr>
        <w:t>.2). No sampled configuration is carbon negative. Replacing MVC crystallization with solar interfacial evaporation [4,5,6] would remove most of the electricity term but none of the reagent term, and would substitute land area for energy.</w:t>
      </w:r>
      <w:r>
        <w:rPr>
          <w:lang w:val="en-US"/>
        </w:rPr>
      </w:r>
      <w:r>
        <w:rPr>
          <w:i w:val="false"/>
          <w:sz w:val="21"/>
          <w:lang w:val="en-US"/>
        </w:rPr>
      </w:r>
      <w:r>
        <w:rPr>
          <w:lang w:val="en-US"/>
        </w:rPr>
      </w:r>
      <w:r>
        <w:rPr>
          <w:i w:val="false"/>
          <w:sz w:val="21"/>
          <w:lang w:val="en-US"/>
        </w:rPr>
      </w:r>
      <w:r>
        <w:rPr>
          <w:lang w:val="en-US"/>
        </w:rPr>
      </w:r>
      <w:r>
        <w:rPr>
          <w:i w:val="false"/>
          <w:sz w:val="21"/>
          <w:lang w:val="en-US"/>
        </w:rPr>
      </w:r>
    </w:p>
    <w:p>
      <w:pPr>
        <w:pStyle w:val="Normal"/>
        <w:spacing w:before="0" w:after="160"/>
        <w:ind w:firstLine="317"/>
        <w:rPr/>
      </w:pPr>
      <w:r>
        <w:rPr>
          <w:i w:val="false"/>
          <w:sz w:val="21"/>
          <w:lang w:val="en-US"/>
        </w:rPr>
        <w:t xml:space="preserve">Two environmental risks specific to intake are noted rather than </w:t>
      </w:r>
      <w:r>
        <w:rPr>
          <w:lang w:val="en-US"/>
        </w:rPr>
        <w:t>modeled</w:t>
      </w:r>
      <w:r>
        <w:rPr>
          <w:i w:val="false"/>
          <w:sz w:val="21"/>
          <w:lang w:val="en-US"/>
        </w:rPr>
        <w:t>. Subsurface intakes are subject to progressive clogging of the seabed or aquifer interface, and sustained abstraction near the coast carries a risk of saline intrusion into adjacent fresh groundwater. Both are strongly site dependent and require hydrogeological assessment at any candidate location.</w:t>
      </w:r>
    </w:p>
    <w:p>
      <w:pPr>
        <w:pStyle w:val="Normal"/>
        <w:spacing w:before="220" w:after="100"/>
        <w:rPr/>
      </w:pPr>
      <w:r>
        <w:rPr>
          <w:b/>
          <w:sz w:val="23"/>
          <w:lang w:val="en-US"/>
        </w:rPr>
        <w:t>4.5  Consistency test 1: Concentration against the least work of separation</w:t>
      </w:r>
    </w:p>
    <w:p>
      <w:pPr>
        <w:pStyle w:val="Normal"/>
        <w:spacing w:before="0" w:after="160"/>
        <w:ind w:firstLine="317"/>
        <w:rPr/>
      </w:pPr>
      <w:r>
        <w:rPr>
          <w:i w:val="false"/>
          <w:sz w:val="21"/>
          <w:lang w:val="en-US"/>
        </w:rPr>
        <w:t xml:space="preserve">Integrating the rising concentrate osmotic pressure over the extracted volume gives Eq. (8). </w:t>
      </w:r>
      <w:r>
        <w:rPr>
          <w:lang w:val="en-US"/>
        </w:rPr>
        <w:t>At the modeled RO brine (49 bar) and 50% concentrator recovery this evaluates to 0.944</w:t>
      </w:r>
      <w:r>
        <w:rPr>
          <w:i w:val="false"/>
          <w:sz w:val="21"/>
          <w:lang w:val="en-US"/>
        </w:rPr>
      </w:r>
      <w:r>
        <w:rPr>
          <w:lang w:val="en-US"/>
        </w:rPr>
      </w:r>
      <w:r>
        <w:rPr>
          <w:i w:val="false"/>
          <w:sz w:val="21"/>
          <w:lang w:val="en-US"/>
        </w:rPr>
      </w:r>
      <w:r>
        <w:rPr>
          <w:lang w:val="en-US"/>
        </w:rPr>
      </w:r>
      <w:r>
        <w:rPr>
          <w:i w:val="false"/>
          <w:sz w:val="21"/>
          <w:lang w:val="en-US"/>
        </w:rPr>
        <w:t xml:space="preserve"> kWh per cubic </w:t>
      </w:r>
      <w:r>
        <w:rPr>
          <w:lang w:val="en-US"/>
        </w:rPr>
        <w:t>meter</w:t>
      </w:r>
      <w:r>
        <w:rPr>
          <w:i w:val="false"/>
          <w:sz w:val="21"/>
          <w:lang w:val="en-US"/>
        </w:rPr>
        <w:t xml:space="preserve"> of brine processed. Any real stage must exceed it. The 0.</w:t>
      </w:r>
      <w:r>
        <w:rPr>
          <w:lang w:val="en-US"/>
        </w:rPr>
        <w:t>5–1</w:t>
      </w:r>
      <w:r>
        <w:rPr>
          <w:i w:val="false"/>
          <w:sz w:val="21"/>
          <w:lang w:val="en-US"/>
        </w:rPr>
        <w:t>.0 kWh m-3 range adopted in the original Section 3.6, and in comparable published assessments, spans 0.53 to 1.06 times this minimum: the midpoint is thermodynamically inadmissible</w:t>
      </w:r>
      <w:r>
        <w:rPr>
          <w:lang w:val="en-US"/>
        </w:rPr>
        <w:t>,</w:t>
      </w:r>
      <w:r>
        <w:rPr>
          <w:i w:val="false"/>
          <w:sz w:val="21"/>
          <w:lang w:val="en-US"/>
        </w:rPr>
        <w:t xml:space="preserve"> and the upper bound would require a second-law efficiency of 94%. Dividing the reversible minimum by the </w:t>
      </w:r>
      <w:r>
        <w:rPr>
          <w:lang w:val="en-US"/>
        </w:rPr>
        <w:t>25–55%</w:t>
      </w:r>
      <w:r>
        <w:rPr>
          <w:i w:val="false"/>
          <w:sz w:val="21"/>
          <w:lang w:val="en-US"/>
        </w:rPr>
        <w:t xml:space="preserve"> second-law efficiency range characteristic of high-pressure membrane stages gives a bounded estimate of 1.</w:t>
      </w:r>
      <w:r>
        <w:rPr>
          <w:lang w:val="en-US"/>
        </w:rPr>
        <w:t>72–3</w:t>
      </w:r>
      <w:r>
        <w:rPr>
          <w:i w:val="false"/>
          <w:sz w:val="21"/>
          <w:lang w:val="en-US"/>
        </w:rPr>
        <w:t xml:space="preserve">.77 kWh m-3. We describe this as a bounded estimate rather than an attainable or demonstrated value: it is derived from a thermodynamic bound and an assumed efficiency range, not from measurement of a stage operating on this feed. All </w:t>
      </w:r>
      <w:r>
        <w:rPr>
          <w:lang w:val="en-US"/>
        </w:rPr>
        <w:t xml:space="preserve">the </w:t>
      </w:r>
      <w:r>
        <w:rPr>
          <w:i w:val="false"/>
          <w:sz w:val="21"/>
          <w:lang w:val="en-US"/>
        </w:rPr>
        <w:t>results below use that range.</w:t>
      </w:r>
    </w:p>
    <w:p>
      <w:pPr>
        <w:pStyle w:val="Normal"/>
        <w:spacing w:before="0" w:after="160"/>
        <w:ind w:firstLine="317"/>
        <w:rPr/>
      </w:pPr>
      <w:r>
        <w:rPr>
          <w:i w:val="false"/>
          <w:sz w:val="21"/>
          <w:lang w:val="en-US"/>
        </w:rPr>
        <w:t xml:space="preserve">Reviewer comment on the original asked that the deviation of the linear osmotic model at brine salinity be quantified rather than acknowledged. Applying an </w:t>
      </w:r>
      <w:r>
        <w:rPr>
          <w:lang w:val="en-US"/>
        </w:rPr>
        <w:t xml:space="preserve">increase in the </w:t>
      </w:r>
      <w:r>
        <w:rPr>
          <w:i w:val="false"/>
          <w:sz w:val="21"/>
          <w:lang w:val="en-US"/>
        </w:rPr>
        <w:t>osmotic</w:t>
      </w:r>
      <w:r>
        <w:rPr>
          <w:lang w:val="en-US"/>
        </w:rPr>
        <w:t xml:space="preserve"> </w:t>
      </w:r>
      <w:r>
        <w:rPr>
          <w:i w:val="false"/>
          <w:sz w:val="21"/>
          <w:lang w:val="en-US"/>
        </w:rPr>
        <w:t xml:space="preserve">coefficient of </w:t>
      </w:r>
      <w:r>
        <w:rPr>
          <w:lang w:val="en-US"/>
        </w:rPr>
        <w:t>8–24%</w:t>
      </w:r>
      <w:r>
        <w:rPr>
          <w:i w:val="false"/>
          <w:sz w:val="21"/>
          <w:lang w:val="en-US"/>
        </w:rPr>
        <w:t xml:space="preserve"> between 35 and 120 g L-1 </w:t>
      </w:r>
      <w:r>
        <w:rPr>
          <w:lang w:val="en-US"/>
        </w:rPr>
        <w:t>increases</w:t>
      </w:r>
      <w:r>
        <w:rPr>
          <w:i w:val="false"/>
          <w:sz w:val="21"/>
          <w:lang w:val="en-US"/>
        </w:rPr>
        <w:t xml:space="preserve"> the concentrator feed osmotic pressure from 49.0 to 50.</w:t>
      </w:r>
      <w:r>
        <w:rPr>
          <w:lang w:val="en-US"/>
        </w:rPr>
        <w:t>3–52</w:t>
      </w:r>
      <w:r>
        <w:rPr>
          <w:i w:val="false"/>
          <w:sz w:val="21"/>
          <w:lang w:val="en-US"/>
        </w:rPr>
        <w:t>.9 bar and the stage energy from 2.36 to 2.</w:t>
      </w:r>
      <w:r>
        <w:rPr>
          <w:lang w:val="en-US"/>
        </w:rPr>
        <w:t>42–2</w:t>
      </w:r>
      <w:r>
        <w:rPr>
          <w:i w:val="false"/>
          <w:sz w:val="21"/>
          <w:lang w:val="en-US"/>
        </w:rPr>
        <w:t xml:space="preserve">.55 kWh m-3 of brine, moving </w:t>
      </w:r>
      <w:r>
        <w:rPr>
          <w:lang w:val="en-US"/>
        </w:rPr>
        <w:t xml:space="preserve">the </w:t>
      </w:r>
      <w:r>
        <w:rPr>
          <w:i w:val="false"/>
          <w:sz w:val="21"/>
          <w:lang w:val="en-US"/>
        </w:rPr>
        <w:t xml:space="preserve">total specific energy consumption from 12.64 to 12.87 kWh m-3, evaluated deterministically at the median concentrator duty rather than as a distribution median. The effect is therefore real but second-order, under 2% of </w:t>
      </w:r>
      <w:r>
        <w:rPr>
          <w:lang w:val="en-US"/>
        </w:rPr>
        <w:t xml:space="preserve">the </w:t>
      </w:r>
      <w:r>
        <w:rPr>
          <w:i w:val="false"/>
          <w:sz w:val="21"/>
          <w:lang w:val="en-US"/>
        </w:rPr>
        <w:t>total SEC, and an order of magnitude smaller than the concentrator correction above. It is reported here as a bounded sensitivity; locking it to a point value requires implementing the published correlation [22,12], which the deposited code is structured to accept.</w:t>
      </w:r>
    </w:p>
    <w:p>
      <w:pPr>
        <w:pStyle w:val="Normal"/>
        <w:spacing w:before="220" w:after="100"/>
        <w:rPr/>
      </w:pPr>
      <w:r>
        <w:rPr>
          <w:b/>
          <w:sz w:val="23"/>
          <w:lang w:val="en-US"/>
        </w:rPr>
        <w:t>4.6 Consistency test 2: The ceiling on boundary-layer management</w:t>
      </w:r>
    </w:p>
    <w:p>
      <w:pPr>
        <w:pStyle w:val="Normal"/>
        <w:spacing w:before="0" w:after="160"/>
        <w:ind w:firstLine="317"/>
        <w:rPr/>
      </w:pPr>
      <w:r>
        <w:rPr>
          <w:i w:val="false"/>
          <w:sz w:val="21"/>
          <w:lang w:val="en-US"/>
        </w:rPr>
        <w:t xml:space="preserve">Concentration polarization </w:t>
      </w:r>
      <w:r>
        <w:rPr>
          <w:lang w:val="en-US"/>
        </w:rPr>
        <w:t>increases the</w:t>
      </w:r>
      <w:r>
        <w:rPr>
          <w:i w:val="false"/>
          <w:sz w:val="21"/>
          <w:lang w:val="en-US"/>
        </w:rPr>
        <w:t xml:space="preserve"> wall concentration to beta times </w:t>
      </w:r>
      <w:r>
        <w:rPr>
          <w:lang w:val="en-US"/>
        </w:rPr>
        <w:t xml:space="preserve">the </w:t>
      </w:r>
      <w:r>
        <w:rPr>
          <w:i w:val="false"/>
          <w:sz w:val="21"/>
          <w:lang w:val="en-US"/>
        </w:rPr>
        <w:t>bulk, so eliminating it entirely saves exactly (beta - 1) pi_bulk and no more. At an aggressive beta of 1.20</w:t>
      </w:r>
      <w:r>
        <w:rPr>
          <w:lang w:val="en-US"/>
        </w:rPr>
        <w:t>,</w:t>
      </w:r>
      <w:r>
        <w:rPr>
          <w:i w:val="false"/>
          <w:sz w:val="21"/>
          <w:lang w:val="en-US"/>
        </w:rPr>
        <w:t xml:space="preserve"> this ceiling is 0.39 kWh m-3, or 13.3% of </w:t>
      </w:r>
      <w:r>
        <w:rPr>
          <w:lang w:val="en-US"/>
        </w:rPr>
        <w:t xml:space="preserve">the </w:t>
      </w:r>
      <w:r>
        <w:rPr>
          <w:i w:val="false"/>
          <w:sz w:val="21"/>
          <w:lang w:val="en-US"/>
        </w:rPr>
        <w:t xml:space="preserve">desalination-stage SEC. Any rotating-element or centrifugal scheme must therefore consume less than 0.39 kWh m-3 </w:t>
      </w:r>
      <w:r>
        <w:rPr>
          <w:lang w:val="en-US"/>
        </w:rPr>
        <w:t>of</w:t>
      </w:r>
      <w:r>
        <w:rPr>
          <w:i w:val="false"/>
          <w:sz w:val="21"/>
          <w:lang w:val="en-US"/>
        </w:rPr>
        <w:t xml:space="preserve"> net shaft power, after seal and bearing losses, to be worth adopting. We offer this as a screening test rather than a recommendation.</w:t>
      </w:r>
    </w:p>
    <w:p>
      <w:pPr>
        <w:pStyle w:val="Normal"/>
        <w:spacing w:before="220" w:after="100"/>
        <w:rPr/>
      </w:pPr>
      <w:r>
        <w:rPr>
          <w:b/>
          <w:sz w:val="23"/>
          <w:lang w:val="en-US"/>
        </w:rPr>
        <w:t>4.7 Consistency test 3: alkalinity, carbon and calcium closure</w:t>
      </w:r>
    </w:p>
    <w:p>
      <w:pPr>
        <w:pStyle w:val="Normal"/>
        <w:spacing w:before="0" w:after="160"/>
        <w:ind w:firstLine="317"/>
        <w:rPr/>
      </w:pPr>
      <w:r>
        <w:rPr>
          <w:i w:val="false"/>
          <w:sz w:val="21"/>
          <w:lang w:val="en-US"/>
        </w:rPr>
        <w:t>Precipitating Mg(OH)2 requires two equivalents of base per mole of product</w:t>
      </w:r>
      <w:r>
        <w:rPr>
          <w:lang w:val="en-US"/>
        </w:rPr>
        <w:t>;</w:t>
      </w:r>
      <w:r>
        <w:rPr>
          <w:i w:val="false"/>
          <w:sz w:val="21"/>
          <w:lang w:val="en-US"/>
        </w:rPr>
        <w:t xml:space="preserve"> however</w:t>
      </w:r>
      <w:r>
        <w:rPr>
          <w:lang w:val="en-US"/>
        </w:rPr>
        <w:t>,</w:t>
      </w:r>
      <w:r>
        <w:rPr>
          <w:i w:val="false"/>
          <w:sz w:val="21"/>
          <w:lang w:val="en-US"/>
        </w:rPr>
        <w:t xml:space="preserve"> the base is supplied </w:t>
      </w:r>
      <w:r>
        <w:rPr>
          <w:lang w:val="en-US"/>
        </w:rPr>
        <w:t>(</w:t>
      </w:r>
      <w:r>
        <w:rPr>
          <w:i w:val="false"/>
          <w:sz w:val="21"/>
          <w:lang w:val="en-US"/>
        </w:rPr>
        <w:t>Eq. (12)</w:t>
      </w:r>
      <w:r>
        <w:rPr>
          <w:lang w:val="en-US"/>
        </w:rPr>
        <w:t>)</w:t>
      </w:r>
      <w:r>
        <w:rPr>
          <w:i w:val="false"/>
          <w:sz w:val="21"/>
          <w:lang w:val="en-US"/>
        </w:rPr>
        <w:t xml:space="preserve">. Table 3 </w:t>
      </w:r>
      <w:r>
        <w:rPr>
          <w:lang w:val="en-US"/>
        </w:rPr>
        <w:t>shows</w:t>
      </w:r>
      <w:r>
        <w:rPr>
          <w:i w:val="false"/>
          <w:sz w:val="21"/>
          <w:lang w:val="en-US"/>
        </w:rPr>
        <w:t xml:space="preserve"> four routes on a common basis of one cubic </w:t>
      </w:r>
      <w:r>
        <w:rPr>
          <w:lang w:val="en-US"/>
        </w:rPr>
        <w:t>meter</w:t>
      </w:r>
      <w:r>
        <w:rPr>
          <w:i w:val="false"/>
          <w:sz w:val="21"/>
          <w:lang w:val="en-US"/>
        </w:rPr>
        <w:t xml:space="preserve"> of permeate.</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Alkalinity route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Reagent CO2 (kg/m3)</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 released/removed</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Mg imported (kg/m3)</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Extra energy (kWh/m3)</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A: soda ash + lime (as written)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9.97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5.3 x</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 dosed CO2 + lime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8.19</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6.3 x</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 dosed CO2 + dolime</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5.67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 x</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3.33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D: dosed CO2 + electrochemical base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-0.94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 x</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27.1</w:t>
            </w:r>
          </w:p>
        </w:tc>
      </w:tr>
    </w:tbl>
    <w:p>
      <w:pPr>
        <w:pStyle w:val="Normal"/>
        <w:spacing w:before="0" w:after="200"/>
        <w:rPr/>
      </w:pPr>
      <w:r>
        <w:rPr>
          <w:i/>
          <w:sz w:val="18"/>
          <w:lang w:val="en-US"/>
        </w:rPr>
        <w:t>Table 3. Alkalinity routes per cubic meter of permeate. Embodied-carbon factors are swept in the Monte Carlo method rather than treated as point values.</w:t>
      </w:r>
    </w:p>
    <w:p>
      <w:pPr>
        <w:pStyle w:val="Normal"/>
        <w:spacing w:before="0" w:after="160"/>
        <w:ind w:firstLine="317"/>
        <w:rPr/>
      </w:pPr>
      <w:r>
        <w:rPr>
          <w:i w:val="false"/>
          <w:sz w:val="21"/>
          <w:lang w:val="en-US"/>
        </w:rPr>
        <w:t xml:space="preserve">The calcium closure can be read directly </w:t>
      </w:r>
      <w:r>
        <w:rPr>
          <w:lang w:val="en-US"/>
        </w:rPr>
        <w:t>from</w:t>
      </w:r>
      <w:r>
        <w:rPr>
          <w:i w:val="false"/>
          <w:sz w:val="21"/>
          <w:lang w:val="en-US"/>
        </w:rPr>
        <w:t xml:space="preserve"> Table 1 and follows from Eq. (12). Writing concentrations per cubic meter of concentrate, the carbonate step removes Y_Ca x C_Ca = 1.407 g L-1, </w:t>
      </w:r>
      <w:r>
        <w:rPr>
          <w:lang w:val="en-US"/>
        </w:rPr>
        <w:t>whereas</w:t>
      </w:r>
      <w:r>
        <w:rPr>
          <w:i w:val="false"/>
          <w:sz w:val="21"/>
          <w:lang w:val="en-US"/>
        </w:rPr>
        <w:t xml:space="preserve"> the lime step, supplying the two equivalents of base that Eq. (12) requires, releases one calcium ion per magnesium precipitated and therefore adds 7.460 g L-1. The calcium </w:t>
      </w:r>
      <w:r>
        <w:rPr>
          <w:lang w:val="en-US"/>
        </w:rPr>
        <w:t>reported</w:t>
      </w:r>
      <w:r>
        <w:rPr>
          <w:i w:val="false"/>
          <w:sz w:val="21"/>
          <w:lang w:val="en-US"/>
        </w:rPr>
        <w:t xml:space="preserve"> to the crystallizer is C_Ca - Ca_removed + Ca_added = 1.481 - 1.407 + 7.460 = 7.534 g L-1, which is exactly the S6 value in Table 1. Because seawater holds </w:t>
      </w:r>
      <w:r>
        <w:rPr>
          <w:lang w:val="en-US"/>
        </w:rPr>
        <w:t>approximately</w:t>
      </w:r>
      <w:r>
        <w:rPr>
          <w:i w:val="false"/>
          <w:sz w:val="21"/>
          <w:lang w:val="en-US"/>
        </w:rPr>
        <w:t xml:space="preserve"> three times more magnesium than calcium on a molar basis, the added term always exceeds the removed term</w:t>
      </w:r>
      <w:r>
        <w:rPr>
          <w:lang w:val="en-US"/>
        </w:rPr>
        <w:t>,</w:t>
      </w:r>
      <w:r>
        <w:rPr>
          <w:i w:val="false"/>
          <w:sz w:val="21"/>
          <w:lang w:val="en-US"/>
        </w:rPr>
        <w:t xml:space="preserve"> and the balance cannot be closed by any choice of precipitation yield.</w:t>
      </w:r>
    </w:p>
    <w:p>
      <w:pPr>
        <w:pStyle w:val="Normal"/>
        <w:spacing w:before="0" w:after="160"/>
        <w:ind w:firstLine="317"/>
        <w:rPr/>
      </w:pPr>
      <w:r>
        <w:rPr>
          <w:i w:val="false"/>
          <w:sz w:val="21"/>
          <w:lang w:val="en-US"/>
        </w:rPr>
        <w:t xml:space="preserve">The route as specified </w:t>
      </w:r>
      <w:r>
        <w:rPr>
          <w:lang w:val="en-US"/>
        </w:rPr>
        <w:t>involves</w:t>
      </w:r>
      <w:r>
        <w:rPr>
          <w:i w:val="false"/>
          <w:sz w:val="21"/>
          <w:lang w:val="en-US"/>
        </w:rPr>
        <w:t xml:space="preserve"> 9.97 kg </w:t>
      </w:r>
      <w:r>
        <w:rPr>
          <w:lang w:val="en-US"/>
        </w:rPr>
        <w:t xml:space="preserve">of </w:t>
      </w:r>
      <w:r>
        <w:rPr>
          <w:i w:val="false"/>
          <w:sz w:val="21"/>
          <w:lang w:val="en-US"/>
        </w:rPr>
        <w:t xml:space="preserve">CO2 per cubic </w:t>
      </w:r>
      <w:r>
        <w:rPr>
          <w:lang w:val="en-US"/>
        </w:rPr>
        <w:t>meter</w:t>
      </w:r>
      <w:r>
        <w:rPr>
          <w:i w:val="false"/>
          <w:sz w:val="21"/>
          <w:lang w:val="en-US"/>
        </w:rPr>
        <w:t xml:space="preserve"> of permeate in reagent</w:t>
      </w:r>
      <w:r>
        <w:rPr>
          <w:lang w:val="en-US"/>
        </w:rPr>
        <w:t>-</w:t>
      </w:r>
      <w:r>
        <w:rPr>
          <w:i w:val="false"/>
          <w:sz w:val="21"/>
          <w:lang w:val="en-US"/>
        </w:rPr>
        <w:t xml:space="preserve">embodied carbon against 0.94 kg fixed in the carbonate product and </w:t>
      </w:r>
      <w:r>
        <w:rPr>
          <w:lang w:val="en-US"/>
        </w:rPr>
        <w:t>approximately</w:t>
      </w:r>
      <w:r>
        <w:rPr>
          <w:i w:val="false"/>
          <w:sz w:val="21"/>
          <w:lang w:val="en-US"/>
        </w:rPr>
        <w:t xml:space="preserve"> double the </w:t>
      </w:r>
      <w:r>
        <w:rPr>
          <w:lang w:val="en-US"/>
        </w:rPr>
        <w:t>plant’s</w:t>
      </w:r>
      <w:r>
        <w:rPr>
          <w:i w:val="false"/>
          <w:sz w:val="21"/>
          <w:lang w:val="en-US"/>
        </w:rPr>
        <w:t xml:space="preserve"> grid emissions. An environmental assessment restricted to electricity accounts for </w:t>
      </w:r>
      <w:r>
        <w:rPr>
          <w:lang w:val="en-US"/>
        </w:rPr>
        <w:t>approximately one-</w:t>
      </w:r>
      <w:r>
        <w:rPr>
          <w:i w:val="false"/>
          <w:sz w:val="21"/>
          <w:lang w:val="en-US"/>
        </w:rPr>
        <w:t xml:space="preserve">third of the total. </w:t>
      </w:r>
      <w:r>
        <w:rPr>
          <w:lang w:val="en-US"/>
        </w:rPr>
        <w:t>Therefore, the</w:t>
      </w:r>
      <w:r>
        <w:rPr>
          <w:i w:val="false"/>
          <w:sz w:val="21"/>
          <w:lang w:val="en-US"/>
        </w:rPr>
        <w:t xml:space="preserve"> calcium balance does not close: the lime step returns 5.3 times more calcium than the carbonate step removed, and that calcium reports to the crystallizer</w:t>
      </w:r>
      <w:r>
        <w:rPr>
          <w:lang w:val="en-US"/>
        </w:rPr>
      </w:r>
      <w:r>
        <w:rPr>
          <w:i w:val="false"/>
          <w:sz w:val="21"/>
          <w:lang w:val="en-US"/>
        </w:rPr>
      </w:r>
      <w:r>
        <w:rPr>
          <w:lang w:val="en-US"/>
        </w:rPr>
      </w:r>
      <w:r>
        <w:rPr>
          <w:i w:val="false"/>
          <w:sz w:val="21"/>
          <w:lang w:val="en-US"/>
        </w:rPr>
        <w:t xml:space="preserve"> rather than to a product. Calcined dolomite reduces the imbalance to 3.7 times at the cost of importing 3.33 kg of the magnesium product per cubic </w:t>
      </w:r>
      <w:r>
        <w:rPr>
          <w:lang w:val="en-US"/>
        </w:rPr>
        <w:t>meter</w:t>
      </w:r>
      <w:r>
        <w:rPr>
          <w:i w:val="false"/>
          <w:sz w:val="21"/>
          <w:lang w:val="en-US"/>
        </w:rPr>
        <w:t xml:space="preserve">, which weakens the recovery claim even as it improves the balance. The carbon burden can be removed only by moving it into the energy account: </w:t>
      </w:r>
      <w:r>
        <w:rPr>
          <w:lang w:val="en-US"/>
        </w:rPr>
        <w:t xml:space="preserve">an </w:t>
      </w:r>
      <w:r>
        <w:rPr>
          <w:i w:val="false"/>
          <w:sz w:val="21"/>
          <w:lang w:val="en-US"/>
        </w:rPr>
        <w:t xml:space="preserve">electrochemical base makes the reagent term slightly negative at -0.94 kg CO2 per cubic </w:t>
      </w:r>
      <w:r>
        <w:rPr>
          <w:lang w:val="en-US"/>
        </w:rPr>
        <w:t>meter</w:t>
      </w:r>
      <w:r>
        <w:rPr>
          <w:i w:val="false"/>
          <w:sz w:val="21"/>
          <w:lang w:val="en-US"/>
        </w:rPr>
        <w:t xml:space="preserve"> but adds 27 kWh m-3.</w:t>
      </w:r>
    </w:p>
    <w:p>
      <w:pPr>
        <w:pStyle w:val="Normal"/>
        <w:spacing w:before="0" w:after="160"/>
        <w:ind w:firstLine="317"/>
        <w:rPr/>
      </w:pPr>
      <w:r>
        <w:rPr>
          <w:i w:val="false"/>
          <w:sz w:val="21"/>
          <w:lang w:val="en-US"/>
        </w:rPr>
        <w:t xml:space="preserve">The embodied-carbon factors for soda ash and lime are taken from life-cycle inventory ranges rather than from a single primary measurement and are swept rather than fixed. The conclusion does not depend on where in those ranges the true values lie: at the combination most </w:t>
      </w:r>
      <w:r>
        <w:rPr>
          <w:lang w:val="en-US"/>
        </w:rPr>
        <w:t>favorable</w:t>
      </w:r>
      <w:r>
        <w:rPr>
          <w:i w:val="false"/>
          <w:sz w:val="21"/>
          <w:lang w:val="en-US"/>
        </w:rPr>
        <w:t xml:space="preserve"> to the process</w:t>
      </w:r>
      <w:r>
        <w:rPr>
          <w:lang w:val="en-US"/>
        </w:rPr>
        <w:t>,</w:t>
      </w:r>
      <w:r>
        <w:rPr>
          <w:i w:val="false"/>
          <w:sz w:val="21"/>
          <w:lang w:val="en-US"/>
        </w:rPr>
        <w:t xml:space="preserve"> the lowest reagent </w:t>
      </w:r>
      <w:r>
        <w:rPr>
          <w:lang w:val="en-US"/>
        </w:rPr>
        <w:t>factor</w:t>
      </w:r>
      <w:r>
        <w:rPr>
          <w:i w:val="false"/>
          <w:sz w:val="21"/>
          <w:lang w:val="en-US"/>
        </w:rPr>
        <w:t xml:space="preserve"> with the cleanest </w:t>
      </w:r>
      <w:r>
        <w:rPr>
          <w:lang w:val="en-US"/>
        </w:rPr>
        <w:t>grid—reagent carbon—is</w:t>
      </w:r>
      <w:r>
        <w:rPr>
          <w:i w:val="false"/>
          <w:sz w:val="21"/>
          <w:lang w:val="en-US"/>
        </w:rPr>
        <w:t xml:space="preserve"> 7.6 kg CO2 m-3 against 2.0 kg m-3 from electricity, and at every other combination tested</w:t>
      </w:r>
      <w:r>
        <w:rPr>
          <w:lang w:val="en-US"/>
        </w:rPr>
        <w:t>,</w:t>
      </w:r>
      <w:r>
        <w:rPr>
          <w:i w:val="false"/>
          <w:sz w:val="21"/>
          <w:lang w:val="en-US"/>
        </w:rPr>
        <w:t xml:space="preserve"> the margin is wider. The reagent term </w:t>
      </w:r>
      <w:r>
        <w:rPr>
          <w:lang w:val="en-US"/>
        </w:rPr>
        <w:t>is dominant</w:t>
      </w:r>
      <w:r>
        <w:rPr>
          <w:i w:val="false"/>
          <w:sz w:val="21"/>
          <w:lang w:val="en-US"/>
        </w:rPr>
        <w:t xml:space="preserve"> across the full plausible range.</w:t>
      </w:r>
    </w:p>
    <w:p>
      <w:pPr>
        <w:pStyle w:val="Normal"/>
        <w:spacing w:before="220" w:after="100"/>
        <w:rPr/>
      </w:pPr>
      <w:r>
        <w:rPr>
          <w:b/>
          <w:sz w:val="23"/>
          <w:lang w:val="en-US"/>
        </w:rPr>
        <w:t>4.8 Precipitation design basis</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Parameter</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Value</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Basis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Carbonate reagent</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Na2CO3, 1.023 kg per m3 feed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 mol per mol Ca, 10% excess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Alkalinity reagent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Ca(OH)2, 3.792 kg per m3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 mol per mol Mg, 10% excess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CaCO3 recovered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0.966 kg per m3 feed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95% yield</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Mg(OH)2 recovered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2.985 kg per m3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98% yield</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Residence time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 min carbonate, 45 min hydroxide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seawater practice</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Reactor volume per 1000 m3/d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5.7 and 8.6 m3</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residence time x concentrate flow</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Solid‒liquid separation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gravity thickener followed by filter press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assumed</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Cake solids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CaCO3 65%, Mg(OH)2 45%</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Mg(OH)2 dewaters poorly</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Product purity</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set by the NaCl background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see [9,17]</w:t>
            </w:r>
          </w:p>
        </w:tc>
      </w:tr>
    </w:tbl>
    <w:p>
      <w:pPr>
        <w:pStyle w:val="Normal"/>
        <w:spacing w:before="0" w:after="200"/>
        <w:rPr/>
      </w:pPr>
      <w:r>
        <w:rPr>
          <w:i/>
          <w:sz w:val="18"/>
          <w:lang w:val="en-US"/>
        </w:rPr>
        <w:t>Table 4. Precipitation design basis.</w:t>
      </w:r>
    </w:p>
    <w:p>
      <w:pPr>
        <w:pStyle w:val="Normal"/>
        <w:spacing w:before="220" w:after="100"/>
        <w:rPr/>
      </w:pPr>
      <w:r>
        <w:rPr>
          <w:b/>
          <w:sz w:val="23"/>
          <w:lang w:val="en-US"/>
        </w:rPr>
        <w:t>4.9 Operating cost and uncertainty propagation</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4896"/>
        <w:gridCol w:w="4896"/>
      </w:tblGrid>
      <w:tr>
        <w:trPr/>
        <w:tc>
          <w:tcPr>
            <w:tcW w:w="4896"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Item</w:t>
            </w:r>
          </w:p>
        </w:tc>
        <w:tc>
          <w:tcPr>
            <w:tcW w:w="4896"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 per m3 permeate</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Electricity</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1.049</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Precipitation reagents</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1.580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Pretreatment and CIP chemicals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0.030</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Membrane replacement (RO + concentrator)</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Cartridge filters and consumables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0.010</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Labor</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0.045</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Maintenance and spares (2% CAPEX/yr)</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0.055</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Insurance and overhead</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0.020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Solids handling and product logistics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0.035</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OPEX</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2.864</w:t>
            </w:r>
          </w:p>
        </w:tc>
      </w:tr>
    </w:tbl>
    <w:p>
      <w:pPr>
        <w:pStyle w:val="Normal"/>
        <w:spacing w:before="0" w:after="200"/>
        <w:rPr/>
      </w:pPr>
      <w:r>
        <w:rPr>
          <w:i/>
          <w:sz w:val="18"/>
          <w:lang w:val="en-US"/>
        </w:rPr>
        <w:t>Table 5. OPEX breakdown at $0.08 kWh-1 and the median modeled SEC.</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Cost element</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Conventional SWRO ($0.76 m-3)</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ILEDBV</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Intake and pretreatment</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High-pressure pumping and RO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Energy recovery device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turbine ERD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isobaric PX</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Posttreatment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Boron-compliant second pass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 (added in revision)</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Brine outfall/discharge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not applicable (no outfall)</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Brine concentration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Precipitation and solids handling</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Crystallization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Mineral revenue credit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bl>
    <w:p>
      <w:pPr>
        <w:pStyle w:val="Normal"/>
        <w:spacing w:before="0" w:after="200"/>
        <w:rPr/>
      </w:pPr>
      <w:r>
        <w:rPr>
          <w:i/>
          <w:sz w:val="18"/>
          <w:lang w:val="en-US"/>
        </w:rPr>
        <w:t>Table 6. Cost boundary comparison. The two levelized costs compared in the original did not cover the same scope; comparisons in this revision are made element by element on this table.</w:t>
      </w:r>
    </w:p>
    <w:p>
      <w:pPr>
        <w:pStyle w:val="Normal"/>
        <w:spacing w:before="0" w:after="160"/>
        <w:ind w:firstLine="317"/>
        <w:rPr/>
      </w:pPr>
      <w:r>
        <w:rPr>
          <w:i w:val="false"/>
          <w:sz w:val="21"/>
          <w:lang w:val="en-US"/>
        </w:rPr>
        <w:t>The parameters the consistency tests identify as governing were propagated by Monte Carlo with 300,000 samples (seed 20260919), sampling concentrator second-law efficiency, crystallizer energy, intake energy, electricity and reagent prices, CAPEX uplift, sellable fractions and prices for both minerals, reagent embodied carbon and grid carbon intensity. Every parameter is sampled from an independent uniform distribution over the interval given in Table 7; uniform sampling is used deliberately, since for most of these quantities</w:t>
      </w:r>
      <w:r>
        <w:rPr>
          <w:lang w:val="en-US"/>
        </w:rPr>
        <w:t>,</w:t>
      </w:r>
      <w:r>
        <w:rPr>
          <w:i w:val="false"/>
          <w:sz w:val="21"/>
          <w:lang w:val="en-US"/>
        </w:rPr>
        <w:t xml:space="preserve"> the literature supports a plausible range but not a shape.</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Sampled parameter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Lower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Upper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Unit</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Basis</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Concentrator second-law efficiency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0.55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range for high-pressure membrane stages</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Crystallizer energy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kWh m-3 feed</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MVC literature [20]</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Intake and pretreatment energy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0.80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kWh m-3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full reported intake range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Electricity price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 kWh-1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industrial tariff range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Soda ash price</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0.35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 kg-1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bulk industrial</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Hydrated lime price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 kg-1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bulk industrial</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CAPEX uplift for valorization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0.60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assumption, per reviewer request</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CaCO3 sellable fraction</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0.50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0.70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purity and market constraints</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Mg(OH)2 sellable fraction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market-absorption check, Section 4.3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Mineral price multiplier</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0.70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1.30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applied to both products</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Soda ash embodied carbon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0.80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1.30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kg CO2 kg-1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LCA inventory range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Lime embodied carbon</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0.90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1.50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kg CO2 kg-1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calcination plus fuel</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Grid carbon intensity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0.65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kg CO2 kWh-1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spans low-carbon to coal grids</w:t>
            </w:r>
          </w:p>
        </w:tc>
      </w:tr>
    </w:tbl>
    <w:p>
      <w:pPr>
        <w:pStyle w:val="Normal"/>
        <w:spacing w:before="0" w:after="200"/>
        <w:rPr/>
      </w:pPr>
      <w:r>
        <w:rPr>
          <w:i/>
          <w:sz w:val="18"/>
          <w:lang w:val="en-US"/>
        </w:rPr>
        <w:t>Table 7. Monte Carlo sampling ranges. All distributions are uniform and independent; the seed is recorded so that the draw is reproducible.</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Quantity</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Median</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5th percentile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95th percentile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Unit</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energy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2.358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1.763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3.558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kWh m-3 brine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SEC</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13.11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10.798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15.482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kWh m-3 permeate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Reagent OPEX</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1.697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1.264</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2.131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 m-3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OPEX</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3.715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 m-3</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Gross LCOW</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3.462</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2.82</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4.14</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 m-3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Mineral credit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1.252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0.834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1.779</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 m-3</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Net LCOW</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2.198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1.383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 m-3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Net CO2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14.324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10.691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18.228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kg m-3 permeate</w:t>
            </w:r>
          </w:p>
        </w:tc>
      </w:tr>
    </w:tbl>
    <w:p>
      <w:pPr>
        <w:pStyle w:val="Normal"/>
        <w:spacing w:before="0" w:after="200"/>
        <w:rPr/>
      </w:pPr>
      <w:r>
        <w:rPr>
          <w:i/>
          <w:sz w:val="18"/>
          <w:lang w:val="en-US"/>
        </w:rPr>
        <w:t>Table 8. Monte Carlo results, 300,000 samples.</w:t>
      </w:r>
    </w:p>
    <w:p>
      <w:pPr>
        <w:pStyle w:val="Normal"/>
        <w:spacing w:before="0" w:after="160"/>
        <w:ind w:firstLine="317"/>
        <w:rPr/>
      </w:pPr>
      <w:r>
        <w:rPr>
          <w:i w:val="false"/>
          <w:sz w:val="21"/>
          <w:lang w:val="en-US"/>
        </w:rPr>
        <w:t xml:space="preserve">The earlier version of this analysis treated </w:t>
      </w:r>
      <w:r>
        <w:rPr>
          <w:lang w:val="en-US"/>
        </w:rPr>
        <w:t>nonenergy</w:t>
      </w:r>
      <w:r>
        <w:rPr>
          <w:i w:val="false"/>
          <w:sz w:val="21"/>
          <w:lang w:val="en-US"/>
        </w:rPr>
        <w:t xml:space="preserve"> operating cost as a share of energy cost, which concealed the dominant term. </w:t>
      </w:r>
      <w:r>
        <w:rPr>
          <w:lang w:val="en-US"/>
        </w:rPr>
        <w:t>Costed explicitly, the precipitation reagents come to a median of $1.70</w:t>
      </w:r>
      <w:r>
        <w:rPr>
          <w:i w:val="false"/>
          <w:sz w:val="21"/>
          <w:lang w:val="en-US"/>
        </w:rPr>
      </w:r>
      <w:r>
        <w:rPr>
          <w:lang w:val="en-US"/>
        </w:rPr>
      </w:r>
      <w:r>
        <w:rPr>
          <w:i w:val="false"/>
          <w:sz w:val="21"/>
          <w:lang w:val="en-US"/>
        </w:rPr>
      </w:r>
      <w:r>
        <w:rPr>
          <w:lang w:val="en-US"/>
        </w:rPr>
      </w:r>
      <w:r>
        <w:rPr>
          <w:i w:val="false"/>
          <w:sz w:val="21"/>
          <w:lang w:val="en-US"/>
        </w:rPr>
        <w:t xml:space="preserve"> per cubic </w:t>
      </w:r>
      <w:r>
        <w:rPr>
          <w:lang w:val="en-US"/>
        </w:rPr>
        <w:t>meter</w:t>
      </w:r>
      <w:r>
        <w:rPr>
          <w:i w:val="false"/>
          <w:sz w:val="21"/>
          <w:lang w:val="en-US"/>
        </w:rPr>
        <w:t xml:space="preserve"> of permeate against a median </w:t>
      </w:r>
      <w:r>
        <w:rPr>
          <w:lang w:val="en-US"/>
        </w:rPr>
        <w:t>realizable</w:t>
      </w:r>
      <w:r>
        <w:rPr>
          <w:i w:val="false"/>
          <w:sz w:val="21"/>
          <w:lang w:val="en-US"/>
        </w:rPr>
        <w:t xml:space="preserve"> mineral credit of $1.25. The soda ash and lime required to precipitate the two products cost more than the products are worth. Of the 300,000 sampled combinations of prices, sellable fractions and capital assumptions, 271 (0.09%) produced a net cost below the conventional comparator, the most </w:t>
      </w:r>
      <w:r>
        <w:rPr>
          <w:lang w:val="en-US"/>
        </w:rPr>
        <w:t>favorable</w:t>
      </w:r>
      <w:r>
        <w:rPr>
          <w:i w:val="false"/>
          <w:sz w:val="21"/>
          <w:lang w:val="en-US"/>
        </w:rPr>
        <w:t xml:space="preserve"> reaching $0.35 m-3. The architecture is therefore not categorically more expensive; it is competitive only in a small corner of the sampled space, which Section 4.11 locates.</w:t>
      </w:r>
      <w:r>
        <w:rPr>
          <w:lang w:val="en-US"/>
        </w:rPr>
      </w:r>
      <w:r>
        <w:rPr>
          <w:i w:val="false"/>
          <w:sz w:val="21"/>
          <w:lang w:val="en-US"/>
        </w:rPr>
      </w:r>
      <w:r>
        <w:rPr>
          <w:lang w:val="en-US"/>
        </w:rPr>
      </w:r>
      <w:r>
        <w:rPr>
          <w:i w:val="false"/>
          <w:sz w:val="21"/>
          <w:lang w:val="en-US"/>
        </w:rPr>
        <w:t xml:space="preserve"> No sampled configuration is carbon negative. The comparator itself requires definition: the $0.76 m-3 figure is a levelized cost for a conventional SWRO plant covering intake, pretreatment, high-pressure pumping with energy recovery, posttreatment, brine outfall, membrane replacement, labor, maintenance and annualized capital at the same 6% discount rate and 20-year life used here. It excludes distribution and excludes any valorization train.</w:t>
      </w:r>
      <w:r>
        <w:rPr>
          <w:lang w:val="en-US"/>
        </w:rPr>
      </w:r>
      <w:r>
        <w:rPr>
          <w:i w:val="false"/>
          <w:sz w:val="21"/>
          <w:lang w:val="en-US"/>
        </w:rPr>
        <w:t xml:space="preserve"> Table 6 </w:t>
      </w:r>
      <w:r>
        <w:rPr>
          <w:lang w:val="en-US"/>
        </w:rPr>
        <w:t>shows</w:t>
      </w:r>
      <w:r>
        <w:rPr>
          <w:i w:val="false"/>
          <w:sz w:val="21"/>
          <w:lang w:val="en-US"/>
        </w:rPr>
        <w:t xml:space="preserve"> the two boundaries side by side, and the comparison in this paper is made on that table rather than between headline figures.</w:t>
      </w:r>
    </w:p>
    <w:p>
      <w:pPr>
        <w:pStyle w:val="Normal"/>
        <w:spacing w:before="220" w:after="100"/>
        <w:rPr/>
      </w:pPr>
      <w:r>
        <w:rPr>
          <w:b/>
          <w:sz w:val="23"/>
          <w:lang w:val="en-US"/>
        </w:rPr>
        <w:t>4.10  Which correction reverses the conclusion</w:t>
      </w:r>
    </w:p>
    <w:p>
      <w:pPr>
        <w:pStyle w:val="Normal"/>
        <w:spacing w:before="0" w:after="160"/>
        <w:ind w:firstLine="317"/>
        <w:rPr/>
      </w:pPr>
      <w:r>
        <w:rPr>
          <w:i w:val="false"/>
          <w:sz w:val="21"/>
          <w:lang w:val="en-US"/>
        </w:rPr>
        <w:t xml:space="preserve">The revision reverses the </w:t>
      </w:r>
      <w:r>
        <w:rPr>
          <w:lang w:val="en-US"/>
        </w:rPr>
        <w:t>original</w:t>
      </w:r>
      <w:r>
        <w:rPr>
          <w:i w:val="false"/>
          <w:sz w:val="21"/>
          <w:lang w:val="en-US"/>
        </w:rPr>
        <w:t xml:space="preserve"> economic conclusion, but the original </w:t>
      </w:r>
      <w:r>
        <w:rPr>
          <w:lang w:val="en-US"/>
        </w:rPr>
        <w:t>conclusion contains</w:t>
      </w:r>
      <w:r>
        <w:rPr>
          <w:i w:val="false"/>
          <w:sz w:val="21"/>
          <w:lang w:val="en-US"/>
        </w:rPr>
        <w:t xml:space="preserve"> two independent errors</w:t>
      </w:r>
      <w:r>
        <w:rPr>
          <w:lang w:val="en-US"/>
        </w:rPr>
        <w:t>,</w:t>
      </w:r>
      <w:r>
        <w:rPr>
          <w:i w:val="false"/>
          <w:sz w:val="21"/>
          <w:lang w:val="en-US"/>
        </w:rPr>
        <w:t xml:space="preserve"> and the analysis thus far does not say which is responsible. </w:t>
      </w:r>
      <w:r>
        <w:rPr>
          <w:lang w:val="en-US"/>
        </w:rPr>
        <w:t>Each</w:t>
      </w:r>
      <w:r>
        <w:rPr>
          <w:i w:val="false"/>
          <w:sz w:val="21"/>
          <w:lang w:val="en-US"/>
        </w:rPr>
        <w:t xml:space="preserve"> correction </w:t>
      </w:r>
      <w:r>
        <w:rPr>
          <w:lang w:val="en-US"/>
        </w:rPr>
        <w:t xml:space="preserve">is turned </w:t>
      </w:r>
      <w:r>
        <w:rPr>
          <w:i w:val="false"/>
          <w:sz w:val="21"/>
          <w:lang w:val="en-US"/>
        </w:rPr>
        <w:t xml:space="preserve">on in sequence, with every other parameter at its median, </w:t>
      </w:r>
      <w:r>
        <w:rPr>
          <w:lang w:val="en-US"/>
        </w:rPr>
        <w:t>to separate</w:t>
      </w:r>
      <w:r>
        <w:rPr>
          <w:i w:val="false"/>
          <w:sz w:val="21"/>
          <w:lang w:val="en-US"/>
        </w:rPr>
        <w:t xml:space="preserve"> them (Table 9, Figure 7A).</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2448"/>
        <w:gridCol w:w="2448"/>
        <w:gridCol w:w="2448"/>
        <w:gridCol w:w="2448"/>
      </w:tblGrid>
      <w:tr>
        <w:trPr/>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Configuration</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SEC (kWh m-3)</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Net LCOW ($ m-3)</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Change ($ m-3)</w:t>
            </w:r>
          </w:p>
        </w:tc>
      </w:tr>
      <w:tr>
        <w:trPr/>
        <w:tc>
          <w:tcPr>
            <w:tcW w:w="244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Original assumptions</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11.00</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0.41</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244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corrected to the thermodynamic bound</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12.96</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0.64</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w:t>
            </w:r>
          </w:p>
        </w:tc>
      </w:tr>
      <w:tr>
        <w:trPr/>
        <w:tc>
          <w:tcPr>
            <w:tcW w:w="244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Reagents costed explicitly</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12.96</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2.19</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+1.55</w:t>
            </w:r>
          </w:p>
        </w:tc>
      </w:tr>
    </w:tbl>
    <w:p>
      <w:pPr>
        <w:pStyle w:val="Normal"/>
        <w:spacing w:before="0" w:after="200"/>
        <w:rPr/>
      </w:pPr>
      <w:r>
        <w:rPr>
          <w:i/>
          <w:sz w:val="18"/>
          <w:lang w:val="en-US"/>
        </w:rPr>
        <w:t>Table 9. Ablation of the two corrections. Each row adds one correction to the row above, and all the other parameters are held at their median. The conventional comparator is $0.76 m-3.</w:t>
      </w:r>
    </w:p>
    <w:p>
      <w:pPr>
        <w:pStyle w:val="Normal"/>
        <w:spacing w:before="0" w:after="160"/>
        <w:ind w:firstLine="317"/>
        <w:rPr/>
      </w:pPr>
      <w:r>
        <w:rPr>
          <w:lang w:val="en-US"/>
        </w:rPr>
        <w:t>This</w:t>
      </w:r>
      <w:r>
        <w:rPr>
          <w:i w:val="false"/>
          <w:sz w:val="21"/>
          <w:lang w:val="en-US"/>
        </w:rPr>
        <w:t xml:space="preserve"> result is not what this paper’s emphasis implies. Correcting the concentrator to the thermodynamic bound </w:t>
      </w:r>
      <w:r>
        <w:rPr>
          <w:lang w:val="en-US"/>
        </w:rPr>
        <w:t>increases</w:t>
      </w:r>
      <w:r>
        <w:rPr>
          <w:i w:val="false"/>
          <w:sz w:val="21"/>
          <w:lang w:val="en-US"/>
        </w:rPr>
        <w:t xml:space="preserve"> the </w:t>
      </w:r>
      <w:r>
        <w:rPr>
          <w:lang w:val="en-US"/>
        </w:rPr>
        <w:t>modeled</w:t>
      </w:r>
      <w:r>
        <w:rPr>
          <w:i w:val="false"/>
          <w:sz w:val="21"/>
          <w:lang w:val="en-US"/>
        </w:rPr>
        <w:t xml:space="preserve"> cost by $0.23 m-3 and leaves the architecture at $0.64 m-3, </w:t>
      </w:r>
      <w:r>
        <w:rPr>
          <w:lang w:val="en-US"/>
        </w:rPr>
        <w:t xml:space="preserve">which is </w:t>
      </w:r>
      <w:r>
        <w:rPr>
          <w:i w:val="false"/>
          <w:sz w:val="21"/>
          <w:lang w:val="en-US"/>
        </w:rPr>
        <w:t xml:space="preserve">still below the $0.76 m-3 comparator. </w:t>
      </w:r>
      <w:r>
        <w:rPr>
          <w:lang w:val="en-US"/>
        </w:rPr>
        <w:t>What reverses the conclusion is costing the precipitation reagents explicitly, worth $1.55 m-3</w:t>
      </w:r>
      <w:r>
        <w:rPr>
          <w:i w:val="false"/>
          <w:sz w:val="21"/>
          <w:lang w:val="en-US"/>
        </w:rPr>
      </w:r>
      <w:r>
        <w:rPr>
          <w:lang w:val="en-US"/>
        </w:rPr>
      </w:r>
      <w:r>
        <w:rPr>
          <w:i w:val="false"/>
          <w:sz w:val="21"/>
          <w:lang w:val="en-US"/>
        </w:rPr>
      </w:r>
      <w:r>
        <w:rPr>
          <w:lang w:val="en-US"/>
        </w:rPr>
      </w:r>
      <w:r>
        <w:rPr>
          <w:i w:val="false"/>
          <w:sz w:val="21"/>
          <w:lang w:val="en-US"/>
        </w:rPr>
        <w:t xml:space="preserve">, or 6.8 times the thermodynamic correction. Consistency test 1 establishes that the original concentrator specification was thermodynamically inadmissible, which is a statement about physical possibility and stands on its own merits; </w:t>
      </w:r>
      <w:r>
        <w:rPr>
          <w:lang w:val="en-US"/>
        </w:rPr>
        <w:t>however,</w:t>
      </w:r>
      <w:r>
        <w:rPr>
          <w:i w:val="false"/>
          <w:sz w:val="21"/>
          <w:lang w:val="en-US"/>
        </w:rPr>
        <w:t xml:space="preserve"> the economic reversal is carried almost entirely by</w:t>
      </w:r>
      <w:r>
        <w:rPr>
          <w:lang w:val="en-US"/>
        </w:rPr>
      </w:r>
      <w:r>
        <w:rPr>
          <w:i w:val="false"/>
          <w:sz w:val="21"/>
          <w:lang w:val="en-US"/>
        </w:rPr>
        <w:t xml:space="preserve"> consistency test 3. Alkalinity, not thermodynamics, is what makes this architecture uncompetitive, and the title of this paper should be read accordingly.</w:t>
      </w:r>
    </w:p>
    <w:p>
      <w:pPr>
        <w:pStyle w:val="Normal"/>
        <w:spacing w:before="220" w:after="100"/>
        <w:rPr/>
      </w:pPr>
      <w:r>
        <w:rPr>
          <w:b/>
          <w:sz w:val="23"/>
          <w:lang w:val="en-US"/>
        </w:rPr>
        <w:t>4.11 Parameter attribution and the admissibility domain</w:t>
      </w:r>
    </w:p>
    <w:p>
      <w:pPr>
        <w:pStyle w:val="Normal"/>
        <w:spacing w:before="0" w:after="160"/>
        <w:ind w:firstLine="317"/>
        <w:rPr/>
      </w:pPr>
      <w:r>
        <w:rPr>
          <w:i w:val="false"/>
          <w:sz w:val="21"/>
          <w:lang w:val="en-US"/>
        </w:rPr>
        <w:t>Two questions follow: which sampled parameter governs the spread in net cost, and whether any region of the parameter space is competitive.</w:t>
      </w:r>
      <w:r>
        <w:rPr>
          <w:lang w:val="en-US"/>
        </w:rPr>
      </w:r>
      <w:r>
        <w:rPr>
          <w:i w:val="false"/>
          <w:sz w:val="21"/>
          <w:lang w:val="en-US"/>
        </w:rPr>
      </w:r>
      <w:r>
        <w:rPr>
          <w:lang w:val="en-US"/>
        </w:rPr>
      </w:r>
      <w:r>
        <w:rPr>
          <w:i w:val="false"/>
          <w:sz w:val="21"/>
          <w:lang w:val="en-US"/>
        </w:rPr>
        <w:t xml:space="preserve"> Table 10 ranks the sampled parameters by Spearman rank correlation with net LCOW, together with the swing each commands between</w:t>
      </w:r>
      <w:r>
        <w:rPr>
          <w:lang w:val="en-US"/>
        </w:rPr>
      </w:r>
      <w:r>
        <w:rPr>
          <w:i w:val="false"/>
          <w:sz w:val="21"/>
          <w:lang w:val="en-US"/>
        </w:rPr>
      </w:r>
      <w:r>
        <w:rPr>
          <w:lang w:val="en-US"/>
        </w:rPr>
      </w:r>
      <w:r>
        <w:rPr>
          <w:i w:val="false"/>
          <w:sz w:val="21"/>
          <w:lang w:val="en-US"/>
        </w:rPr>
        <w:t xml:space="preserve"> the lowest and highest deciles of its own range (Figure 7B). Rank correlation is used because the cost model is not linear in every input.</w:t>
      </w:r>
      <w:r>
        <w:rPr>
          <w:lang w:val="en-US"/>
        </w:rPr>
      </w:r>
      <w:r>
        <w:rPr>
          <w:i w:val="false"/>
          <w:sz w:val="21"/>
          <w:lang w:val="en-US"/>
        </w:rPr>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Parameter</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Spearman rho</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Swing ($ m-3)</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electricity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+0.534</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0.822</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hydrated lime price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+0.488</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0.759</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sellable fraction, Mg(OH)2</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-0.463</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0.725</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Mg(OH)2 price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-0.229</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0.364</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soda ash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+0.222</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0.348</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crystallizer energy</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+0.210</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0.333</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carbonate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-0.207</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0.326</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sellable fraction, carbonate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-0.115</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0.183</w:t>
            </w:r>
          </w:p>
        </w:tc>
      </w:tr>
    </w:tbl>
    <w:p>
      <w:pPr>
        <w:pStyle w:val="Normal"/>
        <w:spacing w:before="0" w:after="200"/>
        <w:rPr/>
      </w:pPr>
      <w:r>
        <w:rPr>
          <w:i/>
          <w:sz w:val="18"/>
          <w:lang w:val="en-US"/>
        </w:rPr>
        <w:t>Table 10. The eight parameters most strongly associated with net LCOW, of the thirteen sampled.</w:t>
      </w:r>
    </w:p>
    <w:p>
      <w:pPr>
        <w:pStyle w:val="Normal"/>
        <w:spacing w:before="0" w:after="160"/>
        <w:ind w:firstLine="317"/>
        <w:rPr/>
      </w:pPr>
      <w:r>
        <w:rPr>
          <w:i w:val="false"/>
          <w:sz w:val="21"/>
          <w:lang w:val="en-US"/>
        </w:rPr>
        <w:t xml:space="preserve">Two of the three leading parameters, hydrated lime price and the sellable fraction of Mg(OH)2, belong to the alkalinity chain, which is the conclusion the ablation reaches by a different route. </w:t>
      </w:r>
      <w:r>
        <w:rPr>
          <w:lang w:val="en-US"/>
        </w:rPr>
        <w:t>The concentrator second-law efficiency, the quantity this paper analyzes most closely, ranks 9 of 14 with rho = -0.114.</w:t>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t xml:space="preserve"> That is not a contradiction. The thermodynamic argument </w:t>
      </w:r>
      <w:r>
        <w:rPr>
          <w:lang w:val="en-US"/>
        </w:rPr>
        <w:t>determines whether the original specification was admissible at all, a question no cost sensitivity can answer, while contributing</w:t>
      </w:r>
      <w:r>
        <w:rPr>
          <w:i w:val="false"/>
          <w:sz w:val="21"/>
          <w:lang w:val="en-US"/>
        </w:rPr>
      </w:r>
      <w:r>
        <w:rPr>
          <w:lang w:val="en-US"/>
        </w:rPr>
      </w:r>
      <w:r>
        <w:rPr>
          <w:i w:val="false"/>
          <w:sz w:val="21"/>
          <w:lang w:val="en-US"/>
        </w:rPr>
      </w:r>
      <w:r>
        <w:rPr>
          <w:lang w:val="en-US"/>
        </w:rPr>
      </w:r>
      <w:r>
        <w:rPr>
          <w:i w:val="false"/>
          <w:sz w:val="21"/>
          <w:lang w:val="en-US"/>
        </w:rPr>
        <w:t xml:space="preserve"> little to the cost spread once a physically admissible range is imposed. Sensitivity and admissibility are different questions and are reported here separately.</w:t>
      </w:r>
    </w:p>
    <w:p>
      <w:pPr>
        <w:pStyle w:val="Normal"/>
        <w:spacing w:before="0" w:after="160"/>
        <w:ind w:firstLine="317"/>
        <w:rPr/>
      </w:pPr>
      <w:r>
        <w:rPr>
          <w:lang w:val="en-US"/>
        </w:rPr>
        <w:t>The</w:t>
      </w:r>
      <w:r>
        <w:rPr>
          <w:i w:val="false"/>
          <w:sz w:val="21"/>
          <w:lang w:val="en-US"/>
        </w:rPr>
        <w:t xml:space="preserve"> probability that net LCOW falls below the comparator over the plane of reagent cost and mineral value, both relative to the values </w:t>
      </w:r>
      <w:r>
        <w:rPr>
          <w:lang w:val="en-US"/>
        </w:rPr>
        <w:t>modeled</w:t>
      </w:r>
      <w:r>
        <w:rPr>
          <w:i w:val="false"/>
          <w:sz w:val="21"/>
          <w:lang w:val="en-US"/>
        </w:rPr>
        <w:t xml:space="preserve"> here</w:t>
      </w:r>
      <w:r>
        <w:rPr>
          <w:lang w:val="en-US"/>
        </w:rPr>
        <w:t>, is shown in Figure 7C</w:t>
      </w:r>
      <w:r>
        <w:rPr>
          <w:i w:val="false"/>
          <w:sz w:val="21"/>
          <w:lang w:val="en-US"/>
        </w:rPr>
        <w:t xml:space="preserve">. The </w:t>
      </w:r>
      <w:r>
        <w:rPr>
          <w:lang w:val="en-US"/>
        </w:rPr>
        <w:t>modeled</w:t>
      </w:r>
      <w:r>
        <w:rPr>
          <w:i w:val="false"/>
          <w:sz w:val="21"/>
          <w:lang w:val="en-US"/>
        </w:rPr>
        <w:t xml:space="preserve"> operating point lies deep in the inadmissible region. Reaching the comparator at present reagent prices requires the recovered minerals to be worth 2.1 times the value assumed here; </w:t>
      </w:r>
      <w:r>
        <w:rPr>
          <w:lang w:val="en-US"/>
        </w:rPr>
        <w:t>were the reagent requirement eliminated entirely, 0.8 times would suffice</w:t>
      </w:r>
      <w:r>
        <w:rPr>
          <w:i w:val="false"/>
          <w:sz w:val="21"/>
          <w:lang w:val="en-US"/>
        </w:rPr>
      </w:r>
      <w:r>
        <w:rPr>
          <w:lang w:val="en-US"/>
        </w:rPr>
      </w:r>
      <w:r>
        <w:rPr>
          <w:i w:val="false"/>
          <w:sz w:val="21"/>
          <w:lang w:val="en-US"/>
        </w:rPr>
        <w:t>. These are the two available levers, and their magnitudes are the specification any future version</w:t>
      </w:r>
      <w:r>
        <w:rPr>
          <w:lang w:val="en-US"/>
        </w:rPr>
      </w:r>
      <w:r>
        <w:rPr>
          <w:i w:val="false"/>
          <w:sz w:val="21"/>
          <w:lang w:val="en-US"/>
        </w:rPr>
        <w:t xml:space="preserve"> of this architecture would have to meet. Neither is reached by improving the concentrator.</w:t>
      </w:r>
    </w:p>
    <w:p>
      <w:pPr>
        <w:pStyle w:val="Normal"/>
        <w:spacing w:before="220" w:after="100"/>
        <w:rPr/>
      </w:pPr>
      <w:r>
        <w:rPr>
          <w:b/>
          <w:sz w:val="23"/>
          <w:lang w:val="en-US"/>
        </w:rPr>
        <w:t>4.12 Unbinding the constraint: electrochemical alkalinity supply</w:t>
      </w:r>
    </w:p>
    <w:p>
      <w:pPr>
        <w:pStyle w:val="Normal"/>
        <w:spacing w:before="0" w:after="160"/>
        <w:ind w:firstLine="317"/>
        <w:rPr/>
      </w:pPr>
      <w:r>
        <w:rPr>
          <w:i w:val="false"/>
          <w:sz w:val="21"/>
          <w:lang w:val="en-US"/>
        </w:rPr>
        <w:t xml:space="preserve">Sections 4.10 and 4.11 establish that the alkalinity requirement, not the concentrator, is what makes this architecture uncompetitive. That is a statement about how </w:t>
      </w:r>
      <w:r>
        <w:rPr>
          <w:lang w:val="en-US"/>
        </w:rPr>
        <w:t xml:space="preserve">the </w:t>
      </w:r>
      <w:r>
        <w:rPr>
          <w:i w:val="false"/>
          <w:sz w:val="21"/>
          <w:lang w:val="en-US"/>
        </w:rPr>
        <w:t xml:space="preserve">base is supplied, not about the architecture as such. The stoichiometry is </w:t>
      </w:r>
      <w:r>
        <w:rPr>
          <w:lang w:val="en-US"/>
        </w:rPr>
        <w:t>fixed—two</w:t>
      </w:r>
      <w:r>
        <w:rPr>
          <w:i w:val="false"/>
          <w:sz w:val="21"/>
          <w:lang w:val="en-US"/>
        </w:rPr>
        <w:t xml:space="preserve"> equivalents per mole of Mg(OH)2 however the base arrives—</w:t>
      </w:r>
      <w:r>
        <w:rPr>
          <w:lang w:val="en-US"/>
        </w:rPr>
      </w:r>
      <w:r>
        <w:rPr>
          <w:i w:val="false"/>
          <w:sz w:val="21"/>
          <w:lang w:val="en-US"/>
        </w:rPr>
      </w:r>
      <w:r>
        <w:rPr>
          <w:lang w:val="en-US"/>
        </w:rPr>
      </w:r>
      <w:r>
        <w:rPr>
          <w:i w:val="false"/>
          <w:sz w:val="21"/>
          <w:lang w:val="en-US"/>
        </w:rPr>
      </w:r>
      <w:r>
        <w:rPr>
          <w:lang w:val="en-US"/>
        </w:rPr>
        <w:t>but</w:t>
      </w:r>
      <w:r>
        <w:rPr>
          <w:i w:val="false"/>
          <w:sz w:val="21"/>
          <w:lang w:val="en-US"/>
        </w:rPr>
        <w:t xml:space="preserve"> the supply route is a design choice, and Section 4.7 evaluated four of them. Route D, in which base is generated electrochemically</w:t>
      </w:r>
      <w:r>
        <w:rPr>
          <w:lang w:val="en-US"/>
        </w:rPr>
      </w:r>
      <w:r>
        <w:rPr>
          <w:i w:val="false"/>
          <w:sz w:val="21"/>
          <w:lang w:val="en-US"/>
        </w:rPr>
        <w:t xml:space="preserve"> on site and captured CO2 is dosed as the carbonate source, changes the binding constraint rather than relaxing it.</w:t>
      </w:r>
    </w:p>
    <w:p>
      <w:pPr>
        <w:pStyle w:val="Normal"/>
        <w:spacing w:before="0" w:after="160"/>
        <w:ind w:firstLine="317"/>
        <w:rPr/>
      </w:pPr>
      <w:r>
        <w:rPr>
          <w:i w:val="false"/>
          <w:sz w:val="21"/>
          <w:lang w:val="en-US"/>
        </w:rPr>
        <w:t xml:space="preserve">Three consequences follow, and they are of different </w:t>
      </w:r>
      <w:r>
        <w:rPr>
          <w:lang w:val="en-US"/>
        </w:rPr>
        <w:t>types</w:t>
      </w:r>
      <w:r>
        <w:rPr>
          <w:i w:val="false"/>
          <w:sz w:val="21"/>
          <w:lang w:val="en-US"/>
        </w:rPr>
        <w:t>. Stoichiometrically, no lime is added</w:t>
      </w:r>
      <w:r>
        <w:rPr>
          <w:lang w:val="en-US"/>
        </w:rPr>
        <w:t>; thus</w:t>
      </w:r>
      <w:r>
        <w:rPr>
          <w:i w:val="false"/>
          <w:sz w:val="21"/>
          <w:lang w:val="en-US"/>
        </w:rPr>
        <w:t>, no calcium is released</w:t>
      </w:r>
      <w:r>
        <w:rPr>
          <w:lang w:val="en-US"/>
        </w:rPr>
        <w:t>,</w:t>
      </w:r>
      <w:r>
        <w:rPr>
          <w:i w:val="false"/>
          <w:sz w:val="21"/>
          <w:lang w:val="en-US"/>
        </w:rPr>
        <w:t xml:space="preserve"> and the closure ratio </w:t>
      </w:r>
      <w:r>
        <w:rPr>
          <w:lang w:val="en-US"/>
        </w:rPr>
        <w:t>decreases</w:t>
      </w:r>
      <w:r>
        <w:rPr>
          <w:i w:val="false"/>
          <w:sz w:val="21"/>
          <w:lang w:val="en-US"/>
        </w:rPr>
        <w:t xml:space="preserve"> from 5.33 to 0.00</w:t>
      </w:r>
      <w:r>
        <w:rPr>
          <w:lang w:val="en-US"/>
        </w:rPr>
        <w:t>, indicating that</w:t>
      </w:r>
      <w:r>
        <w:rPr>
          <w:i w:val="false"/>
          <w:sz w:val="21"/>
          <w:lang w:val="en-US"/>
        </w:rPr>
        <w:t xml:space="preserve"> the calcium balance </w:t>
      </w:r>
      <w:r>
        <w:rPr>
          <w:lang w:val="en-US"/>
        </w:rPr>
        <w:t>is</w:t>
      </w:r>
      <w:r>
        <w:rPr>
          <w:i w:val="false"/>
          <w:sz w:val="21"/>
          <w:lang w:val="en-US"/>
        </w:rPr>
        <w:t xml:space="preserve"> exactly</w:t>
      </w:r>
      <w:r>
        <w:rPr>
          <w:lang w:val="en-US"/>
        </w:rPr>
        <w:t xml:space="preserve"> closed</w:t>
      </w:r>
      <w:r>
        <w:rPr>
          <w:i w:val="false"/>
          <w:sz w:val="21"/>
          <w:lang w:val="en-US"/>
        </w:rPr>
        <w:t xml:space="preserve">. In terms </w:t>
      </w:r>
      <w:r>
        <w:rPr>
          <w:lang w:val="en-US"/>
        </w:rPr>
        <w:t xml:space="preserve">of carbon, </w:t>
      </w:r>
      <w:r>
        <w:rPr>
          <w:i w:val="false"/>
          <w:sz w:val="21"/>
          <w:lang w:val="en-US"/>
        </w:rPr>
        <w:t>the only reagent is captured CO2, which ends up bound in the carbonate product</w:t>
      </w:r>
      <w:r>
        <w:rPr>
          <w:lang w:val="en-US"/>
        </w:rPr>
        <w:t>; thus, reagent carbon becomes -0.94</w:t>
      </w:r>
      <w:r>
        <w:rPr>
          <w:i w:val="false"/>
          <w:sz w:val="21"/>
          <w:lang w:val="en-US"/>
        </w:rPr>
      </w:r>
      <w:r>
        <w:rPr>
          <w:lang w:val="en-US"/>
        </w:rPr>
      </w:r>
      <w:r>
        <w:rPr>
          <w:i w:val="false"/>
          <w:sz w:val="21"/>
          <w:lang w:val="en-US"/>
        </w:rPr>
        <w:t xml:space="preserve"> kg CO2 per cubic </w:t>
      </w:r>
      <w:r>
        <w:rPr>
          <w:lang w:val="en-US"/>
        </w:rPr>
        <w:t>meter</w:t>
      </w:r>
      <w:r>
        <w:rPr>
          <w:i w:val="false"/>
          <w:sz w:val="21"/>
          <w:lang w:val="en-US"/>
        </w:rPr>
        <w:t xml:space="preserve"> against +9.97 for the purchased-alkali route. Economically, the reagent bill of $1.70 m-3 is replaced by 27.1 kWh m-3 of electrochemical demand, </w:t>
      </w:r>
      <w:r>
        <w:rPr>
          <w:lang w:val="en-US"/>
        </w:rPr>
        <w:t>increasing the modeled</w:t>
      </w:r>
      <w:r>
        <w:rPr>
          <w:i w:val="false"/>
          <w:sz w:val="21"/>
          <w:lang w:val="en-US"/>
        </w:rPr>
        <w:t xml:space="preserve"> total specific energy consumption from 13.1 to 40.3 kWh m-3.</w:t>
      </w:r>
    </w:p>
    <w:p>
      <w:pPr>
        <w:pStyle w:val="Normal"/>
        <w:spacing w:before="0" w:after="160"/>
        <w:ind w:firstLine="317"/>
        <w:rPr/>
      </w:pPr>
      <w:r>
        <w:rPr>
          <w:i w:val="false"/>
          <w:sz w:val="21"/>
          <w:lang w:val="en-US"/>
        </w:rPr>
        <w:t>That substitution converts a commodity price into an energy price, and the two do not behave alike. Solving for the electricity price at which the two routes cost the same gives $0.061 kWh-1</w:t>
      </w:r>
      <w:r>
        <w:rPr>
          <w:lang w:val="en-US"/>
        </w:rPr>
      </w:r>
      <w:r>
        <w:rPr>
          <w:i w:val="false"/>
          <w:sz w:val="21"/>
          <w:lang w:val="en-US"/>
        </w:rPr>
        <w:t xml:space="preserve">; below it, </w:t>
      </w:r>
      <w:r>
        <w:rPr>
          <w:lang w:val="en-US"/>
        </w:rPr>
        <w:t xml:space="preserve">an </w:t>
      </w:r>
      <w:r>
        <w:rPr>
          <w:i w:val="false"/>
          <w:sz w:val="21"/>
          <w:lang w:val="en-US"/>
        </w:rPr>
        <w:t xml:space="preserve">electrochemical supply is </w:t>
      </w:r>
      <w:r>
        <w:rPr>
          <w:lang w:val="en-US"/>
        </w:rPr>
        <w:t>less expensive</w:t>
      </w:r>
      <w:r>
        <w:rPr>
          <w:i w:val="false"/>
          <w:sz w:val="21"/>
          <w:lang w:val="en-US"/>
        </w:rPr>
        <w:t>. Solving for the price at which route D reaches the conventional comparator gives $0.033 kWh-1 (Fig. 8A). The purchased-alkali route has no such crossing: at zero electricity cost</w:t>
      </w:r>
      <w:r>
        <w:rPr>
          <w:lang w:val="en-US"/>
        </w:rPr>
        <w:t>,</w:t>
      </w:r>
      <w:r>
        <w:rPr>
          <w:i w:val="false"/>
          <w:sz w:val="21"/>
          <w:lang w:val="en-US"/>
        </w:rPr>
        <w:t xml:space="preserve"> it still sits at $1.10 m-3, </w:t>
      </w:r>
      <w:r>
        <w:rPr>
          <w:lang w:val="en-US"/>
        </w:rPr>
        <w:t xml:space="preserve">which is </w:t>
      </w:r>
      <w:r>
        <w:rPr>
          <w:i w:val="false"/>
          <w:sz w:val="21"/>
          <w:lang w:val="en-US"/>
        </w:rPr>
        <w:t>$0.34 above the comparator, because the gap is reagents, capital and fixed operating cost net of the mineral credit rather than energy. No electricity price rescues route A; route D competes below a price that several desalination regions already contract.</w:t>
      </w:r>
    </w:p>
    <w:p>
      <w:pPr>
        <w:pStyle w:val="Normal"/>
        <w:spacing w:before="0" w:after="160"/>
        <w:ind w:firstLine="317"/>
        <w:rPr/>
      </w:pPr>
      <w:r>
        <w:rPr>
          <w:i w:val="false"/>
          <w:sz w:val="21"/>
          <w:lang w:val="en-US"/>
        </w:rPr>
        <w:t xml:space="preserve">The conclusion does not rest on the mineral credit. Recomputing the crossing at reduced credit gives $0.0172 kWh-1 at half the </w:t>
      </w:r>
      <w:r>
        <w:rPr>
          <w:lang w:val="en-US"/>
        </w:rPr>
        <w:t>modeled</w:t>
      </w:r>
      <w:r>
        <w:rPr>
          <w:i w:val="false"/>
          <w:sz w:val="21"/>
          <w:lang w:val="en-US"/>
        </w:rPr>
        <w:t xml:space="preserve"> value and $0.0016 kWh-1 with no mineral revenue at all (Fig. 8B); the credit changes where the line sits, not whether it exists.</w:t>
      </w:r>
    </w:p>
    <w:p>
      <w:pPr>
        <w:pStyle w:val="Normal"/>
        <w:spacing w:before="0" w:after="160"/>
        <w:ind w:firstLine="317"/>
        <w:rPr/>
      </w:pPr>
      <w:r>
        <w:rPr>
          <w:i w:val="false"/>
          <w:sz w:val="21"/>
          <w:lang w:val="en-US"/>
        </w:rPr>
        <w:t>Two conditions bound the result, and both are stated rather than assumed. The electricity must be cheap, which is the crossing above</w:t>
      </w:r>
      <w:r>
        <w:rPr>
          <w:lang w:val="en-US"/>
        </w:rPr>
        <w:t>,</w:t>
      </w:r>
      <w:r>
        <w:rPr>
          <w:i w:val="false"/>
          <w:sz w:val="21"/>
          <w:lang w:val="en-US"/>
        </w:rPr>
        <w:t xml:space="preserve"> and it must also be clean for a separate reason. Drawing 40.3 kWh m-3 from a grid at 0.55 kg CO2 kWh-1 yields +20.3 kg CO2 m-3, </w:t>
      </w:r>
      <w:r>
        <w:rPr>
          <w:lang w:val="en-US"/>
        </w:rPr>
        <w:t xml:space="preserve">which is </w:t>
      </w:r>
      <w:r>
        <w:rPr>
          <w:i w:val="false"/>
          <w:sz w:val="21"/>
          <w:lang w:val="en-US"/>
        </w:rPr>
        <w:t xml:space="preserve">worse than </w:t>
      </w:r>
      <w:r>
        <w:rPr>
          <w:lang w:val="en-US"/>
        </w:rPr>
        <w:t xml:space="preserve">that of </w:t>
      </w:r>
      <w:r>
        <w:rPr>
          <w:i w:val="false"/>
          <w:sz w:val="21"/>
          <w:lang w:val="en-US"/>
        </w:rPr>
        <w:t xml:space="preserve">the purchased-alkali route at +16.2. </w:t>
      </w:r>
      <w:r>
        <w:rPr>
          <w:lang w:val="en-US"/>
        </w:rPr>
        <w:t>With respect to the</w:t>
      </w:r>
      <w:r>
        <w:rPr>
          <w:i w:val="false"/>
          <w:sz w:val="21"/>
          <w:lang w:val="en-US"/>
        </w:rPr>
        <w:t xml:space="preserve"> solar-dominated supply at 0.05 kg CO2 kWh-1</w:t>
      </w:r>
      <w:r>
        <w:rPr>
          <w:lang w:val="en-US"/>
        </w:rPr>
        <w:t>,</w:t>
      </w:r>
      <w:r>
        <w:rPr>
          <w:i w:val="false"/>
          <w:sz w:val="21"/>
          <w:lang w:val="en-US"/>
        </w:rPr>
        <w:t xml:space="preserve"> the same </w:t>
      </w:r>
      <w:r>
        <w:rPr>
          <w:lang w:val="en-US"/>
        </w:rPr>
        <w:t>pattern</w:t>
      </w:r>
      <w:r>
        <w:rPr>
          <w:i w:val="false"/>
          <w:sz w:val="21"/>
          <w:lang w:val="en-US"/>
        </w:rPr>
        <w:t xml:space="preserve"> is +0.13 kg m-3, </w:t>
      </w:r>
      <w:r>
        <w:rPr>
          <w:lang w:val="en-US"/>
        </w:rPr>
        <w:t xml:space="preserve">which is </w:t>
      </w:r>
      <w:r>
        <w:rPr>
          <w:i w:val="false"/>
          <w:sz w:val="21"/>
          <w:lang w:val="en-US"/>
        </w:rPr>
        <w:t>close to neutral. Route D is therefore a proposition about dedicated low-carbon generation rather than about grid connection, and in a region with expensive or carbon-intensive power</w:t>
      </w:r>
      <w:r>
        <w:rPr>
          <w:lang w:val="en-US"/>
        </w:rPr>
        <w:t>,</w:t>
      </w:r>
      <w:r>
        <w:rPr>
          <w:i w:val="false"/>
          <w:sz w:val="21"/>
          <w:lang w:val="en-US"/>
        </w:rPr>
        <w:t xml:space="preserve"> it is worse than conventional SWRO on both axes.</w:t>
      </w:r>
    </w:p>
    <w:p>
      <w:pPr>
        <w:pStyle w:val="Normal"/>
        <w:spacing w:before="0" w:after="160"/>
        <w:ind w:firstLine="317"/>
        <w:rPr/>
      </w:pPr>
      <w:r>
        <w:rPr>
          <w:i w:val="false"/>
          <w:sz w:val="21"/>
          <w:lang w:val="en-US"/>
        </w:rPr>
        <w:t xml:space="preserve">Finally, one cost is absent from all the above. An electrochemical unit generating </w:t>
      </w:r>
      <w:r>
        <w:rPr>
          <w:lang w:val="en-US"/>
        </w:rPr>
        <w:t>approximately</w:t>
      </w:r>
      <w:r>
        <w:rPr>
          <w:i w:val="false"/>
          <w:sz w:val="21"/>
          <w:lang w:val="en-US"/>
        </w:rPr>
        <w:t xml:space="preserve"> 11 kg of base per cubic </w:t>
      </w:r>
      <w:r>
        <w:rPr>
          <w:lang w:val="en-US"/>
        </w:rPr>
        <w:t>meter</w:t>
      </w:r>
      <w:r>
        <w:rPr>
          <w:i w:val="false"/>
          <w:sz w:val="21"/>
          <w:lang w:val="en-US"/>
        </w:rPr>
        <w:t xml:space="preserve"> of permeate is an industrial installation with </w:t>
      </w:r>
      <w:r>
        <w:rPr>
          <w:lang w:val="en-US"/>
        </w:rPr>
        <w:t xml:space="preserve">a </w:t>
      </w:r>
      <w:r>
        <w:rPr>
          <w:i w:val="false"/>
          <w:sz w:val="21"/>
          <w:lang w:val="en-US"/>
        </w:rPr>
        <w:t>capital cost that this model has no basis to estimate, and the chlorine coproduced by a chlor-alkali route is neither costed as a liability nor credited as a product. The figures in this section are therefore an upper bound on route D’s performance, and obtaining a vendor quotation is the first thing a serious evaluation of it would do.</w:t>
      </w:r>
    </w:p>
    <w:p>
      <w:pPr>
        <w:pStyle w:val="Normal"/>
        <w:spacing w:before="300" w:after="100"/>
        <w:rPr/>
      </w:pPr>
      <w:r>
        <w:rPr>
          <w:b/>
          <w:sz w:val="26"/>
          <w:lang w:val="en-US"/>
        </w:rPr>
        <w:t>5. Discussion</w:t>
      </w:r>
    </w:p>
    <w:p>
      <w:pPr>
        <w:pStyle w:val="Normal"/>
        <w:spacing w:before="220" w:after="100"/>
        <w:rPr/>
      </w:pPr>
      <w:r>
        <w:rPr>
          <w:b/>
          <w:sz w:val="23"/>
          <w:lang w:val="en-US"/>
        </w:rPr>
        <w:t>5.1 Comparison with conventional SWRO</w:t>
      </w:r>
    </w:p>
    <w:p>
      <w:pPr>
        <w:pStyle w:val="Normal"/>
        <w:spacing w:before="0" w:after="160"/>
        <w:ind w:firstLine="317"/>
        <w:rPr/>
      </w:pPr>
      <w:r>
        <w:rPr>
          <w:i w:val="false"/>
          <w:sz w:val="21"/>
          <w:lang w:val="en-US"/>
        </w:rPr>
        <w:t>The energy claim made in the original version of this work does not survive. Modern SWRO plants with isobaric recovery operate at 2.</w:t>
      </w:r>
      <w:r>
        <w:rPr>
          <w:lang w:val="en-US"/>
        </w:rPr>
        <w:t>5–3</w:t>
      </w:r>
      <w:r>
        <w:rPr>
          <w:i w:val="false"/>
          <w:sz w:val="21"/>
          <w:lang w:val="en-US"/>
        </w:rPr>
        <w:t xml:space="preserve">.5 kWh m-3, and an audited measurement on an operating plant reports 1.794 kWh m-3 [16,24]. Adding the boron-compliant second pass that a municipal plant requires brings the desalination stage of this architecture to a </w:t>
      </w:r>
      <w:r>
        <w:rPr>
          <w:lang w:val="en-US"/>
        </w:rPr>
        <w:t>modeled</w:t>
      </w:r>
      <w:r>
        <w:rPr>
          <w:i w:val="false"/>
          <w:sz w:val="21"/>
          <w:lang w:val="en-US"/>
        </w:rPr>
        <w:t xml:space="preserve"> 2.</w:t>
      </w:r>
      <w:r>
        <w:rPr>
          <w:lang w:val="en-US"/>
        </w:rPr>
        <w:t>89–3</w:t>
      </w:r>
      <w:r>
        <w:rPr>
          <w:i w:val="false"/>
          <w:sz w:val="21"/>
          <w:lang w:val="en-US"/>
        </w:rPr>
        <w:t>.19 kWh m-3, within that band rather than below it. The architecture should not be presented as an energy-reduction technology.</w:t>
      </w:r>
    </w:p>
    <w:p>
      <w:pPr>
        <w:pStyle w:val="Normal"/>
        <w:spacing w:before="220" w:after="100"/>
        <w:rPr/>
      </w:pPr>
      <w:r>
        <w:rPr>
          <w:b/>
          <w:sz w:val="23"/>
          <w:lang w:val="en-US"/>
        </w:rPr>
        <w:t>5.2 Comparison with the brine-valorization literature</w:t>
      </w:r>
    </w:p>
    <w:p>
      <w:pPr>
        <w:pStyle w:val="Normal"/>
        <w:spacing w:before="0" w:after="160"/>
        <w:ind w:firstLine="317"/>
        <w:rPr/>
      </w:pPr>
      <w:r>
        <w:rPr>
          <w:i w:val="false"/>
          <w:sz w:val="21"/>
          <w:lang w:val="en-US"/>
        </w:rPr>
        <w:t xml:space="preserve">Assessments of mineral recovery from </w:t>
      </w:r>
      <w:r>
        <w:rPr>
          <w:lang w:val="en-US"/>
        </w:rPr>
        <w:t>desalinated</w:t>
      </w:r>
      <w:r>
        <w:rPr>
          <w:i w:val="false"/>
          <w:sz w:val="21"/>
          <w:lang w:val="en-US"/>
        </w:rPr>
        <w:t xml:space="preserve"> brine </w:t>
      </w:r>
      <w:r>
        <w:rPr>
          <w:lang w:val="en-US"/>
        </w:rPr>
        <w:t>typically</w:t>
      </w:r>
      <w:r>
        <w:rPr>
          <w:i w:val="false"/>
          <w:sz w:val="21"/>
          <w:lang w:val="en-US"/>
        </w:rPr>
        <w:t xml:space="preserve"> report </w:t>
      </w:r>
      <w:r>
        <w:rPr>
          <w:lang w:val="en-US"/>
        </w:rPr>
        <w:t>favorable economic results</w:t>
      </w:r>
      <w:r>
        <w:rPr>
          <w:i w:val="false"/>
          <w:sz w:val="21"/>
          <w:lang w:val="en-US"/>
        </w:rPr>
        <w:t xml:space="preserve"> [10,17,25]. The present analysis suggests those results are sensitive</w:t>
      </w:r>
      <w:r>
        <w:rPr>
          <w:lang w:val="en-US"/>
        </w:rPr>
      </w:r>
      <w:r>
        <w:rPr>
          <w:i w:val="false"/>
          <w:sz w:val="21"/>
          <w:lang w:val="en-US"/>
        </w:rPr>
      </w:r>
      <w:r>
        <w:rPr>
          <w:lang w:val="en-US"/>
        </w:rPr>
      </w:r>
      <w:r>
        <w:rPr>
          <w:i w:val="false"/>
          <w:sz w:val="21"/>
          <w:lang w:val="en-US"/>
        </w:rPr>
        <w:t xml:space="preserve"> to whether the alkalinity is costed. Where the reagent demand implied by Eq. (12) is priced at bulk industrial rates, it exceeds the value</w:t>
      </w:r>
      <w:r>
        <w:rPr>
          <w:lang w:val="en-US"/>
        </w:rPr>
      </w:r>
      <w:r>
        <w:rPr>
          <w:i w:val="false"/>
          <w:sz w:val="21"/>
          <w:lang w:val="en-US"/>
        </w:rPr>
      </w:r>
      <w:r>
        <w:rPr>
          <w:lang w:val="en-US"/>
        </w:rPr>
      </w:r>
      <w:r>
        <w:rPr>
          <w:i w:val="false"/>
          <w:sz w:val="21"/>
          <w:lang w:val="en-US"/>
        </w:rPr>
        <w:t xml:space="preserve"> of the recovered minerals at any sellable fraction and price combination sampled here. This may help explain why a process repeatedly reported as attractive has not been commercialized at scale.</w:t>
      </w:r>
    </w:p>
    <w:p>
      <w:pPr>
        <w:pStyle w:val="Normal"/>
        <w:spacing w:before="220" w:after="100"/>
        <w:rPr/>
      </w:pPr>
      <w:r>
        <w:rPr>
          <w:b/>
          <w:sz w:val="23"/>
          <w:lang w:val="en-US"/>
        </w:rPr>
        <w:t>5.3 Alternative crystallization pathways</w:t>
      </w:r>
    </w:p>
    <w:p>
      <w:pPr>
        <w:pStyle w:val="Normal"/>
        <w:spacing w:before="0" w:after="160"/>
        <w:ind w:firstLine="317"/>
        <w:rPr/>
      </w:pPr>
      <w:r>
        <w:rPr>
          <w:i w:val="false"/>
          <w:sz w:val="21"/>
          <w:lang w:val="en-US"/>
        </w:rPr>
        <w:t>Mechanical vapor compression dominates the energy account, and three alternatives merit consideration. Membrane distillation crystallization has been demonstrated on hypersaline feeds with seeding to control scaling [8,19]; eutectic freeze crystallization offers a lower theoretical energy route and has been applied to RO brine [13]</w:t>
      </w:r>
      <w:r>
        <w:rPr>
          <w:lang w:val="en-US"/>
        </w:rPr>
        <w:t>,</w:t>
      </w:r>
      <w:r>
        <w:rPr>
          <w:i w:val="false"/>
          <w:sz w:val="21"/>
          <w:lang w:val="en-US"/>
        </w:rPr>
        <w:t xml:space="preserve"> and solar-driven interfacial evaporation now sustains evaporation from high-salinity brine with autonomous salt harvesting [4,5,6]. The </w:t>
      </w:r>
      <w:r>
        <w:rPr>
          <w:lang w:val="en-US"/>
        </w:rPr>
        <w:t>latter</w:t>
      </w:r>
      <w:r>
        <w:rPr>
          <w:i w:val="false"/>
          <w:sz w:val="21"/>
          <w:lang w:val="en-US"/>
        </w:rPr>
        <w:t xml:space="preserve"> substitutes land area and capital for electricity. Since grid electricity is only </w:t>
      </w:r>
      <w:r>
        <w:rPr>
          <w:lang w:val="en-US"/>
        </w:rPr>
        <w:t>approximately one-</w:t>
      </w:r>
      <w:r>
        <w:rPr>
          <w:i w:val="false"/>
          <w:sz w:val="21"/>
          <w:lang w:val="en-US"/>
        </w:rPr>
        <w:t>third of this architecture’s carbon account, eliminating it would not by itself make the process carbon neutral: the reagent term would remain.</w:t>
      </w:r>
    </w:p>
    <w:p>
      <w:pPr>
        <w:pStyle w:val="Normal"/>
        <w:spacing w:before="220" w:after="100"/>
        <w:rPr/>
      </w:pPr>
      <w:r>
        <w:rPr>
          <w:b/>
          <w:sz w:val="23"/>
          <w:lang w:val="en-US"/>
        </w:rPr>
        <w:t>5.4 Limitations</w:t>
      </w:r>
    </w:p>
    <w:p>
      <w:pPr>
        <w:pStyle w:val="Normal"/>
        <w:spacing w:before="0" w:after="160"/>
        <w:ind w:firstLine="317"/>
        <w:rPr/>
      </w:pPr>
      <w:r>
        <w:rPr>
          <w:i w:val="false"/>
          <w:sz w:val="21"/>
          <w:lang w:val="en-US"/>
        </w:rPr>
        <w:t>The osmotic</w:t>
      </w:r>
      <w:r>
        <w:rPr>
          <w:lang w:val="en-US"/>
        </w:rPr>
        <w:t xml:space="preserve"> </w:t>
      </w:r>
      <w:r>
        <w:rPr>
          <w:i w:val="false"/>
          <w:sz w:val="21"/>
          <w:lang w:val="en-US"/>
        </w:rPr>
        <w:t>coefficient correction in Eq. (5) is carried as a swept parameter</w:t>
      </w:r>
      <w:r>
        <w:rPr>
          <w:lang w:val="en-US"/>
        </w:rPr>
      </w:r>
      <w:r>
        <w:rPr>
          <w:i w:val="false"/>
          <w:sz w:val="21"/>
          <w:lang w:val="en-US"/>
        </w:rPr>
        <w:t xml:space="preserve"> rather than a fitted correlation. Locking it requires implementing the seawater property correlations of [22] and [12] over the full </w:t>
      </w:r>
      <w:r>
        <w:rPr>
          <w:lang w:val="en-US"/>
        </w:rPr>
        <w:t>35–125</w:t>
      </w:r>
      <w:r>
        <w:rPr>
          <w:i w:val="false"/>
          <w:sz w:val="21"/>
          <w:lang w:val="en-US"/>
        </w:rPr>
        <w:t xml:space="preserve"> g kg-1 range of this process and resolving the concentrator duty; the deposited code is structured to accept that substitution. Until that is done, every specific-energy figure reported here is a bounded model estimate rather than a final quantitative prediction and should be cited as such. Section 4.5 bounds the residual uncertainty from this source </w:t>
      </w:r>
      <w:r>
        <w:rPr>
          <w:lang w:val="en-US"/>
        </w:rPr>
        <w:t>at under 2% of the total SEC, so no conclusion in this paper turns on it.</w:t>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t xml:space="preserve"> The embodied-carbon factors for soda ash and lime are indicative and are swept rather than fixed. Precipitation yields are taken from the literature and not measured here, and product purity is not </w:t>
      </w:r>
      <w:r>
        <w:rPr>
          <w:lang w:val="en-US"/>
        </w:rPr>
        <w:t>modeled</w:t>
      </w:r>
      <w:r>
        <w:rPr>
          <w:i w:val="false"/>
          <w:sz w:val="21"/>
          <w:lang w:val="en-US"/>
        </w:rPr>
        <w:t xml:space="preserve">: purity is set by </w:t>
      </w:r>
      <w:r>
        <w:rPr>
          <w:lang w:val="en-US"/>
        </w:rPr>
        <w:t>coprecipitation</w:t>
      </w:r>
      <w:r>
        <w:rPr>
          <w:i w:val="false"/>
          <w:sz w:val="21"/>
          <w:lang w:val="en-US"/>
        </w:rPr>
        <w:t xml:space="preserve"> and occlusion of the sodium chloride background [9], which determines whether the solids meet any industrial specification and therefore whether the sellable fractions assumed here are attainable at all. The residual liquid fraction is modeled, not validated.</w:t>
      </w:r>
      <w:r>
        <w:rPr>
          <w:lang w:val="en-US"/>
        </w:rPr>
      </w:r>
      <w:r>
        <w:rPr>
          <w:i w:val="false"/>
          <w:sz w:val="21"/>
          <w:lang w:val="en-US"/>
        </w:rPr>
        <w:t xml:space="preserve"> Subsurface intake performance is site dependent, and the risks of aquifer clogging and seawater intrusion are not </w:t>
      </w:r>
      <w:r>
        <w:rPr>
          <w:lang w:val="en-US"/>
        </w:rPr>
        <w:t>modeled</w:t>
      </w:r>
      <w:r>
        <w:rPr>
          <w:i w:val="false"/>
          <w:sz w:val="21"/>
          <w:lang w:val="en-US"/>
        </w:rPr>
        <w:t>.</w:t>
      </w:r>
    </w:p>
    <w:p>
      <w:pPr>
        <w:pStyle w:val="Normal"/>
        <w:spacing w:before="220" w:after="100"/>
        <w:rPr/>
      </w:pPr>
      <w:r>
        <w:rPr>
          <w:b/>
          <w:sz w:val="23"/>
          <w:lang w:val="en-US"/>
        </w:rPr>
        <w:t>5.5 Proposed validation</w:t>
      </w:r>
    </w:p>
    <w:p>
      <w:pPr>
        <w:pStyle w:val="Normal"/>
        <w:spacing w:before="0" w:after="160"/>
        <w:ind w:firstLine="317"/>
        <w:rPr/>
      </w:pPr>
      <w:r>
        <w:rPr>
          <w:i w:val="false"/>
          <w:sz w:val="21"/>
          <w:lang w:val="en-US"/>
        </w:rPr>
        <w:t>Three measurements would settle the questions this analysis raises, and none requires the full architecture to be built. First, the second-law efficiency of a high-pressure concentrator operating on real SWRO brine at 60–65 g L-1, which fixes the energy term the original assumed.</w:t>
      </w:r>
      <w:r>
        <w:rPr>
          <w:lang w:val="en-US"/>
        </w:rPr>
      </w:r>
      <w:r>
        <w:rPr>
          <w:i w:val="false"/>
          <w:sz w:val="21"/>
          <w:lang w:val="en-US"/>
        </w:rPr>
      </w:r>
      <w:r>
        <w:rPr>
          <w:lang w:val="en-US"/>
        </w:rPr>
      </w:r>
      <w:r>
        <w:rPr>
          <w:i w:val="false"/>
          <w:sz w:val="21"/>
          <w:lang w:val="en-US"/>
        </w:rPr>
      </w:r>
      <w:r>
        <w:rPr>
          <w:lang w:val="en-US"/>
        </w:rPr>
      </w:r>
      <w:r>
        <w:rPr>
          <w:i w:val="false"/>
          <w:sz w:val="21"/>
          <w:lang w:val="en-US"/>
        </w:rPr>
        <w:t xml:space="preserve"> Second, the reagent demand and product purity of sequential Ca/Mg precipitation from that concentrate at </w:t>
      </w:r>
      <w:r>
        <w:rPr>
          <w:lang w:val="en-US"/>
        </w:rPr>
        <w:t xml:space="preserve">the </w:t>
      </w:r>
      <w:r>
        <w:rPr>
          <w:i w:val="false"/>
          <w:sz w:val="21"/>
          <w:lang w:val="en-US"/>
        </w:rPr>
        <w:t>pilot scale, which fixes both the alkalinity cost and the sellable fraction. Third, the calcium balance across the precipitation train, which Table 1 predicts does not close.</w:t>
      </w:r>
      <w:r>
        <w:rPr>
          <w:lang w:val="en-US"/>
        </w:rPr>
      </w:r>
      <w:r>
        <w:rPr>
          <w:i w:val="false"/>
          <w:sz w:val="21"/>
          <w:lang w:val="en-US"/>
        </w:rPr>
        <w:t xml:space="preserve"> Each is a bench or skid-scale measurement, and each independently tests one of the three consistency tests reported here.</w:t>
      </w:r>
    </w:p>
    <w:p>
      <w:pPr>
        <w:pStyle w:val="Normal"/>
        <w:spacing w:before="300" w:after="100"/>
        <w:rPr/>
      </w:pPr>
      <w:r>
        <w:rPr>
          <w:b/>
          <w:sz w:val="26"/>
          <w:lang w:val="en-US"/>
        </w:rPr>
        <w:t>6. Conclusions</w:t>
      </w:r>
    </w:p>
    <w:p>
      <w:pPr>
        <w:pStyle w:val="Normal"/>
        <w:spacing w:before="0" w:after="160"/>
        <w:ind w:firstLine="317"/>
        <w:rPr/>
      </w:pPr>
      <w:r>
        <w:rPr>
          <w:lang w:val="en-US"/>
        </w:rPr>
        <w:t>In this</w:t>
      </w:r>
      <w:r>
        <w:rPr>
          <w:i w:val="false"/>
          <w:sz w:val="21"/>
          <w:lang w:val="en-US"/>
        </w:rPr>
        <w:t xml:space="preserve"> study</w:t>
      </w:r>
      <w:r>
        <w:rPr>
          <w:lang w:val="en-US"/>
        </w:rPr>
        <w:t>,</w:t>
      </w:r>
      <w:r>
        <w:rPr>
          <w:i w:val="false"/>
          <w:sz w:val="21"/>
          <w:lang w:val="en-US"/>
        </w:rPr>
        <w:t xml:space="preserve"> three consistency tests </w:t>
      </w:r>
      <w:r>
        <w:rPr>
          <w:lang w:val="en-US"/>
        </w:rPr>
        <w:t xml:space="preserve">are applied </w:t>
      </w:r>
      <w:r>
        <w:rPr>
          <w:i w:val="false"/>
          <w:sz w:val="21"/>
          <w:lang w:val="en-US"/>
        </w:rPr>
        <w:t>to an integrated SWRO and brine-valorization architecture</w:t>
      </w:r>
      <w:r>
        <w:rPr>
          <w:lang w:val="en-US"/>
        </w:rPr>
        <w:t>,</w:t>
      </w:r>
      <w:r>
        <w:rPr>
          <w:i w:val="false"/>
          <w:sz w:val="21"/>
          <w:lang w:val="en-US"/>
        </w:rPr>
        <w:t xml:space="preserve"> and the outcome of each</w:t>
      </w:r>
      <w:r>
        <w:rPr>
          <w:lang w:val="en-US"/>
        </w:rPr>
        <w:t xml:space="preserve"> is reported</w:t>
      </w:r>
      <w:r>
        <w:rPr>
          <w:i w:val="false"/>
          <w:sz w:val="21"/>
          <w:lang w:val="en-US"/>
        </w:rPr>
        <w:t>, including where the architecture fails.</w:t>
      </w:r>
    </w:p>
    <w:p>
      <w:pPr>
        <w:pStyle w:val="Normal"/>
        <w:spacing w:before="0" w:after="160"/>
        <w:ind w:firstLine="317"/>
        <w:rPr/>
      </w:pPr>
      <w:r>
        <w:rPr>
          <w:i w:val="false"/>
          <w:sz w:val="21"/>
          <w:lang w:val="en-US"/>
        </w:rPr>
        <w:t xml:space="preserve">The energy claim does not survive a modern comparator. </w:t>
      </w:r>
      <w:r>
        <w:rPr>
          <w:lang w:val="en-US"/>
        </w:rPr>
        <w:t>Against plants operating at 2.5–3.5 kWh m-3, the desalination stage</w:t>
      </w:r>
      <w:r>
        <w:rPr>
          <w:i w:val="false"/>
          <w:sz w:val="21"/>
          <w:lang w:val="en-US"/>
        </w:rPr>
      </w:r>
      <w:r>
        <w:rPr>
          <w:lang w:val="en-US"/>
        </w:rPr>
      </w:r>
      <w:r>
        <w:rPr>
          <w:i w:val="false"/>
          <w:sz w:val="21"/>
          <w:lang w:val="en-US"/>
        </w:rPr>
      </w:r>
      <w:r>
        <w:rPr>
          <w:lang w:val="en-US"/>
        </w:rPr>
      </w:r>
      <w:r>
        <w:rPr>
          <w:i w:val="false"/>
          <w:sz w:val="21"/>
          <w:lang w:val="en-US"/>
        </w:rPr>
        <w:t xml:space="preserve"> offers no material advantage once a boron-compliant second pass is included, and the corrected concentrator </w:t>
      </w:r>
      <w:r>
        <w:rPr>
          <w:lang w:val="en-US"/>
        </w:rPr>
        <w:t>increases the modeled</w:t>
      </w:r>
      <w:r>
        <w:rPr>
          <w:i w:val="false"/>
          <w:sz w:val="21"/>
          <w:lang w:val="en-US"/>
        </w:rPr>
        <w:t xml:space="preserve"> total specific energy consumption to a median </w:t>
      </w:r>
      <w:r>
        <w:rPr>
          <w:lang w:val="en-US"/>
        </w:rPr>
        <w:t xml:space="preserve">of </w:t>
      </w:r>
      <w:r>
        <w:rPr>
          <w:i w:val="false"/>
          <w:sz w:val="21"/>
          <w:lang w:val="en-US"/>
        </w:rPr>
        <w:t>13.1 kWh m-3. That figure, and every specific-energy figure in this paper, is a bounded model estimate rather than a measured or predicted plant value, for the reasons set out in Sections 3 and 5.4.</w:t>
      </w:r>
    </w:p>
    <w:p>
      <w:pPr>
        <w:pStyle w:val="Normal"/>
        <w:spacing w:before="0" w:after="160"/>
        <w:ind w:firstLine="317"/>
        <w:rPr/>
      </w:pPr>
      <w:r>
        <w:rPr>
          <w:i w:val="false"/>
          <w:sz w:val="21"/>
          <w:lang w:val="en-US"/>
        </w:rPr>
        <w:t xml:space="preserve">The valorization case, as configured, does not close, and the binding constraint is alkalinity in both currencies. In </w:t>
      </w:r>
      <w:r>
        <w:rPr>
          <w:lang w:val="en-US"/>
        </w:rPr>
        <w:t xml:space="preserve">terms of </w:t>
      </w:r>
      <w:r>
        <w:rPr>
          <w:i w:val="false"/>
          <w:sz w:val="21"/>
          <w:lang w:val="en-US"/>
        </w:rPr>
        <w:t xml:space="preserve">money, soda ash and lime cost a median </w:t>
      </w:r>
      <w:r>
        <w:rPr>
          <w:lang w:val="en-US"/>
        </w:rPr>
        <w:t xml:space="preserve">of </w:t>
      </w:r>
      <w:r>
        <w:rPr>
          <w:i w:val="false"/>
          <w:sz w:val="21"/>
          <w:lang w:val="en-US"/>
        </w:rPr>
        <w:t xml:space="preserve">$1.70 per cubic </w:t>
      </w:r>
      <w:r>
        <w:rPr>
          <w:lang w:val="en-US"/>
        </w:rPr>
        <w:t>meter</w:t>
      </w:r>
      <w:r>
        <w:rPr>
          <w:i w:val="false"/>
          <w:sz w:val="21"/>
          <w:lang w:val="en-US"/>
        </w:rPr>
        <w:t xml:space="preserve"> of permeate against a </w:t>
      </w:r>
      <w:r>
        <w:rPr>
          <w:lang w:val="en-US"/>
        </w:rPr>
        <w:t>realizable</w:t>
      </w:r>
      <w:r>
        <w:rPr>
          <w:i w:val="false"/>
          <w:sz w:val="21"/>
          <w:lang w:val="en-US"/>
        </w:rPr>
        <w:t xml:space="preserve"> mineral credit of $1.25. In </w:t>
      </w:r>
      <w:r>
        <w:rPr>
          <w:lang w:val="en-US"/>
        </w:rPr>
        <w:t xml:space="preserve">terms of </w:t>
      </w:r>
      <w:r>
        <w:rPr>
          <w:i w:val="false"/>
          <w:sz w:val="21"/>
          <w:lang w:val="en-US"/>
        </w:rPr>
        <w:t xml:space="preserve">carbon, calcination costs 10.0 kg </w:t>
      </w:r>
      <w:r>
        <w:rPr>
          <w:lang w:val="en-US"/>
        </w:rPr>
        <w:t xml:space="preserve">of </w:t>
      </w:r>
      <w:r>
        <w:rPr>
          <w:i w:val="false"/>
          <w:sz w:val="21"/>
          <w:lang w:val="en-US"/>
        </w:rPr>
        <w:t xml:space="preserve">CO2 per cubic </w:t>
      </w:r>
      <w:r>
        <w:rPr>
          <w:lang w:val="en-US"/>
        </w:rPr>
        <w:t>meter compared with</w:t>
      </w:r>
      <w:r>
        <w:rPr>
          <w:i w:val="false"/>
          <w:sz w:val="21"/>
          <w:lang w:val="en-US"/>
        </w:rPr>
        <w:t xml:space="preserve"> 0.94 kg fixed in the carbonate product, </w:t>
      </w:r>
      <w:r>
        <w:rPr>
          <w:lang w:val="en-US"/>
        </w:rPr>
        <w:t>whereas the</w:t>
      </w:r>
      <w:r>
        <w:rPr>
          <w:i w:val="false"/>
          <w:sz w:val="21"/>
          <w:lang w:val="en-US"/>
        </w:rPr>
        <w:t xml:space="preserve"> electrochemical base costs 27 kWh m-3. Published assessments generally count neither.</w:t>
      </w:r>
    </w:p>
    <w:p>
      <w:pPr>
        <w:pStyle w:val="Normal"/>
        <w:spacing w:before="0" w:after="160"/>
        <w:ind w:firstLine="317"/>
        <w:rPr/>
      </w:pPr>
      <w:r>
        <w:rPr>
          <w:i w:val="false"/>
          <w:sz w:val="21"/>
          <w:lang w:val="en-US"/>
        </w:rPr>
        <w:t xml:space="preserve">One route unbinds that constraint, and quantifying it is the practical value of this analysis. </w:t>
      </w:r>
      <w:r>
        <w:rPr>
          <w:lang w:val="en-US"/>
        </w:rPr>
        <w:t>When the base is generated electrochemically on site, with captured CO2</w:t>
      </w:r>
      <w:r>
        <w:rPr>
          <w:i w:val="false"/>
          <w:sz w:val="21"/>
          <w:lang w:val="en-US"/>
        </w:rPr>
      </w:r>
      <w:r>
        <w:rPr>
          <w:lang w:val="en-US"/>
        </w:rPr>
      </w:r>
      <w:r>
        <w:rPr>
          <w:i w:val="false"/>
          <w:sz w:val="21"/>
          <w:lang w:val="en-US"/>
        </w:rPr>
        <w:t xml:space="preserve"> as the carbonate source, the calcium balance </w:t>
      </w:r>
      <w:r>
        <w:rPr>
          <w:lang w:val="en-US"/>
        </w:rPr>
        <w:t xml:space="preserve">is </w:t>
      </w:r>
      <w:r>
        <w:rPr>
          <w:i w:val="false"/>
          <w:sz w:val="21"/>
          <w:lang w:val="en-US"/>
        </w:rPr>
        <w:t>exactly</w:t>
      </w:r>
      <w:r>
        <w:rPr>
          <w:lang w:val="en-US"/>
        </w:rPr>
        <w:t xml:space="preserve"> closed</w:t>
      </w:r>
      <w:r>
        <w:rPr>
          <w:i w:val="false"/>
          <w:sz w:val="21"/>
          <w:lang w:val="en-US"/>
        </w:rPr>
        <w:t xml:space="preserve">, </w:t>
      </w:r>
      <w:r>
        <w:rPr>
          <w:lang w:val="en-US"/>
        </w:rPr>
        <w:t>reagent carbon is made net negative at -0.94 kg CO2 m-3</w:t>
      </w:r>
      <w:r>
        <w:rPr>
          <w:i w:val="false"/>
          <w:sz w:val="21"/>
          <w:lang w:val="en-US"/>
        </w:rPr>
      </w:r>
      <w:r>
        <w:rPr>
          <w:lang w:val="en-US"/>
        </w:rPr>
      </w:r>
      <w:r>
        <w:rPr>
          <w:i w:val="false"/>
          <w:sz w:val="21"/>
          <w:lang w:val="en-US"/>
        </w:rPr>
        <w:t xml:space="preserve">, and the reagent bill </w:t>
      </w:r>
      <w:r>
        <w:rPr>
          <w:lang w:val="en-US"/>
        </w:rPr>
        <w:t xml:space="preserve">is replaced </w:t>
      </w:r>
      <w:r>
        <w:rPr>
          <w:i w:val="false"/>
          <w:sz w:val="21"/>
          <w:lang w:val="en-US"/>
        </w:rPr>
        <w:t xml:space="preserve">with 27.1 kWh m-3 of electrochemical demand. Because </w:t>
      </w:r>
      <w:r>
        <w:rPr>
          <w:lang w:val="en-US"/>
        </w:rPr>
        <w:t>it</w:t>
      </w:r>
      <w:r>
        <w:rPr>
          <w:i w:val="false"/>
          <w:sz w:val="21"/>
          <w:lang w:val="en-US"/>
        </w:rPr>
        <w:t xml:space="preserve"> substitutes a commodity price for an energy price, it has a crossing the purchased-alkali route does not: route D reaches the conventional comparator below $0.033 kWh-1, whereas route A remains $0.34 m-3 above it even at zero electricity cost. The result is conditional in two ways that should be stated alongside it. The electricity must also be low carbon, since the same demand drawn at grid intensity is worse than the route it replaces</w:t>
      </w:r>
      <w:r>
        <w:rPr>
          <w:lang w:val="en-US"/>
        </w:rPr>
        <w:t>,</w:t>
      </w:r>
      <w:r>
        <w:rPr>
          <w:i w:val="false"/>
          <w:sz w:val="21"/>
          <w:lang w:val="en-US"/>
        </w:rPr>
        <w:t xml:space="preserve"> and the capital cost of the electrochemical unit, together with the disposition of its chlorine </w:t>
      </w:r>
      <w:r>
        <w:rPr>
          <w:lang w:val="en-US"/>
        </w:rPr>
        <w:t>coproduct</w:t>
      </w:r>
      <w:r>
        <w:rPr>
          <w:i w:val="false"/>
          <w:sz w:val="21"/>
          <w:lang w:val="en-US"/>
        </w:rPr>
        <w:t xml:space="preserve">, is not </w:t>
      </w:r>
      <w:r>
        <w:rPr>
          <w:lang w:val="en-US"/>
        </w:rPr>
        <w:t>modeled</w:t>
      </w:r>
      <w:r>
        <w:rPr>
          <w:i w:val="false"/>
          <w:sz w:val="21"/>
          <w:lang w:val="en-US"/>
        </w:rPr>
        <w:t xml:space="preserve"> here and would have to be quoted before the figure could be relied on. Subject to those, brine valorization appears to be an energy-price problem rather than a stoichiometric impossibility, which is a materially different conclusion from the one this architecture started with.</w:t>
      </w:r>
    </w:p>
    <w:p>
      <w:pPr>
        <w:pStyle w:val="Normal"/>
        <w:spacing w:before="300" w:after="100"/>
        <w:rPr/>
      </w:pPr>
      <w:r>
        <w:rPr>
          <w:b/>
          <w:sz w:val="26"/>
          <w:lang w:val="en-US"/>
        </w:rPr>
        <w:t>Nomenclature</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Symbol</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Definition</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Unit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C_f,i/C_p,i/C_b,i</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feed, permeate, concentrate concentration of ion i</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g L-1</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r_i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membrane rejection of ion 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water recovery ratio of a membrane stage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Q_f/Q_p/Q_b</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feed, permeate, concentrate flow</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m3 m-3 feed</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pi</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osmotic pressure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phi(S)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osmotic coefficient at salinity 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P_f</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applied feed pressure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NDP</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net driving pressure allowance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beta</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concentration-polarization factor, C_wall/C_bulk</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eta_pump/eta_PX/eta_II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pump, pressure-exchanger, second-law efficiency</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w_min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least work of separation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kWh m-3</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SEC</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specific energy consumption</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kWh m-3 permeate</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LCOW</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levelized cost of water</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 m-3</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CRF</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capital recovery factor</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yr-1</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Y_Ca/Y_Mg</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precipitation yield of calcium and magnesium</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n_base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alkalinity demand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equivalents</w:t>
            </w:r>
          </w:p>
        </w:tc>
      </w:tr>
    </w:tbl>
    <w:p>
      <w:pPr>
        <w:pStyle w:val="Normal"/>
        <w:spacing w:before="0" w:after="80"/>
        <w:rPr/>
      </w:pPr>
      <w:r>
        <w:rPr/>
      </w:r>
    </w:p>
    <w:p>
      <w:pPr>
        <w:pStyle w:val="Normal"/>
        <w:spacing w:before="300" w:after="100"/>
        <w:rPr/>
      </w:pPr>
      <w:r>
        <w:rPr>
          <w:b/>
          <w:sz w:val="26"/>
          <w:lang w:val="en-US"/>
        </w:rPr>
        <w:t>Data availability</w:t>
      </w:r>
    </w:p>
    <w:p>
      <w:pPr>
        <w:pStyle w:val="Normal"/>
        <w:spacing w:before="0" w:after="160"/>
        <w:ind w:firstLine="317"/>
        <w:rPr/>
      </w:pPr>
      <w:r>
        <w:rPr>
          <w:i w:val="false"/>
          <w:sz w:val="21"/>
          <w:lang w:val="en-US"/>
        </w:rPr>
        <w:t xml:space="preserve">The model implementation, the parameter set, the random seed, and the scripts that generate every table and figure are openly available at https://github.com/sandlerleon/iledbv-desalination-model, release tag v2.0.1. An archived snapshot of that release is deposited at https://doi.org/10.5281/zenodo.22178234; this manuscript and the point-by-point response to reviewers are deposited at https://doi.org/10.5281/zenodo.22178232. Both are concept DOIs and resolve to the current version of each deposit. The </w:t>
      </w:r>
      <w:r>
        <w:rPr>
          <w:lang w:val="en-US"/>
        </w:rPr>
        <w:t>revised version</w:t>
      </w:r>
      <w:r>
        <w:rPr>
          <w:i w:val="false"/>
          <w:sz w:val="21"/>
          <w:lang w:val="en-US"/>
        </w:rPr>
        <w:t xml:space="preserve"> was produced with Python 3.11.9 and NumPy 2.4.6. Running iledbv_revision_v2.py, design_and_costing.py and boron_recalc.py regenerates the JSON files from which every number in this paper is taken; audit_manuscript.py </w:t>
      </w:r>
      <w:r>
        <w:rPr>
          <w:lang w:val="en-US"/>
        </w:rPr>
        <w:t>rechecks</w:t>
      </w:r>
      <w:r>
        <w:rPr>
          <w:i w:val="false"/>
          <w:sz w:val="21"/>
          <w:lang w:val="en-US"/>
        </w:rPr>
        <w:t xml:space="preserve"> the built document against them. No experimental data were generated.</w:t>
      </w:r>
    </w:p>
    <w:p>
      <w:pPr>
        <w:pStyle w:val="Normal"/>
        <w:spacing w:before="300" w:after="100"/>
        <w:rPr/>
      </w:pPr>
      <w:r>
        <w:rPr>
          <w:b/>
          <w:sz w:val="26"/>
          <w:lang w:val="en-US"/>
        </w:rPr>
        <w:t>Declaration of competing interest</w:t>
      </w:r>
    </w:p>
    <w:p>
      <w:pPr>
        <w:pStyle w:val="Normal"/>
        <w:spacing w:before="0" w:after="160"/>
        <w:ind w:firstLine="317"/>
        <w:rPr/>
      </w:pPr>
      <w:r>
        <w:rPr>
          <w:i w:val="false"/>
          <w:sz w:val="21"/>
          <w:lang w:val="en-US"/>
        </w:rPr>
        <w:t xml:space="preserve">The author declares </w:t>
      </w:r>
      <w:r>
        <w:rPr>
          <w:lang w:val="en-US"/>
        </w:rPr>
        <w:t xml:space="preserve">that there are </w:t>
      </w:r>
      <w:r>
        <w:rPr>
          <w:i w:val="false"/>
          <w:sz w:val="21"/>
          <w:lang w:val="en-US"/>
        </w:rPr>
        <w:t xml:space="preserve">no competing financial or </w:t>
      </w:r>
      <w:r>
        <w:rPr>
          <w:lang w:val="en-US"/>
        </w:rPr>
        <w:t>nonfinancial</w:t>
      </w:r>
      <w:r>
        <w:rPr>
          <w:i w:val="false"/>
          <w:sz w:val="21"/>
          <w:lang w:val="en-US"/>
        </w:rPr>
        <w:t xml:space="preserve"> interests.</w:t>
      </w:r>
    </w:p>
    <w:p>
      <w:pPr>
        <w:pStyle w:val="Normal"/>
        <w:spacing w:before="300" w:after="100"/>
        <w:rPr/>
      </w:pPr>
      <w:r>
        <w:rPr>
          <w:b/>
          <w:sz w:val="26"/>
          <w:lang w:val="en-US"/>
        </w:rPr>
        <w:t>Funding</w:t>
      </w:r>
    </w:p>
    <w:p>
      <w:pPr>
        <w:pStyle w:val="Normal"/>
        <w:spacing w:before="0" w:after="160"/>
        <w:ind w:firstLine="317"/>
        <w:rPr/>
      </w:pPr>
      <w:r>
        <w:rPr>
          <w:i w:val="false"/>
          <w:sz w:val="21"/>
          <w:lang w:val="en-US"/>
        </w:rPr>
        <w:t>This research received no specific grant from funding agencies in the public, commercial, or not-for-profit sectors.</w:t>
      </w:r>
    </w:p>
    <w:p>
      <w:pPr>
        <w:pStyle w:val="Normal"/>
        <w:spacing w:before="300" w:after="100"/>
        <w:rPr/>
      </w:pPr>
      <w:r>
        <w:rPr>
          <w:b/>
          <w:sz w:val="26"/>
          <w:lang w:val="en-US"/>
        </w:rPr>
        <w:t>References</w:t>
      </w:r>
    </w:p>
    <w:p>
      <w:pPr>
        <w:pStyle w:val="Normal"/>
        <w:spacing w:before="0" w:after="60"/>
        <w:rPr/>
      </w:pPr>
      <w:r>
        <w:rPr>
          <w:sz w:val="18"/>
          <w:lang w:val="en-US"/>
        </w:rPr>
        <w:t>[1] O. Alagha, O. Abuhajar, Numerical Modeling of Beach Well Intake as Pre-Treatment for a Desalination Plant, Water 12 (2020) 2420. https://doi.org/10.3390/w12092420</w:t>
      </w:r>
    </w:p>
    <w:p>
      <w:pPr>
        <w:pStyle w:val="Normal"/>
        <w:spacing w:before="0" w:after="60"/>
        <w:rPr/>
      </w:pPr>
      <w:r>
        <w:rPr>
          <w:sz w:val="18"/>
          <w:lang w:val="en-US"/>
        </w:rPr>
        <w:t>[2] A.A. Atia, N.Y. Yip, V. Fthenakis, Pathways for minimal and zero liquid discharge with enhanced reverse osmosis technologies: Module-scale modeling and techno-economic assessment, Desalination 509 (2021) 115069. https://doi.org/10.1016/j.desal.2021.115069</w:t>
      </w:r>
    </w:p>
    <w:p>
      <w:pPr>
        <w:pStyle w:val="Normal"/>
        <w:spacing w:before="0" w:after="60"/>
        <w:rPr/>
      </w:pPr>
      <w:r>
        <w:rPr>
          <w:sz w:val="18"/>
          <w:lang w:val="en-US"/>
        </w:rPr>
        <w:t>[3] T.V. Bartholomew, L. Mey, J.T. Arena, N.S. Siefert, M.S. Mauter, Osmotically assisted reverse osmosis for high salinity brine treatment, Desalination 421 (2017) 3-11. https://doi.org/10.1016/j.desal.2017.04.012</w:t>
      </w:r>
    </w:p>
    <w:p>
      <w:pPr>
        <w:pStyle w:val="Normal"/>
        <w:spacing w:before="0" w:after="60"/>
        <w:rPr/>
      </w:pPr>
      <w:r>
        <w:rPr>
          <w:sz w:val="18"/>
          <w:lang w:val="en-US"/>
        </w:rPr>
        <w:t>[4] M. Ding, Z. Duan, L. Zhang, H. Wu, H. Xu, C. Liu, et al., Spatial Decoupling of Water Evaporation and Salt Crystallization via a 3D Discrete Wettability Patterned Architecture, Advanced Functional Materials 36 (2026) e76165. https://doi.org/10.1002/adfm.76165</w:t>
      </w:r>
    </w:p>
    <w:p>
      <w:pPr>
        <w:pStyle w:val="Normal"/>
        <w:spacing w:before="0" w:after="60"/>
        <w:rPr/>
      </w:pPr>
      <w:r>
        <w:rPr>
          <w:sz w:val="18"/>
          <w:lang w:val="en-US"/>
        </w:rPr>
        <w:t>[5] M. Ding, Z. Duan, D. Zhao, C. Liu, C. Li, Tree‐Inspired 3D Biomimetic Evaporator for Efficient Solar Desalination and Automated Salt Collection with Zero Liquid Discharge, Advanced Functional Materials 36 (2025) e12220. https://doi.org/10.1002/adfm.202512220</w:t>
      </w:r>
    </w:p>
    <w:p>
      <w:pPr>
        <w:pStyle w:val="Normal"/>
        <w:spacing w:before="0" w:after="60"/>
        <w:rPr/>
      </w:pPr>
      <w:r>
        <w:rPr>
          <w:sz w:val="18"/>
          <w:lang w:val="en-US"/>
        </w:rPr>
        <w:t>[6] M. Ding, Z. Duan, L. Zhang, C.Y. Liu, C. Li, J. Zhang, Modular gradient-porous evaporator for efficient solar desalination and autonomous salt harvesting from high-salinity brine, Water Research 290 (2026) 125053. https://doi.org/10.1016/j.watres.2025.125053</w:t>
      </w:r>
    </w:p>
    <w:p>
      <w:pPr>
        <w:pStyle w:val="Normal"/>
        <w:spacing w:before="0" w:after="60"/>
        <w:rPr/>
      </w:pPr>
      <w:r>
        <w:rPr>
          <w:sz w:val="18"/>
          <w:lang w:val="en-US"/>
        </w:rPr>
        <w:t>[7] S.M.H. Fayaz, R. Mafigholami, F. Razavian, K. Ghasemipanah, Technical and economical comparison study between operation costs of beach well intake and open intake for seawater reverse osmosis desalination in the Persian Gulf, Desalination and Water Treatment 178 (2020) 74-82. https://doi.org/10.5004/dwt.2020.24953</w:t>
      </w:r>
    </w:p>
    <w:p>
      <w:pPr>
        <w:pStyle w:val="Normal"/>
        <w:spacing w:before="0" w:after="60"/>
        <w:rPr/>
      </w:pPr>
      <w:r>
        <w:rPr>
          <w:sz w:val="18"/>
          <w:lang w:val="en-US"/>
        </w:rPr>
        <w:t>[8] S. Flatscher, F. Hell, M.W. Hlawitschka, J. Lahnsteiner, Seeded membrane distillation crystallization for hypersaline brine treatment, Water Reuse 14 (2024) 16-29. https://doi.org/10.2166/wrd.2024.086</w:t>
      </w:r>
    </w:p>
    <w:p>
      <w:pPr>
        <w:pStyle w:val="Normal"/>
        <w:spacing w:before="0" w:after="60"/>
        <w:rPr/>
      </w:pPr>
      <w:r>
        <w:rPr>
          <w:sz w:val="18"/>
          <w:lang w:val="en-US"/>
        </w:rPr>
        <w:t>[9] N.A. Kasimu, J. Gu, Effect of sodium chloride on yield, purity, morphology and polymorphs of calcium or magnesium carbonate sequentially precipitated from brine solution, Desalination 578 (2024) 117443. https://doi.org/10.1016/j.desal.2024.117443</w:t>
      </w:r>
    </w:p>
    <w:p>
      <w:pPr>
        <w:pStyle w:val="Normal"/>
        <w:spacing w:before="0" w:after="60"/>
        <w:rPr/>
      </w:pPr>
      <w:r>
        <w:rPr>
          <w:sz w:val="18"/>
          <w:lang w:val="en-US"/>
        </w:rPr>
        <w:t>[10] N. Mahmud, M.H. El-Naas, Selective recovery of calcium and magnesium from desalination brine through mineral carbonation and alkaline precipitation, Next Sustainability 8 (2026) 100388. https://doi.org/10.1016/j.nxsust.2026.100388</w:t>
      </w:r>
    </w:p>
    <w:p>
      <w:pPr>
        <w:pStyle w:val="Normal"/>
        <w:spacing w:before="0" w:after="60"/>
        <w:rPr/>
      </w:pPr>
      <w:r>
        <w:rPr>
          <w:sz w:val="18"/>
          <w:lang w:val="en-US"/>
        </w:rPr>
        <w:t>[11] G. Migliorini, E. Luzzo, Seawater reverse osmosis plant using the pressure exchanger for energy recovery: a calculation model, Desalination 165 (2004) 289-298. https://doi.org/10.1016/j.desal.2004.06.034</w:t>
      </w:r>
    </w:p>
    <w:p>
      <w:pPr>
        <w:pStyle w:val="Normal"/>
        <w:spacing w:before="0" w:after="60"/>
        <w:rPr/>
      </w:pPr>
      <w:r>
        <w:rPr>
          <w:sz w:val="18"/>
          <w:lang w:val="en-US"/>
        </w:rPr>
        <w:t>[12] K.G. Nayar, M.H. Sharqawy, L.D. Banchik, J.H. Lienhard V, Thermophysical properties of seawater: A review and new correlations that include pressure dependence, Desalination 390 (2016) 1-24. https://doi.org/10.1016/j.desal.2016.02.024</w:t>
      </w:r>
    </w:p>
    <w:p>
      <w:pPr>
        <w:pStyle w:val="Normal"/>
        <w:spacing w:before="0" w:after="60"/>
        <w:rPr/>
      </w:pPr>
      <w:r>
        <w:rPr>
          <w:sz w:val="18"/>
          <w:lang w:val="en-US"/>
        </w:rPr>
        <w:t>[13] A. Nemmour, H. Zhang, K.E. Kadi, I. Janajreh, Salt recovery from a reverse osmosis brine by eutectic freeze crystallization method for waste brine management, Environmental Science and Pollution Research 33 (2025) 1930-1940. https://doi.org/10.1007/s11356-025-36553-7</w:t>
      </w:r>
    </w:p>
    <w:p>
      <w:pPr>
        <w:pStyle w:val="Normal"/>
        <w:spacing w:before="0" w:after="60"/>
        <w:rPr/>
      </w:pPr>
      <w:r>
        <w:rPr>
          <w:sz w:val="18"/>
          <w:lang w:val="en-US"/>
        </w:rPr>
        <w:t>[14] A. Panagopoulos, A comparative study on minimum and actual energy consumption for the treatment of desalination brine, Energy 212 (2020) 118733. https://doi.org/10.1016/j.energy.2020.118733</w:t>
      </w:r>
    </w:p>
    <w:p>
      <w:pPr>
        <w:pStyle w:val="Normal"/>
        <w:spacing w:before="0" w:after="60"/>
        <w:rPr/>
      </w:pPr>
      <w:r>
        <w:rPr>
          <w:sz w:val="18"/>
          <w:lang w:val="en-US"/>
        </w:rPr>
        <w:t>[15] A. Panagopoulos, V. Giannika, Comparative techno-economic and environmental analysis of minimal liquid discharge (MLD) and zero liquid discharge (ZLD) desalination systems for seawater brine treatment and valorization, Sustainable Energy Technologies and Assessments 53 (2022) 102477. https://doi.org/10.1016/j.seta.2022.102477</w:t>
      </w:r>
    </w:p>
    <w:p>
      <w:pPr>
        <w:pStyle w:val="Normal"/>
        <w:spacing w:before="0" w:after="60"/>
        <w:rPr/>
      </w:pPr>
      <w:r>
        <w:rPr>
          <w:sz w:val="18"/>
          <w:lang w:val="en-US"/>
        </w:rPr>
        <w:t>[16] B. Peñate-Suarez, J.A.d.l. Fuente-Bencomo, G. Melián-Monroy, S.Y. Arenas Urrea, R. González-Almenara, L. García-Rodríguez, The worldwide lowest specific energy consumption measured in a seawater desalination plant – Real integration and opportunities of improvement, Energy Conversion and Management: X 30 (2026) 101682. https://doi.org/10.1016/j.ecmx.2026.101682</w:t>
      </w:r>
    </w:p>
    <w:p>
      <w:pPr>
        <w:pStyle w:val="Normal"/>
        <w:spacing w:before="0" w:after="60"/>
        <w:rPr/>
      </w:pPr>
      <w:r>
        <w:rPr>
          <w:sz w:val="18"/>
          <w:lang w:val="en-US"/>
        </w:rPr>
        <w:t>[17] R.K. Puthanveettil, S. Kim, M.J. Kim, Utilizing seawater and brine to simultaneously produce high-purity magnesium sulfate and vaterite-type calcium carbonate, Desalination 578 (2024) 117436. https://doi.org/10.1016/j.desal.2024.117436</w:t>
      </w:r>
    </w:p>
    <w:p>
      <w:pPr>
        <w:pStyle w:val="Normal"/>
        <w:spacing w:before="0" w:after="60"/>
        <w:rPr/>
      </w:pPr>
      <w:r>
        <w:rPr>
          <w:sz w:val="18"/>
          <w:lang w:val="en-US"/>
        </w:rPr>
        <w:t>[18] H. Qian, Z. Zhou, L. Zhang, F. Wu, Q. Zhang, Z. Zhang, Thermodynamic analysis on the theoretical energy consumption of seawater desalination, Desalination 320 (2013) 73-79. https://doi.org/10.1016/j.desal.2013.04.006</w:t>
      </w:r>
    </w:p>
    <w:p>
      <w:pPr>
        <w:pStyle w:val="Normal"/>
        <w:spacing w:before="0" w:after="60"/>
        <w:rPr/>
      </w:pPr>
      <w:r>
        <w:rPr>
          <w:sz w:val="18"/>
          <w:lang w:val="en-US"/>
        </w:rPr>
        <w:t>[19] C. Quist-Jensen, F. Macedonio, E. Drioli, Membrane crystallization for salts recovery from brine—an experimental and theoretical analysis, Desalination and Water Treatment 57 (2016) 7593-7603. https://doi.org/10.1080/19443994.2015.1030110</w:t>
      </w:r>
    </w:p>
    <w:p>
      <w:pPr>
        <w:pStyle w:val="Normal"/>
        <w:spacing w:before="0" w:after="60"/>
        <w:rPr/>
      </w:pPr>
      <w:r>
        <w:rPr>
          <w:sz w:val="18"/>
          <w:lang w:val="en-US"/>
        </w:rPr>
        <w:t>[20] A. RANDON, S. RECH, A. LAZZARETTO, Brine Management: Techno-economic Analysis of a Mechanical Vapor Compression Energy System for a Near-Zero Liquid Discharge Application, International Journal of Thermodynamics 23 (2020) 128-137. https://doi.org/10.5541/ijot.673573</w:t>
      </w:r>
    </w:p>
    <w:p>
      <w:pPr>
        <w:pStyle w:val="Normal"/>
        <w:spacing w:before="0" w:after="60"/>
        <w:rPr/>
      </w:pPr>
      <w:r>
        <w:rPr>
          <w:sz w:val="18"/>
          <w:lang w:val="en-US"/>
        </w:rPr>
        <w:t>[21] M.P. Shahabi, A. McHugh, G. Ho, Environmental and economic assessment of beach well intake versus open intake for seawater reverse osmosis desalination, Desalination 357 (2015) 259-266. https://doi.org/10.1016/j.desal.2014.12.003</w:t>
      </w:r>
    </w:p>
    <w:p>
      <w:pPr>
        <w:pStyle w:val="Normal"/>
        <w:spacing w:before="0" w:after="60"/>
        <w:rPr/>
      </w:pPr>
      <w:r>
        <w:rPr>
          <w:sz w:val="18"/>
          <w:lang w:val="en-US"/>
        </w:rPr>
        <w:t>[22] M.H. Sharqawy, J.H. Lienhard, S.M. Zubair, Thermophysical properties of seawater: a review of existing correlations and data, Desalination and Water Treatment 16 (2010) 354-380. https://doi.org/10.5004/dwt.2010.1079</w:t>
      </w:r>
    </w:p>
    <w:p>
      <w:pPr>
        <w:pStyle w:val="Normal"/>
        <w:spacing w:before="0" w:after="60"/>
        <w:rPr/>
      </w:pPr>
      <w:r>
        <w:rPr>
          <w:sz w:val="18"/>
          <w:lang w:val="en-US"/>
        </w:rPr>
        <w:t>[23] R.L. Stover, Seawater reverse osmosis with isobaric energy recovery devices, Desalination 203 (2007) 168-175. https://doi.org/10.1016/j.desal.2006.03.528</w:t>
      </w:r>
    </w:p>
    <w:p>
      <w:pPr>
        <w:pStyle w:val="Normal"/>
        <w:spacing w:before="0" w:after="60"/>
        <w:rPr/>
      </w:pPr>
      <w:r>
        <w:rPr>
          <w:sz w:val="18"/>
          <w:lang w:val="en-US"/>
        </w:rPr>
        <w:t>[24] C. Wang, L. Wang, L. Dong, H.K. Shon, J. Kim, Specific energy consumption of seawater reverse osmosis desalination plants using machine learning, Desalination 602 (2025) 118654. https://doi.org/10.1016/j.desal.2025.118654</w:t>
      </w:r>
    </w:p>
    <w:p>
      <w:pPr>
        <w:pStyle w:val="Normal"/>
        <w:spacing w:before="0" w:after="60"/>
        <w:rPr/>
      </w:pPr>
      <w:r>
        <w:rPr>
          <w:sz w:val="18"/>
          <w:lang w:val="en-US"/>
        </w:rPr>
        <w:t>[25] D. Zhang, Y. Li, J. Cao, Efficient magnesium recovery from seawater desalination brine via CO2 mineralization to synthesize hydromagnesite for uranium extraction, Desalination 559 (2023) 116629. https://doi.org/10.1016/j.desal.2023.116629</w:t>
      </w:r>
    </w:p>
    <w:sectPr>
      <w:type w:val="nextPage"/>
      <w:pgSz w:w="12240" w:h="15840"/>
      <w:pgMar w:left="1224" w:right="1224"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7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17</Pages>
  <Words>8569</Words>
  <Characters>48396</Characters>
  <CharactersWithSpaces>56537</CharactersWithSpaces>
  <Paragraphs>585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2026-09-22T20:54:27Z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2026-09-23T01:52:28Z</vt:filetime>
  </property>
</Properties>
</file>