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Late-Time Vacuum Decay as a Cosmological Reset: Coleman–De Luccia Tunneling, Reheating Constraints, and Consistency Boundaries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late-time transition of the present dark energy out of a metastable vacuum has been proposed as the seed of a new cosmological epoch. We test this proposal as a reset mechanism instead of assuming it. For a scalar potential with an explicit metastable minimum at the dark-energy scale, the O(4) Coleman–De Luccia bounce is computed in flat space and with gravity (shooting, an independent boundary-value solution, analytic de Sitter tails), with a numerical error budget, a check of the negative-mode structure and 18 executable consistency checks. All scales are set by the dark energy, so the gravitational parameter is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gravitational corrections are </w:t>
      </w:r>
      <m:oMath>
        <m:r>
          <m:t xml:space="preserve">∼1</m:t>
        </m:r>
        <m:sSup>
          <m:e>
            <m:r>
              <m:t xml:space="preserve">0</m:t>
            </m:r>
          </m:e>
          <m:sup>
            <m:r>
              <m:t xml:space="preserve">−59</m:t>
            </m:r>
          </m:sup>
        </m:sSup>
      </m:oMath>
      <w:r>
        <w:rPr>
          <w:b w:val="0"/>
          <w:i w:val="0"/>
        </w:rPr>
        <w:t xml:space="preserve">, the Hawking–Moss channel is irrelevant, and the decay is a flat-space process controlled by one number, the action </w:t>
      </w:r>
      <m:oMath>
        <m:r>
          <m:t xml:space="preserve">B</m:t>
        </m:r>
        <m:r>
          <m:t xml:space="preserve">=</m:t>
        </m:r>
        <m:r>
          <m:t xml:space="preserve">b(η)/λ</m:t>
        </m:r>
      </m:oMath>
      <w:r>
        <w:rPr>
          <w:b w:val="0"/>
          <w:i w:val="0"/>
        </w:rPr>
        <w:t xml:space="preserve">. The survival of the present vacuum is evaluated with the Lorentzian four-volume of our past light cone in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which is 445 times smaller than the Euclidean four-sphere volume often used as a shortcut: the 95% bound is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so the survival condition is weak and the transition window is set by </w:t>
      </w:r>
      <m:oMath>
        <m:r>
          <m:t xml:space="preserve">B</m:t>
        </m:r>
        <m:r>
          <m:t xml:space="preserve">≃</m:t>
        </m:r>
        <m:r>
          <m:t xml:space="preserve">287</m:t>
        </m:r>
      </m:oMath>
      <w:r>
        <w:rPr>
          <w:b w:val="0"/>
          <w:i w:val="0"/>
        </w:rPr>
        <w:t xml:space="preserve">, with the mean decay time running from </w:t>
      </w:r>
      <m:oMath>
        <m:r>
          <m:t xml:space="preserve">8.2×1</m:t>
        </m:r>
        <m:sSup>
          <m:e>
            <m:r>
              <m:t xml:space="preserve">0</m:t>
            </m:r>
          </m:e>
          <m:sup>
            <m:r>
              <m:t xml:space="preserve">7</m:t>
            </m:r>
          </m:sup>
        </m:sSup>
      </m:oMath>
      <w:r>
        <w:rPr>
          <w:b w:val="0"/>
          <w:i w:val="0"/>
        </w:rPr>
        <w:t xml:space="preserve"> yr to beyond </w:t>
      </w:r>
      <m:oMath>
        <m:r>
          <m:t xml:space="preserve">1</m:t>
        </m:r>
        <m:sSup>
          <m:e>
            <m:r>
              <m:t xml:space="preserve">0</m:t>
            </m:r>
          </m:e>
          <m:sup>
            <m:r>
              <m:t xml:space="preserve">100</m:t>
            </m:r>
          </m:sup>
        </m:sSup>
      </m:oMath>
      <w:r>
        <w:rPr>
          <w:b w:val="0"/>
          <w:i w:val="0"/>
        </w:rPr>
        <w:t xml:space="preserve"> yr as </w:t>
      </w:r>
      <m:oMath>
        <m:r>
          <m:t xml:space="preserve">B</m:t>
        </m:r>
      </m:oMath>
      <w:r>
        <w:rPr>
          <w:b w:val="0"/>
          <w:i w:val="0"/>
        </w:rPr>
        <w:t xml:space="preserve"> increases by only </w:t>
      </w:r>
      <m:oMath>
        <m:r>
          <m:t xml:space="preserve">∼212</m:t>
        </m:r>
      </m:oMath>
      <w:r>
        <w:rPr>
          <w:b w:val="0"/>
          <w:i w:val="0"/>
        </w:rPr>
        <w:t xml:space="preserve">. For the stated priors, which define a parameter space and not probabilities for our universe, 14.8% of the prior volume lies above the survival bound, 0.8% decays within </w:t>
      </w:r>
      <m:oMath>
        <m:r>
          <m:t xml:space="preserve">1</m:t>
        </m:r>
        <m:sSup>
          <m:e>
            <m:r>
              <m:t xml:space="preserve">0</m:t>
            </m:r>
          </m:e>
          <m:sup>
            <m:r>
              <m:t xml:space="preserve">20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Within explicit assumptions (one scalar field, minimal coupling, no inflationary stage) the nucleated region reheats to at most </w:t>
      </w:r>
      <m:oMath>
        <m:r>
          <m:t xml:space="preserve">2.2</m:t>
        </m:r>
      </m:oMath>
      <w:r>
        <w:rPr>
          <w:b w:val="0"/>
          <w:i w:val="0"/>
        </w:rPr>
        <w:t xml:space="preserve"> meV, </w:t>
      </w:r>
      <m:oMath>
        <m:r>
          <m:t xml:space="preserve">4.6×1</m:t>
        </m:r>
        <m:sSup>
          <m:e>
            <m:r>
              <m:t xml:space="preserve">0</m:t>
            </m:r>
          </m:e>
          <m:sup>
            <m:r>
              <m:t xml:space="preserve">8</m:t>
            </m:r>
          </m:sup>
        </m:sSup>
      </m:oMath>
      <w:r>
        <w:rPr>
          <w:b w:val="0"/>
          <w:i w:val="0"/>
        </w:rPr>
        <w:t xml:space="preserve"> times below nucleosynthesis; this is not an energy-conservation statement alone: the open interior stays curvature dominated and a hot big bang at </w:t>
      </w:r>
      <m:oMath>
        <m:r>
          <m:t xml:space="preserve">t</m:t>
        </m:r>
        <m:r>
          <m:t xml:space="preserve">∼</m:t>
        </m:r>
        <m:r>
          <m:t xml:space="preserve">1</m:t>
        </m:r>
      </m:oMath>
      <w:r>
        <w:rPr>
          <w:b w:val="0"/>
          <w:i w:val="0"/>
        </w:rPr>
        <w:t xml:space="preserve"> s would require a parent energy scale at least 41 orders of magnitude above the Planck scale. A matter trigger requires a fractional change of the matter mass between the two vacua of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xml:space="preserve">, that is a linear coupling </w:t>
      </w:r>
      <m:oMath>
        <m:r>
          <m:t xml:space="preserve">β</m:t>
        </m:r>
        <m:r>
          <m:t xml:space="preserve">∼</m:t>
        </m:r>
        <m:r>
          <m:t xml:space="preserve">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quadratic coupling scale of tens of meV; screened couplings are not excluded by this paper. A cyclic reset by decay of the present dark energy is therefore not supported in this framework; consistency conditions and observational tests are listed separately.</w:t>
      </w:r>
    </w:p>
    <w:p>
      <w:r>
        <w:rPr>
          <w:b/>
          <w:i w:val="0"/>
        </w:rPr>
        <w:t xml:space="preserve">Keywords: </w:t>
      </w:r>
      <w:r>
        <w:rPr>
          <w:b w:val="0"/>
          <w:i/>
        </w:rPr>
        <w:t>false vacuum decay; Coleman–De Luccia instanton; de Sitter space;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Three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[6, 7, 1, 8, 9, 10, 11]</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[12, 13]</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[14, 15]; percolation [16, 17]</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[18, 19, 20]</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[21, 22, 20, 23, 24]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[25, 26]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[27],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[6,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[6].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[8];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[10, 11],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[28, 29, 30],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[9] serves as a further check of the gravitational suppression. Table 2 lists the checks of the bounce; the complete suite has 18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[6, 7].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[31];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[6, 7].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[14, 15]</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[16, 17],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[12, 13]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6c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[18, 19],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(10)</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[32].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6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6.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(10);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6" name="Picture 6"/>
            <wp:cNvGraphicFramePr>
              <a:graphicFrameLocks noChangeAspect="1"/>
            </wp:cNvGraphicFramePr>
            <a:graphic>
              <a:graphicData uri="http://schemas.openxmlformats.org/drawingml/2006/picture">
                <pic:pic>
                  <pic:nvPicPr>
                    <pic:cNvPr id="0" name="fig6_reheating_interior.png"/>
                    <pic:cNvPicPr/>
                  </pic:nvPicPr>
                  <pic:blipFill>
                    <a:blip r:embed="rId14"/>
                    <a:stretch>
                      <a:fillRect/>
                    </a:stretch>
                  </pic:blipFill>
                  <pic:spPr>
                    <a:xfrm>
                      <a:off x="0" y="0"/>
                      <a:ext cx="5760720" cy="1888323"/>
                    </a:xfrm>
                    <a:prstGeom prst="rect"/>
                  </pic:spPr>
                </pic:pic>
              </a:graphicData>
            </a:graphic>
          </wp:inline>
        </w:drawing>
      </w:r>
    </w:p>
    <w:p>
      <w:r>
        <w:rPr>
          <w:b w:val="0"/>
          <w:i/>
          <w:sz w:val="19"/>
        </w:rPr>
        <w:t>Fig. 6.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(10)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7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(11)</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7),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7" name="Picture 7"/>
            <wp:cNvGraphicFramePr>
              <a:graphicFrameLocks noChangeAspect="1"/>
            </wp:cNvGraphicFramePr>
            <a:graphic>
              <a:graphicData uri="http://schemas.openxmlformats.org/drawingml/2006/picture">
                <pic:pic>
                  <pic:nvPicPr>
                    <pic:cNvPr id="0" name="fig7_curvature_interior.png"/>
                    <pic:cNvPicPr/>
                  </pic:nvPicPr>
                  <pic:blipFill>
                    <a:blip r:embed="rId15"/>
                    <a:stretch>
                      <a:fillRect/>
                    </a:stretch>
                  </pic:blipFill>
                  <pic:spPr>
                    <a:xfrm>
                      <a:off x="0" y="0"/>
                      <a:ext cx="3383280" cy="2446813"/>
                    </a:xfrm>
                    <a:prstGeom prst="rect"/>
                  </pic:spPr>
                </pic:pic>
              </a:graphicData>
            </a:graphic>
          </wp:inline>
        </w:drawing>
      </w:r>
    </w:p>
    <w:p>
      <w:r>
        <w:rPr>
          <w:b w:val="0"/>
          <w:i/>
          <w:sz w:val="19"/>
        </w:rPr>
        <w:t xml:space="preserve">Fig. 7.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7.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[33]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(12)</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8 translates this to specific couplings.</w:t>
      </w:r>
    </w:p>
    <w:p>
      <w:pPr>
        <w:keepNext/>
      </w:pPr>
      <w:r>
        <w:rPr>
          <w:b w:val="0"/>
          <w:i/>
          <w:sz w:val="19"/>
        </w:rPr>
        <w:t xml:space="preserve">Table 8.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[25]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[26]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[20, 23, 24]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[34], would favor a rolling field and not a metastable vacuum. No observational discriminant of the cyclic reset is available from this model.</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7).</w:t>
      </w:r>
    </w:p>
    <w:p>
      <w:pPr>
        <w:pStyle w:val="ListBullet"/>
        <w:jc w:val="both"/>
      </w:pPr>
      <w:r>
        <w:rPr>
          <w:b w:val="0"/>
          <w:i w:val="0"/>
        </w:rPr>
        <w:t>Up-tunneling from the false to a higher vacuum, the decay of the true vacuum in curved space [35], thermal activation of the Hawking–Moss type [36]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result is a set of boundaries. The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the survival of the present vacuum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with 0.8% of the stated prior volume decaying within </w:t>
      </w:r>
      <m:oMath>
        <m:r>
          <m:t xml:space="preserve">1</m:t>
        </m:r>
        <m:sSup>
          <m:e>
            <m:r>
              <m:t xml:space="preserve">0</m:t>
            </m:r>
          </m:e>
          <m:sup>
            <m:r>
              <m:t xml:space="preserve">20</m:t>
            </m:r>
          </m:sup>
        </m:sSup>
      </m:oMath>
      <w:r>
        <w:rPr>
          <w:b w:val="0"/>
          <w:i w:val="0"/>
        </w:rPr>
        <w:t xml:space="preserve"> yr. The interior of a nucleated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conclusion rests on geometry and not on energy conservation alone, and it holds for any sub-Planckian parent energy. A trigger by matter dilution needs a change of the matter mass between the vacua of at least </w:t>
      </w:r>
      <m:oMath>
        <m:r>
          <m:t xml:space="preserve">0.1%</m:t>
        </m:r>
      </m:oMath>
      <w:r>
        <w:rPr>
          <w:b w:val="0"/>
          <w:i w:val="0"/>
        </w:rPr>
        <w:t>. The cyclic-reset hypothesis, in the form tested, is therefore not supported, and the framework identifies what would have to change.</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https://doi.org/10.5281/zenodo.23751350.</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https://doi.org/10.5281/zenodo.23751350. Running the scripts in the stated order regenerates every number in this paper, and verify.py runs 18 executable checks. The manuscript is archived at https://doi.org/10.5281/zenodo.23751349.</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p>
      <w:pPr>
        <w:spacing w:after="40"/>
        <w:ind w:left="432" w:hanging="432"/>
      </w:pPr>
      <w:r>
        <w:rPr>
          <w:b w:val="0"/>
          <w:i w:val="0"/>
          <w:sz w:val="19"/>
        </w:rPr>
        <w:t>[1] S. Coleman, F. De Luccia, Gravitational effects on and of vacuum decay. Phys. Rev. D 21, 3305–3315 (1980). https://doi.org/10.1103/PhysRevD.21.3305</w:t>
      </w:r>
    </w:p>
    <w:p>
      <w:pPr>
        <w:spacing w:after="40"/>
        <w:ind w:left="432" w:hanging="432"/>
      </w:pPr>
      <w:r>
        <w:rPr>
          <w:b w:val="0"/>
          <w:i w:val="0"/>
          <w:sz w:val="19"/>
        </w:rPr>
        <w:t>[2] R. Penrose, Cycles of Time: An Extraordinary New View of the Universe. Bodley Head, London (2010).</w:t>
      </w:r>
    </w:p>
    <w:p>
      <w:pPr>
        <w:spacing w:after="40"/>
        <w:ind w:left="432" w:hanging="432"/>
      </w:pPr>
      <w:r>
        <w:rPr>
          <w:b w:val="0"/>
          <w:i w:val="0"/>
          <w:sz w:val="19"/>
        </w:rPr>
        <w:t>[3] M. Gasperini, G. Veneziano, The pre-big bang scenario in string cosmology. Phys. Rep. 373, 1–212 (2003). https://doi.org/10.1016/S0370-1573(02)00389-7</w:t>
      </w:r>
    </w:p>
    <w:p>
      <w:pPr>
        <w:spacing w:after="40"/>
        <w:ind w:left="432" w:hanging="432"/>
      </w:pPr>
      <w:r>
        <w:rPr>
          <w:b w:val="0"/>
          <w:i w:val="0"/>
          <w:sz w:val="19"/>
        </w:rPr>
        <w:t>[4] P.J. Steinhardt, N. Turok, A cyclic model of the universe. Science 296, 1436–1439 (2002). https://doi.org/10.1126/science.1070462</w:t>
      </w:r>
    </w:p>
    <w:p>
      <w:pPr>
        <w:spacing w:after="40"/>
        <w:ind w:left="432" w:hanging="432"/>
      </w:pPr>
      <w:r>
        <w:rPr>
          <w:b w:val="0"/>
          <w:i w:val="0"/>
          <w:sz w:val="19"/>
        </w:rPr>
        <w:t>[5] A. Ijjas, P.J. Steinhardt, Bouncing cosmology made simple. Class. Quantum Grav. 35, 135004 (2018). https://doi.org/10.1088/1361-6382/aac482</w:t>
      </w:r>
    </w:p>
    <w:p>
      <w:pPr>
        <w:spacing w:after="40"/>
        <w:ind w:left="432" w:hanging="432"/>
      </w:pPr>
      <w:r>
        <w:rPr>
          <w:b w:val="0"/>
          <w:i w:val="0"/>
          <w:sz w:val="19"/>
        </w:rPr>
        <w:t>[6] S. Coleman, Fate of the false vacuum: Semiclassical theory. Phys. Rev. D 15, 2929–2936 (1977). https://doi.org/10.1103/PhysRevD.15.2929</w:t>
      </w:r>
    </w:p>
    <w:p>
      <w:pPr>
        <w:spacing w:after="40"/>
        <w:ind w:left="432" w:hanging="432"/>
      </w:pPr>
      <w:r>
        <w:rPr>
          <w:b w:val="0"/>
          <w:i w:val="0"/>
          <w:sz w:val="19"/>
        </w:rPr>
        <w:t>[7] C.G. Callan, S. Coleman, Fate of the false vacuum. II. First quantum corrections. Phys. Rev. D 16, 1762–1768 (1977). https://doi.org/10.1103/PhysRevD.16.1762</w:t>
      </w:r>
    </w:p>
    <w:p>
      <w:pPr>
        <w:spacing w:after="40"/>
        <w:ind w:left="432" w:hanging="432"/>
      </w:pPr>
      <w:r>
        <w:rPr>
          <w:b w:val="0"/>
          <w:i w:val="0"/>
          <w:sz w:val="19"/>
        </w:rPr>
        <w:t>[8] S.W. Hawking, I.G. Moss, Supercooled phase transitions in the very early universe. Phys. Lett. B 110, 35–38 (1982). https://doi.org/10.1016/0370-2693(82)90946-7</w:t>
      </w:r>
    </w:p>
    <w:p>
      <w:pPr>
        <w:spacing w:after="40"/>
        <w:ind w:left="432" w:hanging="432"/>
      </w:pPr>
      <w:r>
        <w:rPr>
          <w:b w:val="0"/>
          <w:i w:val="0"/>
          <w:sz w:val="19"/>
        </w:rPr>
        <w:t>[9] S. Parke, Gravity and the decay of the false vacuum. Phys. Lett. B 121, 313–315 (1983). https://doi.org/10.1016/0370-2693(83)91376-X</w:t>
      </w:r>
    </w:p>
    <w:p>
      <w:pPr>
        <w:spacing w:after="40"/>
        <w:ind w:left="432" w:hanging="432"/>
      </w:pPr>
      <w:r>
        <w:rPr>
          <w:b w:val="0"/>
          <w:i w:val="0"/>
          <w:sz w:val="19"/>
        </w:rPr>
        <w:t>[10] R.A. Jensen, P.J. Steinhardt, Bubble nucleation and the Coleman–Weinberg model. Nucl. Phys. B 237, 176–188 (1984). https://doi.org/10.1016/0550-3213(84)90021-X</w:t>
      </w:r>
    </w:p>
    <w:p>
      <w:pPr>
        <w:spacing w:after="40"/>
        <w:ind w:left="432" w:hanging="432"/>
      </w:pPr>
      <w:r>
        <w:rPr>
          <w:b w:val="0"/>
          <w:i w:val="0"/>
          <w:sz w:val="19"/>
        </w:rPr>
        <w:t>[11] T. Hackworth, E.J. Weinberg, Oscillating bounce solutions and vacuum tunneling in de Sitter spacetime. Phys. Rev. D 71, 044014 (2005). https://doi.org/10.1103/PhysRevD.71.044014</w:t>
      </w:r>
    </w:p>
    <w:p>
      <w:pPr>
        <w:spacing w:after="40"/>
        <w:ind w:left="432" w:hanging="432"/>
      </w:pPr>
      <w:r>
        <w:rPr>
          <w:b w:val="0"/>
          <w:i w:val="0"/>
          <w:sz w:val="19"/>
        </w:rPr>
        <w:t>[12] G.V. Dunne, H. Min, Beyond the thin-wall approximation: Precise numerical computation of prefactors in false vacuum decay. Phys. Rev. D 72, 125004 (2005). https://doi.org/10.1103/PhysRevD.72.125004</w:t>
      </w:r>
    </w:p>
    <w:p>
      <w:pPr>
        <w:spacing w:after="40"/>
        <w:ind w:left="432" w:hanging="432"/>
      </w:pPr>
      <w:r>
        <w:rPr>
          <w:b w:val="0"/>
          <w:i w:val="0"/>
          <w:sz w:val="19"/>
        </w:rPr>
        <w:t>[13] A. Andreassen, W. Frost, M.D. Schwartz, Scale-invariant instantons and the complete lifetime of the standard model. Phys. Rev. D 97, 056006 (2018). https://doi.org/10.1103/PhysRevD.97.056006</w:t>
      </w:r>
    </w:p>
    <w:p>
      <w:pPr>
        <w:spacing w:after="40"/>
        <w:ind w:left="432" w:hanging="432"/>
      </w:pPr>
      <w:r>
        <w:rPr>
          <w:b w:val="0"/>
          <w:i w:val="0"/>
          <w:sz w:val="19"/>
        </w:rPr>
        <w:t>[14] G. Isidori, G. Ridolfi, A. Strumia, On the metastability of the Standard Model vacuum. Nucl. Phys. B 609, 387–409 (2001). https://doi.org/10.1016/S0550-3213(01)00302-9</w:t>
      </w:r>
    </w:p>
    <w:p>
      <w:pPr>
        <w:spacing w:after="40"/>
        <w:ind w:left="432" w:hanging="432"/>
      </w:pPr>
      <w:r>
        <w:rPr>
          <w:b w:val="0"/>
          <w:i w:val="0"/>
          <w:sz w:val="19"/>
        </w:rPr>
        <w:t>[15] J.R. Espinosa, G.F. Giudice, A. Riotto, Cosmological implications of the Higgs mass measurement. J. Cosmol. Astropart. Phys. 2008(05), 002 (2008). https://doi.org/10.1088/1475-7516/2008/05/002</w:t>
      </w:r>
    </w:p>
    <w:p>
      <w:pPr>
        <w:spacing w:after="40"/>
        <w:ind w:left="432" w:hanging="432"/>
      </w:pPr>
      <w:r>
        <w:rPr>
          <w:b w:val="0"/>
          <w:i w:val="0"/>
          <w:sz w:val="19"/>
        </w:rPr>
        <w:t>[16] A.H. Guth, E.J. Weinberg, Could the universe have recovered from a slow first-order phase transition? Nucl. Phys. B 212, 321–364 (1983). https://doi.org/10.1016/0550-3213(83)90307-3</w:t>
      </w:r>
    </w:p>
    <w:p>
      <w:pPr>
        <w:spacing w:after="40"/>
        <w:ind w:left="432" w:hanging="432"/>
      </w:pPr>
      <w:r>
        <w:rPr>
          <w:b w:val="0"/>
          <w:i w:val="0"/>
          <w:sz w:val="19"/>
        </w:rPr>
        <w:t>[17] M.S. Turner, E.J. Weinberg, L.M. Widrow, Bubble nucleation in first-order inflation and other cosmological phase transitions. Phys. Rev. D 46, 2384–2403 (1992). https://doi.org/10.1103/PhysRevD.46.2384</w:t>
      </w:r>
    </w:p>
    <w:p>
      <w:pPr>
        <w:spacing w:after="40"/>
        <w:ind w:left="432" w:hanging="432"/>
      </w:pPr>
      <w:r>
        <w:rPr>
          <w:b w:val="0"/>
          <w:i w:val="0"/>
          <w:sz w:val="19"/>
        </w:rPr>
        <w:t>[18] J.R. Gott III, Creation of open universes from de Sitter space. Nature 295, 304–307 (1982). https://doi.org/10.1038/295304a0</w:t>
      </w:r>
    </w:p>
    <w:p>
      <w:pPr>
        <w:spacing w:after="40"/>
        <w:ind w:left="432" w:hanging="432"/>
      </w:pPr>
      <w:r>
        <w:rPr>
          <w:b w:val="0"/>
          <w:i w:val="0"/>
          <w:sz w:val="19"/>
        </w:rPr>
        <w:t>[19] M. Bucher, A.S. Goldhaber, N. Turok, Open universe from inflation. Phys. Rev. D 52, 3314–3337 (1995). https://doi.org/10.1103/PhysRevD.52.3314</w:t>
      </w:r>
    </w:p>
    <w:p>
      <w:pPr>
        <w:spacing w:after="40"/>
        <w:ind w:left="432" w:hanging="432"/>
      </w:pPr>
      <w:r>
        <w:rPr>
          <w:b w:val="0"/>
          <w:i w:val="0"/>
          <w:sz w:val="19"/>
        </w:rPr>
        <w:t>[20] B. Freivogel, M. Kleban, M. Rodriguez Martinez, L. Susskind, Observational consequences of a landscape. J. High Energy Phys. 2006(03), 039 (2006). https://doi.org/10.1088/1126-6708/2006/03/039</w:t>
      </w:r>
    </w:p>
    <w:p>
      <w:pPr>
        <w:spacing w:after="40"/>
        <w:ind w:left="432" w:hanging="432"/>
      </w:pPr>
      <w:r>
        <w:rPr>
          <w:b w:val="0"/>
          <w:i w:val="0"/>
          <w:sz w:val="19"/>
        </w:rPr>
        <w:t>[21] R. Bousso, J. Polchinski, Quantization of four-form fluxes and dynamical neutralization of the cosmological constant. J. High Energy Phys. 2000(06), 006 (2000). https://doi.org/10.1088/1126-6708/2000/06/006</w:t>
      </w:r>
    </w:p>
    <w:p>
      <w:pPr>
        <w:spacing w:after="40"/>
        <w:ind w:left="432" w:hanging="432"/>
      </w:pPr>
      <w:r>
        <w:rPr>
          <w:b w:val="0"/>
          <w:i w:val="0"/>
          <w:sz w:val="19"/>
        </w:rPr>
        <w:t>[22] L. Dyson, M. Kleban, L. Susskind, Disturbing implications of a cosmological constant. J. High Energy Phys. 2002(10), 011 (2002). https://doi.org/10.1088/1126-6708/2002/10/011</w:t>
      </w:r>
    </w:p>
    <w:p>
      <w:pPr>
        <w:spacing w:after="40"/>
        <w:ind w:left="432" w:hanging="432"/>
      </w:pPr>
      <w:r>
        <w:rPr>
          <w:b w:val="0"/>
          <w:i w:val="0"/>
          <w:sz w:val="19"/>
        </w:rPr>
        <w:t>[23] M. Kleban, Cosmic bubble collisions. Class. Quantum Grav. 28, 204008 (2011). https://doi.org/10.1088/0264-9381/28/20/204008</w:t>
      </w:r>
    </w:p>
    <w:p>
      <w:pPr>
        <w:spacing w:after="40"/>
        <w:ind w:left="432" w:hanging="432"/>
      </w:pPr>
      <w:r>
        <w:rPr>
          <w:b w:val="0"/>
          <w:i w:val="0"/>
          <w:sz w:val="19"/>
        </w:rPr>
        <w:t>[24] A. Aguirre, M.C. Johnson, A status report on the observability of cosmic bubble collisions. Rep. Prog. Phys. 74, 074901 (2011). https://doi.org/10.1088/0034-4885/74/7/074901</w:t>
      </w:r>
    </w:p>
    <w:p>
      <w:pPr>
        <w:spacing w:after="40"/>
        <w:ind w:left="432" w:hanging="432"/>
      </w:pPr>
      <w:r>
        <w:rPr>
          <w:b w:val="0"/>
          <w:i w:val="0"/>
          <w:sz w:val="19"/>
        </w:rPr>
        <w:t>[25] J. Khoury, A. Weltman, Chameleon fields: awaiting surprises for tests of gravity in space. Phys. Rev. Lett. 93, 171104 (2004). https://doi.org/10.1103/PhysRevLett.93.171104</w:t>
      </w:r>
    </w:p>
    <w:p>
      <w:pPr>
        <w:spacing w:after="40"/>
        <w:ind w:left="432" w:hanging="432"/>
      </w:pPr>
      <w:r>
        <w:rPr>
          <w:b w:val="0"/>
          <w:i w:val="0"/>
          <w:sz w:val="19"/>
        </w:rPr>
        <w:t>[26] K. Hinterbichler, J. Khoury, Screening long-range forces through local symmetry restoration. Phys. Rev. Lett. 104, 231301 (2010). https://doi.org/10.1103/PhysRevLett.104.231301</w:t>
      </w:r>
    </w:p>
    <w:p>
      <w:pPr>
        <w:spacing w:after="40"/>
        <w:ind w:left="432" w:hanging="432"/>
      </w:pPr>
      <w:r>
        <w:rPr>
          <w:b w:val="0"/>
          <w:i w:val="0"/>
          <w:sz w:val="19"/>
        </w:rPr>
        <w:t>[27] Planck Collaboration, N. Aghanim et al., Planck 2018 results. VI. Cosmological parameters. Astron. Astrophys. 641, A6 (2020). https://doi.org/10.1051/0004-6361/201833910</w:t>
      </w:r>
    </w:p>
    <w:p>
      <w:pPr>
        <w:spacing w:after="40"/>
        <w:ind w:left="432" w:hanging="432"/>
      </w:pPr>
      <w:r>
        <w:rPr>
          <w:b w:val="0"/>
          <w:i w:val="0"/>
          <w:sz w:val="19"/>
        </w:rPr>
        <w:t>[28] P. Virtanen et al., SciPy 1.0: fundamental algorithms for scientific computing in Python. Nat. Methods 17, 261–272 (2020). https://doi.org/10.1038/s41592-019-0686-2</w:t>
      </w:r>
    </w:p>
    <w:p>
      <w:pPr>
        <w:spacing w:after="40"/>
        <w:ind w:left="432" w:hanging="432"/>
      </w:pPr>
      <w:r>
        <w:rPr>
          <w:b w:val="0"/>
          <w:i w:val="0"/>
          <w:sz w:val="19"/>
        </w:rPr>
        <w:t>[29] C.R. Harris et al., Array programming with NumPy. Nature 585, 357–362 (2020). https://doi.org/10.1038/s41586-020-2649-2</w:t>
      </w:r>
    </w:p>
    <w:p>
      <w:pPr>
        <w:spacing w:after="40"/>
        <w:ind w:left="432" w:hanging="432"/>
      </w:pPr>
      <w:r>
        <w:rPr>
          <w:b w:val="0"/>
          <w:i w:val="0"/>
          <w:sz w:val="19"/>
        </w:rPr>
        <w:t>[30] C.L. Wainwright, CosmoTransitions: Computing cosmological phase transition temperatures and bubble profiles with multiple fields. Comput. Phys. Commun. 183, 2006–2013 (2012). https://doi.org/10.1016/j.cpc.2012.04.004</w:t>
      </w:r>
    </w:p>
    <w:p>
      <w:pPr>
        <w:spacing w:after="40"/>
        <w:ind w:left="432" w:hanging="432"/>
      </w:pPr>
      <w:r>
        <w:rPr>
          <w:b w:val="0"/>
          <w:i w:val="0"/>
          <w:sz w:val="19"/>
        </w:rPr>
        <w:t>[31] T. Tanaka, M. Sasaki, False vacuum decay with gravity. Prog. Theor. Phys. 88, 503–528 (1992). https://doi.org/10.1143/PTP.88.503</w:t>
      </w:r>
    </w:p>
    <w:p>
      <w:pPr>
        <w:spacing w:after="40"/>
        <w:ind w:left="432" w:hanging="432"/>
      </w:pPr>
      <w:r>
        <w:rPr>
          <w:b w:val="0"/>
          <w:i w:val="0"/>
          <w:sz w:val="19"/>
        </w:rPr>
        <w:t>[32] C. Pitrou, A. Coc, J.-P. Uzan, E. Vangioni, Precision big bang nucleosynthesis with improved Helium-4 predictions. Phys. Rep. 754, 1–66 (2018). https://doi.org/10.1016/j.physrep.2018.04.005</w:t>
      </w:r>
    </w:p>
    <w:p>
      <w:pPr>
        <w:spacing w:after="40"/>
        <w:ind w:left="432" w:hanging="432"/>
      </w:pPr>
      <w:r>
        <w:rPr>
          <w:b w:val="0"/>
          <w:i w:val="0"/>
          <w:sz w:val="19"/>
        </w:rPr>
        <w:t>[33] G.W. Gibbons, S.W. Hawking, Cosmological event horizons, thermodynamics, and particle creation. Phys. Rev. D 15, 2738–2751 (1977). https://doi.org/10.1103/PhysRevD.15.2738</w:t>
      </w:r>
    </w:p>
    <w:p>
      <w:pPr>
        <w:spacing w:after="40"/>
        <w:ind w:left="432" w:hanging="432"/>
      </w:pPr>
      <w:r>
        <w:rPr>
          <w:b w:val="0"/>
          <w:i w:val="0"/>
          <w:sz w:val="19"/>
        </w:rPr>
        <w:t>[34] DESI Collaboration, M. Abdul Karim et al., DESI DR2 results. II. Measurements of baryon acoustic oscillations and cosmological constraints. Phys. Rev. D 112, 083515 (2025). https://doi.org/10.1103/tr6y-kpc6</w:t>
      </w:r>
    </w:p>
    <w:p>
      <w:pPr>
        <w:spacing w:after="40"/>
        <w:ind w:left="432" w:hanging="432"/>
      </w:pPr>
      <w:r>
        <w:rPr>
          <w:b w:val="0"/>
          <w:i w:val="0"/>
          <w:sz w:val="19"/>
        </w:rPr>
        <w:t>[35] K. Lee, E.J. Weinberg, Decay of the true vacuum in curved space-time. Phys. Rev. D 36, 1088–1094 (1987). https://doi.org/10.1103/PhysRevD.36.1088</w:t>
      </w:r>
    </w:p>
    <w:p>
      <w:pPr>
        <w:spacing w:after="40"/>
        <w:ind w:left="432" w:hanging="432"/>
      </w:pPr>
      <w:r>
        <w:rPr>
          <w:b w:val="0"/>
          <w:i w:val="0"/>
          <w:sz w:val="19"/>
        </w:rPr>
        <w:t>[36] A.R. Brown, E.J. Weinberg, Thermal derivation of the Coleman–De Luccia tunneling prescription. Phys. Rev. D 76, 064003 (2007). https://doi.org/10.1103/PhysRevD.76.064003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