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metastable dark-energy vacuum could decay by nucleating bubbles that evolve into daughter regions. Whether such a region can be a hot expanding universe, and whether cosmological cooling changes the probability of the transition, are quantitative questions, and this paper answers them for an explicit model. For a scalar potential with a metastable minimum at the dark-energy scale, the O(4) Coleman–De Luccia bounce is computed in flat space and with gravity (shooting, an independent boundary-value solution, a numerical error budget, the negative-mode structure and 21 executable checks). All scales are set by the dark energy, so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the Hawking–Moss channel is irrelevant, and the quantum decay is controlled by one action </w:t>
      </w:r>
      <m:oMath>
        <m:r>
          <m:t xml:space="preserve">B</m:t>
        </m:r>
        <m:r>
          <m:t xml:space="preserve">=</m:t>
        </m:r>
        <m:r>
          <m:t xml:space="preserve">b(η)/λ</m:t>
        </m:r>
      </m:oMath>
      <w:r>
        <w:rPr>
          <w:b w:val="0"/>
          <w:i w:val="0"/>
        </w:rPr>
        <w:t xml:space="preserve">, with </w:t>
      </w:r>
      <m:oMath>
        <m:r>
          <m:t xml:space="preserve">Γ/</m:t>
        </m:r>
        <m:sSup>
          <m:e>
            <m:r>
              <m:t xml:space="preserve">H</m:t>
            </m:r>
          </m:e>
          <m:sup>
            <m:r>
              <m:t xml:space="preserve">4</m:t>
            </m:r>
          </m:sup>
        </m:sSup>
        <m:r>
          <m:t xml:space="preserve">=</m:t>
        </m:r>
        <m:r>
          <m:t xml:space="preserve">1</m:t>
        </m:r>
      </m:oMath>
      <w:r>
        <w:rPr>
          <w:b w:val="0"/>
          <w:i w:val="0"/>
        </w:rPr>
        <w:t xml:space="preserve"> at </w:t>
      </w:r>
      <m:oMath>
        <m:r>
          <m:t xml:space="preserve">B</m:t>
        </m:r>
        <m:r>
          <m:t xml:space="preserve">≃</m:t>
        </m:r>
        <m:r>
          <m:t xml:space="preserve">287</m:t>
        </m:r>
      </m:oMath>
      <w:r>
        <w:rPr>
          <w:b w:val="0"/>
          <w:i w:val="0"/>
        </w:rPr>
        <w:t xml:space="preserve">. Survival of the present vacuum is evaluated on the Lorentzian past light cone of the observed expansion history, </w:t>
      </w:r>
      <m:oMath>
        <m:sSub>
          <m:e>
            <m:r>
              <m:t xml:space="preserve">V</m:t>
            </m:r>
          </m:e>
          <m:sub>
            <m:r>
              <m:t xml:space="preserve">4</m:t>
            </m:r>
          </m:sub>
        </m:sSub>
        <m:r>
          <m:t xml:space="preserve">=</m:t>
        </m:r>
        <m:r>
          <m:t xml:space="preserve">0.059</m:t>
        </m:r>
        <m:r>
          <m:rPr>
            <m:sty m:val="p"/>
          </m:rPr>
          <m:t xml:space="preserve"> </m:t>
        </m:r>
        <m:sSubSup>
          <m:e>
            <m:r>
              <m:t xml:space="preserve">H</m:t>
            </m:r>
          </m:e>
          <m:sub>
            <m:r>
              <m:t xml:space="preserve">Λ</m:t>
            </m:r>
          </m:sub>
          <m:sup>
            <m:r>
              <m:t xml:space="preserve">−4</m:t>
            </m:r>
          </m:sup>
        </m:sSubSup>
      </m:oMath>
      <w:r>
        <w:rPr>
          <w:b w:val="0"/>
          <w:i w:val="0"/>
        </w:rPr>
        <w:t xml:space="preserve">, 445 times below the Euclidean four-sphere, which gives the weak 95% bound </w:t>
      </w:r>
      <m:oMath>
        <m:r>
          <m:t xml:space="preserve">Γ/</m:t>
        </m:r>
        <m:sSubSup>
          <m:e>
            <m:r>
              <m:t xml:space="preserve">H</m:t>
            </m:r>
          </m:e>
          <m:sub>
            <m:r>
              <m:t xml:space="preserve">Λ</m:t>
            </m:r>
          </m:sub>
          <m:sup>
            <m:r>
              <m:t xml:space="preserve">4</m:t>
            </m:r>
          </m:sup>
        </m:sSubSup>
        <m:r>
          <m:t xml:space="preserve">&lt;</m:t>
        </m:r>
        <m:r>
          <m:t xml:space="preserve">51</m:t>
        </m:r>
      </m:oMath>
      <w:r>
        <w:rPr>
          <w:b w:val="0"/>
          <w:i w:val="0"/>
        </w:rPr>
        <w:t xml:space="preserve">. Cooling is added through a thermal mass: the thermally corrected potential is an exact rescaling of the zero-temperature family, with </w:t>
      </w:r>
      <m:oMath>
        <m:sSub>
          <m:e>
            <m:r>
              <m:t xml:space="preserve">η</m:t>
            </m:r>
          </m:e>
          <m:sub>
            <m:r>
              <m:rPr>
                <m:sty m:val="p"/>
              </m:rPr>
              <m:t xml:space="preserve">eff</m:t>
            </m:r>
          </m:sub>
        </m:sSub>
        <m:r>
          <m:t xml:space="preserve">=</m:t>
        </m:r>
        <m:r>
          <m:t xml:space="preserve">η/(1−2θ</m:t>
        </m:r>
        <m:sSup>
          <m:e>
            <m:r>
              <m:t xml:space="preserve">)</m:t>
            </m:r>
          </m:e>
          <m:sup>
            <m:r>
              <m:t xml:space="preserve">3/2</m:t>
            </m:r>
          </m:sup>
        </m:sSup>
      </m:oMath>
      <w:r>
        <w:rPr>
          <w:b w:val="0"/>
          <w:i w:val="0"/>
        </w:rPr>
        <w:t xml:space="preserve">, and the O(3) thermal saddle dominates above a crossover temperature of 0.18 meV, below the CMB temperature today (0.23 meV) for the benchmark. The rate falls monotonically as the universe cools, so cooling cannot raise the late-time transition probability: a scalar decoupled from the CMB is unaffected, while one in equilibrium with it raises the excluded fraction of the prior from 15% to 24–49% and closes the late-time decay window. The fractions refer to stated priors and are not probabilities for our universe. The daughter region reheats to at most </w:t>
      </w:r>
      <m:oMath>
        <m:r>
          <m:t xml:space="preserve">2.2</m:t>
        </m:r>
      </m:oMath>
      <w:r>
        <w:rPr>
          <w:b w:val="0"/>
          <w:i w:val="0"/>
        </w:rPr>
        <w:t xml:space="preserve"> meV, </w:t>
      </w:r>
      <m:oMath>
        <m:r>
          <m:t xml:space="preserve">4.6×1</m:t>
        </m:r>
        <m:sSup>
          <m:e>
            <m:r>
              <m:t xml:space="preserve">0</m:t>
            </m:r>
          </m:e>
          <m:sup>
            <m:r>
              <m:t xml:space="preserve">8</m:t>
            </m:r>
          </m:sup>
        </m:sSup>
      </m:oMath>
      <w:r>
        <w:rPr>
          <w:b w:val="0"/>
          <w:i w:val="0"/>
        </w:rPr>
        <w:t xml:space="preserve"> times below nucleosynthesis; it stays curvature dominated, a hot epoch at 1 s would need a parent energy scale at least 41 orders of magnitude above the Planck scale, and a second field supplies no energy because the released energy is the potential difference. A matter trigger needs </w:t>
      </w:r>
      <m:oMath>
        <m:r>
          <m:t xml:space="preserve">Δ</m:t>
        </m:r>
        <m:r>
          <m:rPr>
            <m:sty m:val="p"/>
          </m:rPr>
          <m:t xml:space="preserve">ln</m:t>
        </m:r>
        <m:r>
          <m:t xml:space="preserve">m</m:t>
        </m:r>
        <m:r>
          <m:t xml:space="preserve">≳</m:t>
        </m:r>
        <m:r>
          <m:t xml:space="preserve">8.9×1</m:t>
        </m:r>
        <m:sSup>
          <m:e>
            <m:r>
              <m:t xml:space="preserve">0</m:t>
            </m:r>
          </m:e>
          <m:sup>
            <m:r>
              <m:t xml:space="preserve">−4</m:t>
            </m:r>
          </m:sup>
        </m:sSup>
      </m:oMath>
      <w:r>
        <w:rPr>
          <w:b w:val="0"/>
          <w:i w:val="0"/>
        </w:rPr>
        <w:t>. The daughter region is cold and empty, and a cyclic reset by the present dark energy is not supported; consistency conditions and observational tests are listed separately.</w:t>
      </w:r>
    </w:p>
    <w:p>
      <w:r>
        <w:rPr>
          <w:b/>
          <w:i w:val="0"/>
        </w:rPr>
        <w:t xml:space="preserve">Keywords: </w:t>
      </w:r>
      <w:r>
        <w:rPr>
          <w:b w:val="0"/>
          <w:i/>
        </w:rPr>
        <w:t>false vacuum decay; Coleman–De Luccia instanton; thermal activation; daughter universe; dark energy; reheating; cyclic cosmology; past light cone;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Two outcomes must be kept apart.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and treats Option B only by stating, in Section 5.4, what it would require.</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The result is a quantitative consistency and exclusion analysis, not a new cosmological mechanism.</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21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r>
          <m:t xml:space="preserve">dot</m:t>
        </m:r>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These statements are qualitative: entropy accounting and the stability of an interior bounce are not computed.</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[43]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(15)</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10 translates this to specific couplings.</w:t>
      </w:r>
    </w:p>
    <w:p>
      <w:pPr>
        <w:keepNext/>
      </w:pPr>
      <w:r>
        <w:rPr>
          <w:b w:val="0"/>
          <w:i/>
          <w:sz w:val="19"/>
        </w:rPr>
        <w:t xml:space="preserve">Table 10.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as the trigger needs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a linear coupling of </w:t>
      </w:r>
      <m:oMath>
        <m:r>
          <m:t xml:space="preserve">β∼1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screened coupling at a scale of tens of meV (Section 6), which local gravity and fifth-force tests can probe if the screening is incomplete.</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[44],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and, by Section 5.3, a post-nucleation region that inflates before it reheats, so that the curvature term and the horizon are handled, and a mechanism to restore the high-energy parent from the late universe. The cyclic models that have been constructed provide such mechanisms by other means [4, 5];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[45],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No two-field simulation of the post-nucleation evolution is performed: the argument of Section 5.3 shows that a second field cannot supply energy, and the repeated-transition and entropy questions of Section 5.4 are stated but not computed.</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https://doi.org/10.5281/zenodo.23752471.</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https://doi.org/10.5281/zenodo.23752471. Running the scripts in the stated order regenerates every number in this paper, and verify.py runs 21 executable checks. The manuscript is archived at https://doi.org/10.5281/zenodo.23752470.</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