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A metastable dark-energy vacuum could nucleate bubbles that evolve into daughter regions. We ask whether such a region can be a hot expanding universe and whether cosmological cooling raises the transition probability. For a scalar potential with a metastable minimum at the dark-energy scale we compute the Coleman–De Luccia bounce (error budget, negative-mode structure, 24 executable checks); all scales follow from the dark energy,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r>
          <m:t xml:space="preserve">∼</m:t>
        </m:r>
        <m:r>
          <m:t xml:space="preserve">1</m:t>
        </m:r>
        <m:sSup>
          <m:e>
            <m:r>
              <m:t xml:space="preserve">0</m:t>
            </m:r>
          </m:e>
          <m:sup>
            <m:r>
              <m:t xml:space="preserve">−60</m:t>
            </m:r>
          </m:sup>
        </m:sSup>
      </m:oMath>
      <w:r>
        <w:rPr>
          <w:b w:val="0"/>
          <w:i w:val="0"/>
        </w:rPr>
        <w:t xml:space="preserve">, and the quantum decay is controlled by one action </w:t>
      </w:r>
      <m:oMath>
        <m:r>
          <m:t xml:space="preserve">B</m:t>
        </m:r>
        <m:r>
          <m:t xml:space="preserve">=</m:t>
        </m:r>
        <m:r>
          <m:t xml:space="preserve">b(η)/λ</m:t>
        </m:r>
      </m:oMath>
      <w:r>
        <w:rPr>
          <w:b w:val="0"/>
          <w:i w:val="0"/>
        </w:rPr>
        <w:t xml:space="preserve">, with </w:t>
      </w:r>
      <m:oMath>
        <m:r>
          <m:t xml:space="preserve">Γ/</m:t>
        </m:r>
        <m:sSup>
          <m:e>
            <m:r>
              <m:t xml:space="preserve">H</m:t>
            </m:r>
          </m:e>
          <m:sup>
            <m:r>
              <m:t xml:space="preserve">4</m:t>
            </m:r>
          </m:sup>
        </m:sSup>
        <m:r>
          <m:t xml:space="preserve">=</m:t>
        </m:r>
        <m:r>
          <m:t xml:space="preserve">1</m:t>
        </m:r>
      </m:oMath>
      <w:r>
        <w:rPr>
          <w:b w:val="0"/>
          <w:i w:val="0"/>
        </w:rPr>
        <w:t xml:space="preserve"> at </w:t>
      </w:r>
      <m:oMath>
        <m:r>
          <m:t xml:space="preserve">B</m:t>
        </m:r>
        <m:r>
          <m:t xml:space="preserve">≃</m:t>
        </m:r>
        <m:r>
          <m:t xml:space="preserve">287</m:t>
        </m:r>
      </m:oMath>
      <w:r>
        <w:rPr>
          <w:b w:val="0"/>
          <w:i w:val="0"/>
        </w:rPr>
        <w:t>. Survival is evaluated on the Lorentzian past light cone of the observed expansion history (</w:t>
      </w:r>
      <m:oMath>
        <m:sSub>
          <m:e>
            <m:r>
              <m:t xml:space="preserve">V</m:t>
            </m:r>
          </m:e>
          <m:sub>
            <m:r>
              <m:t xml:space="preserve">4</m:t>
            </m:r>
          </m:sub>
        </m:sSub>
        <m:r>
          <m:t xml:space="preserve">=</m:t>
        </m:r>
        <m:r>
          <m:t xml:space="preserve">0.059</m:t>
        </m:r>
        <m:r>
          <m:rPr>
            <m:sty m:val="p"/>
          </m:rPr>
          <m:t xml:space="preserve"> </m:t>
        </m:r>
        <m:sSubSup>
          <m:e>
            <m:r>
              <m:t xml:space="preserve">H</m:t>
            </m:r>
          </m:e>
          <m:sub>
            <m:r>
              <m:t xml:space="preserve">Λ</m:t>
            </m:r>
          </m:sub>
          <m:sup>
            <m:r>
              <m:t xml:space="preserve">−4</m:t>
            </m:r>
          </m:sup>
        </m:sSubSup>
      </m:oMath>
      <w:r>
        <w:rPr>
          <w:b w:val="0"/>
          <w:i w:val="0"/>
        </w:rPr>
        <w:t xml:space="preserve">, 445 times below the Euclidean four-sphere; 95% bound </w:t>
      </w:r>
      <m:oMath>
        <m:r>
          <m:t xml:space="preserve">Γ/</m:t>
        </m:r>
        <m:sSubSup>
          <m:e>
            <m:r>
              <m:t xml:space="preserve">H</m:t>
            </m:r>
          </m:e>
          <m:sub>
            <m:r>
              <m:t xml:space="preserve">Λ</m:t>
            </m:r>
          </m:sub>
          <m:sup>
            <m:r>
              <m:t xml:space="preserve">4</m:t>
            </m:r>
          </m:sup>
        </m:sSubSup>
        <m:r>
          <m:t xml:space="preserve">&lt;</m:t>
        </m:r>
        <m:r>
          <m:t xml:space="preserve">51</m:t>
        </m:r>
      </m:oMath>
      <w:r>
        <w:rPr>
          <w:b w:val="0"/>
          <w:i w:val="0"/>
        </w:rPr>
        <w:t xml:space="preserve">). A thermal mass rescales the potential exactly, with </w:t>
      </w:r>
      <m:oMath>
        <m:sSub>
          <m:e>
            <m:r>
              <m:t xml:space="preserve">η</m:t>
            </m:r>
          </m:e>
          <m:sub>
            <m:r>
              <m:rPr>
                <m:sty m:val="p"/>
              </m:rPr>
              <m:t xml:space="preserve">eff</m:t>
            </m:r>
          </m:sub>
        </m:sSub>
        <m:r>
          <m:t xml:space="preserve">=</m:t>
        </m:r>
        <m:r>
          <m:t xml:space="preserve">η/(1−2θ</m:t>
        </m:r>
        <m:sSup>
          <m:e>
            <m:r>
              <m:t xml:space="preserve">)</m:t>
            </m:r>
          </m:e>
          <m:sup>
            <m:r>
              <m:t xml:space="preserve">3/2</m:t>
            </m:r>
          </m:sup>
        </m:sSup>
      </m:oMath>
      <w:r>
        <w:rPr>
          <w:b w:val="0"/>
          <w:i w:val="0"/>
        </w:rPr>
        <w:t xml:space="preserve">; the O(3) thermal saddle dominates above 0.18 meV and the rate falls monotonically as the universe cools, so cooling cannot raise the late-time probability: a decoupled scalar is unaffected, and one in equilibrium with the CMB raises the excluded prior mass from 15% to 24–49% and closes the late-time decay window (priors are samples, not probabilities). Lorentzian simulations of the daughter region with two fields, dissipation and gravity show that it reheats to at most </w:t>
      </w:r>
      <m:oMath>
        <m:r>
          <m:t xml:space="preserve">2.2</m:t>
        </m:r>
      </m:oMath>
      <w:r>
        <w:rPr>
          <w:b w:val="0"/>
          <w:i w:val="0"/>
        </w:rPr>
        <w:t xml:space="preserve"> meV and stays curvature dominated;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still reheats below 1.5 meV; and repeated transitions obey </w:t>
      </w:r>
      <m:oMath>
        <m:r>
          <m:t xml:space="preserve">∑Δ</m:t>
        </m:r>
        <m:r>
          <m:t xml:space="preserve">V≤</m:t>
        </m:r>
        <m:sSub>
          <m:e>
            <m:r>
              <m:t xml:space="preserve">ρ</m:t>
            </m:r>
          </m:e>
          <m:sub>
            <m:r>
              <m:t xml:space="preserve">Λ</m:t>
            </m:r>
          </m:sub>
        </m:sSub>
      </m:oMath>
      <w:r>
        <w:rPr>
          <w:b w:val="0"/>
          <w:i w:val="0"/>
        </w:rPr>
        <w:t xml:space="preserve">. A hot epoch at 1 s would need a parent energy scale at least 41 orders of magnitude above the Planck scale, and a matter trigger </w:t>
      </w:r>
      <m:oMath>
        <m:r>
          <m:t xml:space="preserve">Δ</m:t>
        </m:r>
        <m:r>
          <m:rPr>
            <m:sty m:val="p"/>
          </m:rPr>
          <m:t xml:space="preserve">ln</m:t>
        </m:r>
        <m:r>
          <m:t xml:space="preserve">m</m:t>
        </m:r>
        <m:r>
          <m:t xml:space="preserve">≳</m:t>
        </m:r>
        <m:r>
          <m:t xml:space="preserve">8.9×1</m:t>
        </m:r>
        <m:sSup>
          <m:e>
            <m:r>
              <m:t xml:space="preserve">0</m:t>
            </m:r>
          </m:e>
          <m:sup>
            <m:r>
              <m:t xml:space="preserve">−4</m:t>
            </m:r>
          </m:sup>
        </m:sSup>
      </m:oMath>
      <w:r>
        <w:rPr>
          <w:b w:val="0"/>
          <w:i w:val="0"/>
        </w:rPr>
        <w:t>. The daughter region is cold and empty, and a cyclic reset by the present dark energy is not supported.</w:t>
      </w:r>
    </w:p>
    <w:p>
      <w:r>
        <w:rPr>
          <w:b/>
          <w:i w:val="0"/>
        </w:rPr>
        <w:t xml:space="preserve">Keywords: </w:t>
      </w:r>
      <w:r>
        <w:rPr>
          <w:b w:val="0"/>
          <w:i/>
        </w:rPr>
        <w:t>false vacuum decay; Coleman–De Luccia instanton; thermal activation; daughter universe; dark energy; reheating; cyclic cosmology; past light cone;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and treats Option B only by stating, in Section 5.4, what it would require.</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The result is a quantitative consistency and exclusion analysis, not a new cosmological mechanism.</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24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7.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centre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280"/>
      </w:pPr>
      <w:r>
        <w:rPr>
          <w:b/>
          <w:i w:val="0"/>
          <w:sz w:val="26"/>
        </w:rPr>
        <w:t>6. Matter dilution and decoherence as a trigger</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[43]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(16)</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14 translates this to specific couplings.</w:t>
      </w:r>
    </w:p>
    <w:p>
      <w:pPr>
        <w:keepNext/>
      </w:pPr>
      <w:r>
        <w:rPr>
          <w:b w:val="0"/>
          <w:i/>
          <w:sz w:val="19"/>
        </w:rPr>
        <w:t xml:space="preserve">Table 14.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as the trigger needs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a linear coupling of </w:t>
      </w:r>
      <m:oMath>
        <m:r>
          <m:t xml:space="preserve">β∼1</m:t>
        </m:r>
        <m:sSup>
          <m:e>
            <m:r>
              <m:t xml:space="preserve">0</m:t>
            </m:r>
          </m:e>
          <m:sup>
            <m:r>
              <m:t xml:space="preserve">26</m:t>
            </m:r>
          </m:sup>
        </m:sSup>
      </m:oMath>
      <w:r>
        <w:rPr>
          <w:b w:val="0"/>
          <w:i w:val="0"/>
        </w:rPr>
        <w:t>–</w:t>
      </w:r>
      <m:oMath>
        <m:r>
          <m:t xml:space="preserve">1</m:t>
        </m:r>
        <m:sSup>
          <m:e>
            <m:r>
              <m:t xml:space="preserve">0</m:t>
            </m:r>
          </m:e>
          <m:sup>
            <m:r>
              <m:t xml:space="preserve">29</m:t>
            </m:r>
          </m:sup>
        </m:sSup>
      </m:oMath>
      <w:r>
        <w:rPr>
          <w:b w:val="0"/>
          <w:i w:val="0"/>
        </w:rPr>
        <w:t xml:space="preserve"> or a screened coupling at a scale of tens of meV (Section 6), which local gravity and fifth-force tests can probe if the screening is incomplete.</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[44],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transition producing a successful cosmology would have to lie outside the class studied here.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 earlier, higher-energy phase of the universe rather than the present one) and, by Section 5.3, a post-nucleation region that inflates before it reheats, so that the curvature term and the horizon are handled, and a mechanism to restore the high-energy parent from the late universe. The cyclic models that have been constructed provide such mechanisms by other means [4, 5]; this paper shows that tunneling of the present dark energy does not.</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[45],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a nonsingular bounce (Option B) is not modelled.</w:t>
      </w:r>
    </w:p>
    <w:p>
      <w:pPr>
        <w:keepNext/>
        <w:spacing w:before="280"/>
      </w:pPr>
      <w:r>
        <w:rPr>
          <w:b/>
          <w:i w:val="0"/>
          <w:sz w:val="26"/>
        </w:rPr>
        <w:t>9. Conclusions</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https://doi.org/10.5281/zenodo.23785651.</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https://doi.org/10.5281/zenodo.23785651. Running the scripts in the stated order regenerates every number in this paper, and verify.py runs 24 executable checks. The manuscript is archived at https://doi.org/10.5281/zenodo.23785648.</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