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Late-Time Vacuum Decay and Cosmological Reheating: Gravitational Tunneling, Stochastic Sensitivity, and Falsification Boundaries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A late-time false-vacuum transition has been proposed as the seed of a new cosmological cycle. We ask what the Coleman–De Luccia (CDL) framework can and cannot support when the parent vacuum is the observed dark energy. A scalar potential with an explicit metastable minimum is specified, the O(4) Euclidean bounce is solved numerically in flat space and with Einstein gravity (shooting, an independent boundary-value solution, analytic de Sitter tails; 13 executable consistency checks), and the action is converted to a nucleation rate per Hubble four-volume with the measured dark-energy density. With all scales set by the dark energy, the gravitational parameter is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r>
          <m:t xml:space="preserve">∼</m:t>
        </m:r>
        <m:r>
          <m:t xml:space="preserve">1</m:t>
        </m:r>
        <m:sSup>
          <m:e>
            <m:r>
              <m:t xml:space="preserve">0</m:t>
            </m:r>
          </m:e>
          <m:sup>
            <m:r>
              <m:t xml:space="preserve">−60</m:t>
            </m:r>
          </m:sup>
        </m:sSup>
      </m:oMath>
      <w:r>
        <w:rPr>
          <w:b w:val="0"/>
          <w:i w:val="0"/>
        </w:rPr>
        <w:t xml:space="preserve">, gravitational corrections to the action are of relative size </w:t>
      </w:r>
      <m:oMath>
        <m:r>
          <m:t xml:space="preserve">1</m:t>
        </m:r>
        <m:sSup>
          <m:e>
            <m:r>
              <m:t xml:space="preserve">0</m:t>
            </m:r>
          </m:e>
          <m:sup>
            <m:r>
              <m:t xml:space="preserve">−59</m:t>
            </m:r>
          </m:sup>
        </m:sSup>
      </m:oMath>
      <w:r>
        <w:rPr>
          <w:b w:val="0"/>
          <w:i w:val="0"/>
        </w:rPr>
        <w:t xml:space="preserve">, and the Hawking–Moss regime is irrelevant: the decay is a flat-space process controlled by one number, the action </w:t>
      </w:r>
      <m:oMath>
        <m:r>
          <m:t xml:space="preserve">B</m:t>
        </m:r>
        <m:r>
          <m:t xml:space="preserve">=</m:t>
        </m:r>
        <m:r>
          <m:t xml:space="preserve">b(η)/λ</m:t>
        </m:r>
      </m:oMath>
      <w:r>
        <w:rPr>
          <w:b w:val="0"/>
          <w:i w:val="0"/>
        </w:rPr>
        <w:t xml:space="preserve">. Nucleation within a Hubble four-volume requires </w:t>
      </w:r>
      <m:oMath>
        <m:r>
          <m:t xml:space="preserve">B</m:t>
        </m:r>
        <m:r>
          <m:t xml:space="preserve">≲</m:t>
        </m:r>
        <m:r>
          <m:t xml:space="preserve">287</m:t>
        </m:r>
      </m:oMath>
      <w:r>
        <w:rPr>
          <w:b w:val="0"/>
          <w:i w:val="0"/>
        </w:rPr>
        <w:t xml:space="preserve">, and the mean decay time rises from </w:t>
      </w:r>
      <m:oMath>
        <m:r>
          <m:t xml:space="preserve">1</m:t>
        </m:r>
        <m:sSup>
          <m:e>
            <m:r>
              <m:t xml:space="preserve">0</m:t>
            </m:r>
          </m:e>
          <m:sup>
            <m:r>
              <m:t xml:space="preserve">11</m:t>
            </m:r>
          </m:sup>
        </m:sSup>
      </m:oMath>
      <w:r>
        <w:rPr>
          <w:b w:val="0"/>
          <w:i w:val="0"/>
        </w:rPr>
        <w:t xml:space="preserve"> yr to beyond </w:t>
      </w:r>
      <m:oMath>
        <m:r>
          <m:t xml:space="preserve">1</m:t>
        </m:r>
        <m:sSup>
          <m:e>
            <m:r>
              <m:t xml:space="preserve">0</m:t>
            </m:r>
          </m:e>
          <m:sup>
            <m:r>
              <m:t xml:space="preserve">100</m:t>
            </m:r>
          </m:sup>
        </m:sSup>
      </m:oMath>
      <w:r>
        <w:rPr>
          <w:b w:val="0"/>
          <w:i w:val="0"/>
        </w:rPr>
        <w:t xml:space="preserve"> yr as </w:t>
      </w:r>
      <m:oMath>
        <m:r>
          <m:t xml:space="preserve">B</m:t>
        </m:r>
      </m:oMath>
      <w:r>
        <w:rPr>
          <w:b w:val="0"/>
          <w:i w:val="0"/>
        </w:rPr>
        <w:t xml:space="preserve"> increases by only </w:t>
      </w:r>
      <m:oMath>
        <m:r>
          <m:t xml:space="preserve">∼205</m:t>
        </m:r>
      </m:oMath>
      <w:r>
        <w:rPr>
          <w:b w:val="0"/>
          <w:i w:val="0"/>
        </w:rPr>
        <w:t xml:space="preserve">. Over physically consistent priors 15% of the parameter space is excluded by the survival of the present vacuum and 80% never decays. After a nucleation the interior is a curvature-dominated open universe whose energy density is bounded by that of the dark energy: reheating reaches at most </w:t>
      </w:r>
      <m:oMath>
        <m:r>
          <m:t xml:space="preserve">T</m:t>
        </m:r>
        <m:r>
          <m:t xml:space="preserve">≃</m:t>
        </m:r>
        <m:r>
          <m:t xml:space="preserve">2.2</m:t>
        </m:r>
      </m:oMath>
      <w:r>
        <w:rPr>
          <w:b w:val="0"/>
          <w:i w:val="0"/>
        </w:rPr>
        <w:t xml:space="preserve"> meV, </w:t>
      </w:r>
      <m:oMath>
        <m:r>
          <m:t xml:space="preserve">4.6×1</m:t>
        </m:r>
        <m:sSup>
          <m:e>
            <m:r>
              <m:t xml:space="preserve">0</m:t>
            </m:r>
          </m:e>
          <m:sup>
            <m:r>
              <m:t xml:space="preserve">8</m:t>
            </m:r>
          </m:sup>
        </m:sSup>
      </m:oMath>
      <w:r>
        <w:rPr>
          <w:b w:val="0"/>
          <w:i w:val="0"/>
        </w:rPr>
        <w:t xml:space="preserve"> times below nucleosynthesis. A cyclic reset that regenerates a hot big bang by decay of the present dark energy is therefore excluded within this framework, as is a trigger by matter dilution, which would need a scalar–matter coupling </w:t>
      </w:r>
      <m:oMath>
        <m:r>
          <m:t xml:space="preserve">∼1</m:t>
        </m:r>
        <m:sSup>
          <m:e>
            <m:r>
              <m:t xml:space="preserve">0</m:t>
            </m:r>
          </m:e>
          <m:sup>
            <m:r>
              <m:t xml:space="preserve">28</m:t>
            </m:r>
          </m:sup>
        </m:sSup>
      </m:oMath>
      <w:r>
        <w:rPr>
          <w:b w:val="0"/>
          <w:i w:val="0"/>
        </w:rPr>
        <w:t>–</w:t>
      </w:r>
      <m:oMath>
        <m:r>
          <m:t xml:space="preserve">1</m:t>
        </m:r>
        <m:sSup>
          <m:e>
            <m:r>
              <m:t xml:space="preserve">0</m:t>
            </m:r>
          </m:e>
          <m:sup>
            <m:r>
              <m:t xml:space="preserve">30</m:t>
            </m:r>
          </m:sup>
        </m:sSup>
      </m:oMath>
      <w:r>
        <w:rPr>
          <w:b w:val="0"/>
          <w:i w:val="0"/>
        </w:rPr>
        <w:t xml:space="preserve"> times larger than allowed. The falsification boundaries are stated as explicit, reproducible conditions.</w:t>
      </w:r>
    </w:p>
    <w:p>
      <w:r>
        <w:rPr>
          <w:b/>
          <w:i w:val="0"/>
        </w:rPr>
        <w:t xml:space="preserve">Keywords: </w:t>
      </w:r>
      <w:r>
        <w:rPr>
          <w:b w:val="0"/>
          <w:i/>
        </w:rPr>
        <w:t>false vacuum decay; Coleman–De Luccia instanton; de Sitter space; dark energy; reheating; cyclic cosmology; falsifiability; Monte Carlo</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instanton [1]. It has been suggested that such a late-time transition could seed a new cosmological cycle, so that the long-term history of the universe is cyclic rather than terminal; related cyclic and bouncing proposals are discussed in [2, 3, 4]. The idea is attractive, but as a physical hypothesis it is only as good as its quantitative content: a metastable minimum must be specified, the tunneling action computed including gravity, the rate compared with the age and Hubble time of the universe, and the interior of the nucleated region followed to see whether it can become a hot, expanding cosmology.</w:t>
      </w:r>
    </w:p>
    <w:p>
      <w:pPr>
        <w:jc w:val="both"/>
      </w:pPr>
      <w:r>
        <w:rPr>
          <w:b w:val="0"/>
          <w:i w:val="0"/>
        </w:rPr>
        <w:t>This paper does that for an explicit model and asks which parts of the proposal survive. Three claims are tested against calculation.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The analysis is deliberately conditional: it takes the dark-energy density as the false-vacuum energy and asks what follows. A full Hawking–Moss and CDL treatment, a statement of where each approximation fails, and an executable verification suite are provided so that the conclusions can be checked and, if the model is changed, recomputed.</w:t>
      </w:r>
    </w:p>
    <w:p>
      <w:pPr>
        <w:jc w:val="both"/>
      </w:pPr>
      <w:r>
        <w:rPr>
          <w:b w:val="0"/>
          <w:i w:val="0"/>
        </w:rPr>
        <w:t>The contributions are as follows.</w:t>
      </w:r>
    </w:p>
    <w:p>
      <w:pPr>
        <w:pStyle w:val="ListBullet"/>
        <w:jc w:val="both"/>
      </w:pPr>
      <w:r>
        <w:rPr>
          <w:b w:val="0"/>
          <w:i w:val="0"/>
        </w:rPr>
        <w:t xml:space="preserve">An explicit potential family with a controlled false minimum, and a reduction of the CDL problem to two dimensionless parameters, the barrier coupling </w:t>
      </w:r>
      <m:oMath>
        <m:r>
          <m:t xml:space="preserve">λ</m:t>
        </m:r>
      </m:oMath>
      <w:r>
        <w:rPr>
          <w:b w:val="0"/>
          <w:i w:val="0"/>
        </w:rPr>
        <w:t xml:space="preserve"> and the tilt-to-barrier ratio </w:t>
      </w:r>
      <m:oMath>
        <m:r>
          <m:t xml:space="preserve">η</m:t>
        </m:r>
      </m:oMath>
      <w:r>
        <w:rPr>
          <w:b w:val="0"/>
          <w:i w:val="0"/>
        </w:rPr>
        <w:t xml:space="preserve">, together with the gravitational parameter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xml:space="preserve"> (Section 2).</w:t>
      </w:r>
    </w:p>
    <w:p>
      <w:pPr>
        <w:pStyle w:val="ListBullet"/>
        <w:jc w:val="both"/>
      </w:pPr>
      <w:r>
        <w:rPr>
          <w:b w:val="0"/>
          <w:i w:val="0"/>
        </w:rPr>
        <w:t>A numerical solution of the Euclidean bounce in flat space and with gravity, validated by an independent boundary-value solver, the thin-wall and Parke limits, the exact de Sitter action and the Hawking–Moss criterion (Section 3, Table 1, Fig. 1–2).</w:t>
      </w:r>
    </w:p>
    <w:p>
      <w:pPr>
        <w:pStyle w:val="ListBullet"/>
        <w:jc w:val="both"/>
      </w:pPr>
      <w:r>
        <w:rPr>
          <w:b w:val="0"/>
          <w:i w:val="0"/>
        </w:rPr>
        <w:t xml:space="preserve">A conversion of the action to a nucleation rate per Hubble four-volume with the measured dark-energy density, giving a falsification diagram in the </w:t>
      </w:r>
      <m:oMath>
        <m:r>
          <m:t xml:space="preserve">(η,λ)</m:t>
        </m:r>
      </m:oMath>
      <w:r>
        <w:rPr>
          <w:b w:val="0"/>
          <w:i w:val="0"/>
        </w:rPr>
        <w:t xml:space="preserve"> plane and a prior-sensitivity Monte Carlo with convergence and failure regions (Section 4, Figs 3–4).</w:t>
      </w:r>
    </w:p>
    <w:p>
      <w:pPr>
        <w:pStyle w:val="ListBullet"/>
        <w:jc w:val="both"/>
      </w:pPr>
      <w:r>
        <w:rPr>
          <w:b w:val="0"/>
          <w:i w:val="0"/>
        </w:rPr>
        <w:t>An energy-conservation analysis of the nucleated region: the interior energy budget, an open-universe solution with reheating, and the resulting bound on the reheating temperature (Section 5, Fig. 5, Table 4).</w:t>
      </w:r>
    </w:p>
    <w:p>
      <w:pPr>
        <w:pStyle w:val="ListBullet"/>
        <w:jc w:val="both"/>
      </w:pPr>
      <w:r>
        <w:rPr>
          <w:b w:val="0"/>
          <w:i w:val="0"/>
        </w:rPr>
        <w:t>A quantitative test of matter dilution as a trigger, and an explicit list of falsification conditions (Sections 6–7).</w:t>
      </w:r>
    </w:p>
    <w:p>
      <w:pPr>
        <w:jc w:val="both"/>
      </w:pPr>
      <w:r>
        <w:rPr>
          <w:b w:val="0"/>
          <w:i w:val="0"/>
        </w:rPr>
        <w:t>The results are largely negative for the cyclic-reset hypothesis in its simplest form, and positive for a different claim: that the hypothesis, once stated as an effective field theory, makes definite and testable demands. We say what those demands are.</w:t>
      </w: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GeV</w:t>
      </w:r>
      <m:oMath>
        <m:r>
          <m:t xml:space="preserve">^4</m:t>
        </m:r>
      </m:oMath>
      <w:r>
        <w:rPr>
          <w:b w:val="0"/>
          <w:i w:val="0"/>
        </w:rPr>
        <w:t xml:space="preserve"> (quarter-root 2.25 meV; Planck 2018 [5], </w:t>
      </w:r>
      <m:oMath>
        <m:sSub>
          <m:e>
            <m:r>
              <m:t xml:space="preserve">H</m:t>
            </m:r>
          </m:e>
          <m:sub>
            <m:r>
              <m:t xml:space="preserve">0</m:t>
            </m:r>
          </m:sub>
        </m:sSub>
        <m:r>
          <m:t xml:space="preserve">=</m:t>
        </m:r>
        <m:r>
          <m:t xml:space="preserve">67.66</m:t>
        </m:r>
      </m:oMath>
      <w:r>
        <w:rPr>
          <w:b w:val="0"/>
          <w:i w:val="0"/>
        </w:rPr>
        <w:t xml:space="preserve"> km s</w:t>
      </w:r>
      <m:oMath>
        <m:r>
          <m:t xml:space="preserve">^</m:t>
        </m:r>
        <m:r>
          <m:t xml:space="preserve">−1</m:t>
        </m:r>
      </m:oMath>
      <w:r>
        <w:rPr>
          <w:b w:val="0"/>
          <w:i w:val="0"/>
        </w:rPr>
        <w:t xml:space="preserve"> Mpc</w:t>
      </w:r>
      <m:oMath>
        <m:r>
          <m:t xml:space="preserve">^</m:t>
        </m:r>
        <m:r>
          <m:t xml:space="preserve">−1</m:t>
        </m:r>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4.2.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2.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[6].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[7];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[8, 9],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[10, 11, 12],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[13] serves as a further check of the gravitational suppression. Table 1 lists the checks, all of which are executed by a script distributed with the paper.</w:t>
      </w:r>
    </w:p>
    <w:p>
      <w:pPr>
        <w:keepNext/>
      </w:pPr>
      <w:r>
        <w:rPr>
          <w:b w:val="0"/>
          <w:i/>
          <w:sz w:val="19"/>
        </w:rPr>
        <w:t>Table 1. Executable consistency checks of the numerical bounce (the complete suite has 13 checks, all passing).</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Thin-wall limit: B/B</w:t>
            </w:r>
            <m:oMath>
              <m:r>
                <w:rPr>
                  <w:sz w:val="17"/>
                  <w:szCs w:val="17"/>
                </w:rPr>
                <m:t xml:space="preserve">_</m:t>
              </m:r>
              <m:r>
                <m:rPr>
                  <m:sty m:val="p"/>
                </m:rPr>
                <w:rPr>
                  <w:sz w:val="17"/>
                  <w:szCs w:val="17"/>
                </w:rPr>
                <m:t xml:space="preserve">thin</m:t>
              </m:r>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g∼10×1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in the observed universe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[6, 14].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estimates the one-loop determinant (four translational zero modes) with an unknown factor </w:t>
      </w:r>
      <m:oMath>
        <m:r>
          <m:t xml:space="preserve">D</m:t>
        </m:r>
      </m:oMath>
      <w:r>
        <w:rPr>
          <w:b w:val="0"/>
          <w:i w:val="0"/>
        </w:rPr>
        <w:t xml:space="preserve"> of order unity that is varied with a lognormal spread of 1.5 decades (0 and 3 decades in the sensitivity runs).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which is insensitive to the prefactor: changing </w:t>
      </w:r>
      <m:oMath>
        <m:r>
          <m:t xml:space="preserve">D</m:t>
        </m:r>
      </m:oMath>
      <w:r>
        <w:rPr>
          <w:b w:val="0"/>
          <w:i w:val="0"/>
        </w:rPr>
        <w:t xml:space="preserve"> by three decades moves </w:t>
      </w:r>
      <m:oMath>
        <m:sSub>
          <m:e>
            <m:r>
              <m:t xml:space="preserve">B</m:t>
            </m:r>
          </m:e>
          <m:sub>
            <m:r>
              <m:t xml:space="preserve">c</m:t>
            </m:r>
          </m:sub>
        </m:sSub>
      </m:oMath>
      <w:r>
        <w:rPr>
          <w:b w:val="0"/>
          <w:i w:val="0"/>
        </w:rPr>
        <w:t xml:space="preserve"> by </w:t>
      </w:r>
      <m:oMath>
        <m:r>
          <m:t xml:space="preserve">±7</m:t>
        </m:r>
      </m:oMath>
      <w:r>
        <w:rPr>
          <w:b w:val="0"/>
          <w:i w:val="0"/>
        </w:rPr>
        <w:t xml:space="preserve"> out of </w:t>
      </w:r>
      <m:oMath>
        <m:r>
          <m:t xml:space="preserve">287</m:t>
        </m:r>
      </m:oMath>
      <w:r>
        <w:rPr>
          <w:b w:val="0"/>
          <w:i w:val="0"/>
        </w:rPr>
        <w:t xml:space="preserve">.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Two observational conditions bound the rate. First, the present vacuum has survived: the Euclidean de Sitter four-volume is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so </w:t>
      </w:r>
      <m:oMath>
        <m:sSub>
          <m:e>
            <m:r>
              <m:t xml:space="preserve">P</m:t>
            </m:r>
          </m:e>
          <m:sub>
            <m:r>
              <m:rPr>
                <m:sty m:val="p"/>
              </m:rPr>
              <m:t xml:space="preserve">surv</m:t>
            </m:r>
          </m:sub>
        </m:sSub>
        <m:r>
          <m:t xml:space="preserve">=</m:t>
        </m:r>
        <m:r>
          <m:rPr>
            <m:sty m:val="p"/>
          </m:rPr>
          <m:t xml:space="preserve">exp</m:t>
        </m:r>
        <m:r>
          <m:t xml:space="preserve">[−(8</m:t>
        </m:r>
        <m:sSup>
          <m:e>
            <m:r>
              <m:t xml:space="preserve">π</m:t>
            </m:r>
          </m:e>
          <m:sup>
            <m:r>
              <m:t xml:space="preserve">2</m:t>
            </m:r>
          </m:sup>
        </m:sSup>
        <m:r>
          <m:t xml:space="preserve">/3)Γ/</m:t>
        </m:r>
        <m:sSup>
          <m:e>
            <m:r>
              <m:t xml:space="preserve">H</m:t>
            </m:r>
          </m:e>
          <m:sup>
            <m:r>
              <m:t xml:space="preserve">4</m:t>
            </m:r>
          </m:sup>
        </m:sSup>
        <m:r>
          <m:t xml:space="preserve">]</m:t>
        </m:r>
      </m:oMath>
      <w:r>
        <w:rPr>
          <w:b w:val="0"/>
          <w:i w:val="0"/>
        </w:rPr>
        <w:t xml:space="preserve"> and </w:t>
      </w:r>
      <m:oMath>
        <m:r>
          <m:t xml:space="preserve">Γ/</m:t>
        </m:r>
        <m:sSup>
          <m:e>
            <m:r>
              <m:t xml:space="preserve">H</m:t>
            </m:r>
          </m:e>
          <m:sup>
            <m:r>
              <m:t xml:space="preserve">4</m:t>
            </m:r>
          </m:sup>
        </m:sSup>
        <m:r>
          <m:t xml:space="preserve">≳</m:t>
        </m:r>
        <m:r>
          <m:t xml:space="preserve">3/(8</m:t>
        </m:r>
        <m:sSup>
          <m:e>
            <m:r>
              <m:t xml:space="preserve">π</m:t>
            </m:r>
          </m:e>
          <m:sup>
            <m:r>
              <m:t xml:space="preserve">2</m:t>
            </m:r>
          </m:sup>
        </m:sSup>
        <m:r>
          <m:t xml:space="preserve">)=0.038</m:t>
        </m:r>
      </m:oMath>
      <w:r>
        <w:rPr>
          <w:b w:val="0"/>
          <w:i w:val="0"/>
        </w:rPr>
        <w:t xml:space="preserve"> (</w:t>
      </w:r>
      <m:oMath>
        <m:sSub>
          <m:e>
            <m:r>
              <m:t xml:space="preserve">t</m:t>
            </m:r>
          </m:e>
          <m:sub>
            <m:r>
              <m:rPr>
                <m:sty m:val="p"/>
              </m:rPr>
              <m:t xml:space="preserve">dec</m:t>
            </m:r>
          </m:sub>
        </m:sSub>
        <m:r>
          <m:t xml:space="preserve">≲1.1×1</m:t>
        </m:r>
        <m:sSup>
          <m:e>
            <m:r>
              <m:t xml:space="preserve">0</m:t>
            </m:r>
          </m:e>
          <m:sup>
            <m:r>
              <m:t xml:space="preserve">11</m:t>
            </m:r>
          </m:sup>
        </m:sSup>
      </m:oMath>
      <w:r>
        <w:rPr>
          <w:b w:val="0"/>
          <w:i w:val="0"/>
        </w:rPr>
        <w:t xml:space="preserve"> yr) is excluded at order unity. This is an order-of-magnitude statement, since observers exist before the transition. Second, percolation of bubbles in de Sitter space requires a rate of order unity in Hubble units [15, 16]; for </w:t>
      </w:r>
      <m:oMath>
        <m:r>
          <m:t xml:space="preserve">Γ/</m:t>
        </m:r>
        <m:sSup>
          <m:e>
            <m:r>
              <m:t xml:space="preserve">H</m:t>
            </m:r>
          </m:e>
          <m:sup>
            <m:r>
              <m:t xml:space="preserve">4</m:t>
            </m:r>
          </m:sup>
        </m:sSup>
        <m:r>
          <m:t xml:space="preserve">&lt;</m:t>
        </m:r>
        <m:r>
          <m:t xml:space="preserve">1</m:t>
        </m:r>
      </m:oMath>
      <w:r>
        <w:rPr>
          <w:b w:val="0"/>
          <w:i w:val="0"/>
        </w:rPr>
        <w:t xml:space="preserve"> the false-vacuum volume grows without bound and no bubble wall ever collides with another to thermalize.</w:t>
      </w:r>
    </w:p>
    <w:p>
      <w:pPr>
        <w:jc w:val="both"/>
      </w:pPr>
      <w:r>
        <w:rPr>
          <w:b w:val="0"/>
          <w:i w:val="0"/>
        </w:rPr>
        <w:t xml:space="preserve">A transition can therefore be a physical reset only if </w:t>
      </w:r>
      <m:oMath>
        <m:r>
          <m:t xml:space="preserve">B</m:t>
        </m:r>
      </m:oMath>
      <w:r>
        <w:rPr>
          <w:b w:val="0"/>
          <w:i w:val="0"/>
        </w:rPr>
        <w:t xml:space="preserve"> lies within a window of a few tens above </w:t>
      </w:r>
      <m:oMath>
        <m:sSub>
          <m:e>
            <m:r>
              <m:t xml:space="preserve">B</m:t>
            </m:r>
          </m:e>
          <m:sub>
            <m:r>
              <m:t xml:space="preserve">c</m:t>
            </m:r>
          </m:sub>
        </m:sSub>
      </m:oMath>
      <w:r>
        <w:rPr>
          <w:b w:val="0"/>
          <w:i w:val="0"/>
        </w:rPr>
        <w:t xml:space="preserve"> and below it by an amount that keeps the vacuum alive.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xml:space="preserve">) the vacuum would have decayed in </w:t>
      </w:r>
      <m:oMath>
        <m:r>
          <m:t xml:space="preserve">1</m:t>
        </m:r>
        <m:sSup>
          <m:e>
            <m:r>
              <m:t xml:space="preserve">0</m:t>
            </m:r>
          </m:e>
          <m:sup>
            <m:r>
              <m:t xml:space="preserve">−31</m:t>
            </m:r>
          </m:sup>
        </m:sSup>
      </m:oMath>
      <w:r>
        <w:rPr>
          <w:b w:val="0"/>
          <w:i w:val="0"/>
        </w:rPr>
        <w:t xml:space="preserve"> yr and the model is excluded (Table 2).</w:t>
      </w:r>
    </w:p>
    <w:p>
      <w:pPr>
        <w:keepNext/>
      </w:pPr>
      <w:r>
        <w:rPr>
          <w:b w:val="0"/>
          <w:i/>
          <w:sz w:val="19"/>
        </w:rPr>
        <w:t>Table 2.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4.1 The falsification diagram</w:t>
      </w:r>
    </w:p>
    <w:p>
      <w:pPr>
        <w:jc w:val="both"/>
      </w:pPr>
      <w:r>
        <w:rPr>
          <w:b w:val="0"/>
          <w:i w:val="0"/>
        </w:rPr>
        <w:t xml:space="preserve">Fig. 3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excluded region (decay faster than the survival bound)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w:t>
      </w:r>
      <m:oMath>
        <m:r>
          <m:t xml:space="preserve">1</m:t>
        </m:r>
        <m:sSup>
          <m:e>
            <m:r>
              <m:t xml:space="preserve">0</m:t>
            </m:r>
          </m:e>
          <m:sup>
            <m:r>
              <m:t xml:space="preserve">11</m:t>
            </m:r>
          </m:sup>
        </m:sSup>
      </m:oMath>
      <w:r>
        <w:rPr>
          <w:b w:val="0"/>
          <w:i w:val="0"/>
        </w:rPr>
        <w:t xml:space="preserve">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B≃21</m:t>
        </m:r>
      </m:oMath>
      <w:r>
        <w:rPr>
          <w:b w:val="0"/>
          <w:i w:val="0"/>
        </w:rPr>
        <w:t xml:space="preserve"> in the action and from </w:t>
      </w:r>
      <m:oMath>
        <m:r>
          <m:t xml:space="preserve">1</m:t>
        </m:r>
        <m:sSup>
          <m:e>
            <m:r>
              <m:t xml:space="preserve">0</m:t>
            </m:r>
          </m:e>
          <m:sup>
            <m:r>
              <m:t xml:space="preserve">11</m:t>
            </m:r>
          </m:sup>
        </m:sSup>
      </m:oMath>
      <w:r>
        <w:rPr>
          <w:b w:val="0"/>
          <w:i w:val="0"/>
        </w:rPr>
        <w:t xml:space="preserve"> to </w:t>
      </w:r>
      <m:oMath>
        <m:r>
          <m:t xml:space="preserve">1</m:t>
        </m:r>
        <m:sSup>
          <m:e>
            <m:r>
              <m:t xml:space="preserve">0</m:t>
            </m:r>
          </m:e>
          <m:sup>
            <m:r>
              <m:t xml:space="preserve">100</m:t>
            </m:r>
          </m:sup>
        </m:sSup>
      </m:oMath>
      <w:r>
        <w:rPr>
          <w:b w:val="0"/>
          <w:i w:val="0"/>
        </w:rPr>
        <w:t xml:space="preserve"> yr within </w:t>
      </w:r>
      <m:oMath>
        <m:r>
          <m:t xml:space="preserve">Δ</m:t>
        </m:r>
        <m:r>
          <m:t xml:space="preserve">B≃205</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21</m:t>
        </m:r>
      </m:oMath>
      <w:r>
        <w:rPr>
          <w:b w:val="0"/>
          <w:i w:val="0"/>
        </w:rPr>
        <w:t xml:space="preserve"> of </w:t>
      </w:r>
      <m:oMath>
        <m:sSub>
          <m:e>
            <m:r>
              <m:t xml:space="preserve">B</m:t>
            </m:r>
          </m:e>
          <m:sub>
            <m:r>
              <m:t xml:space="preserve">c</m:t>
            </m:r>
          </m:sub>
        </m:sSub>
      </m:oMath>
      <w:r>
        <w:rPr>
          <w:b w:val="0"/>
          <w:i w:val="0"/>
        </w:rPr>
        <w:t>, that is within 7% of its value.</w:t>
      </w:r>
    </w:p>
    <w:p>
      <w:pPr>
        <w:keepNext/>
        <w:jc w:val="center"/>
      </w:pPr>
      <w:r>
        <w:drawing>
          <wp:inline xmlns:a="http://schemas.openxmlformats.org/drawingml/2006/main" xmlns:pic="http://schemas.openxmlformats.org/drawingml/2006/picture">
            <wp:extent cx="5760720" cy="4065825"/>
            <wp:docPr id="3" name="Picture 3"/>
            <wp:cNvGraphicFramePr>
              <a:graphicFrameLocks noChangeAspect="1"/>
            </wp:cNvGraphicFramePr>
            <a:graphic>
              <a:graphicData uri="http://schemas.openxmlformats.org/drawingml/2006/picture">
                <pic:pic>
                  <pic:nvPicPr>
                    <pic:cNvPr id="0" name="fig3_falsification_diagram.png"/>
                    <pic:cNvPicPr/>
                  </pic:nvPicPr>
                  <pic:blipFill>
                    <a:blip r:embed="rId11"/>
                    <a:stretch>
                      <a:fillRect/>
                    </a:stretch>
                  </pic:blipFill>
                  <pic:spPr>
                    <a:xfrm>
                      <a:off x="0" y="0"/>
                      <a:ext cx="5760720" cy="4065825"/>
                    </a:xfrm>
                    <a:prstGeom prst="rect"/>
                  </pic:spPr>
                </pic:pic>
              </a:graphicData>
            </a:graphic>
          </wp:inline>
        </w:drawing>
      </w:r>
    </w:p>
    <w:p>
      <w:r>
        <w:rPr>
          <w:b w:val="0"/>
          <w:i/>
          <w:sz w:val="19"/>
        </w:rPr>
        <w:t xml:space="preserve">Fig. 3.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1.1×1</m:t>
        </m:r>
        <m:sSup>
          <m:e>
            <m:r>
              <w:rPr>
                <w:sz w:val="19"/>
                <w:szCs w:val="19"/>
              </w:rPr>
              <m:t xml:space="preserve">0</m:t>
            </m:r>
          </m:e>
          <m:sup>
            <m:r>
              <w:rPr>
                <w:sz w:val="19"/>
                <w:szCs w:val="19"/>
              </w:rPr>
              <m:t xml:space="preserve">11</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4.2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3 together with batch-means standard errors (20 batches), convergence with the number of draws (Fig. 4c) and sensitivity to the priors. 15.0% of the prior volume is excluded by the survival of the present vacuum, 0.56% decays within </w:t>
      </w:r>
      <m:oMath>
        <m:r>
          <m:t xml:space="preserve">1</m:t>
        </m:r>
        <m:sSup>
          <m:e>
            <m:r>
              <m:t xml:space="preserve">0</m:t>
            </m:r>
          </m:e>
          <m:sup>
            <m:r>
              <m:t xml:space="preserve">20</m:t>
            </m:r>
          </m:sup>
        </m:sSup>
      </m:oMath>
      <w:r>
        <w:rPr>
          <w:b w:val="0"/>
          <w:i w:val="0"/>
        </w:rPr>
        <w:t xml:space="preserve"> yr, 4.6% within </w:t>
      </w:r>
      <m:oMath>
        <m:r>
          <m:t xml:space="preserve">1</m:t>
        </m:r>
        <m:sSup>
          <m:e>
            <m:r>
              <m:t xml:space="preserve">0</m:t>
            </m:r>
          </m:e>
          <m:sup>
            <m:r>
              <m:t xml:space="preserve">100</m:t>
            </m:r>
          </m:sup>
        </m:sSup>
      </m:oMath>
      <w:r>
        <w:rPr>
          <w:b w:val="0"/>
          <w:i w:val="0"/>
        </w:rPr>
        <w:t xml:space="preserve"> yr and 80.4% never decays. The fractions do not depend on the prefactor (a spread of 0 or 3 decades changes them by less than </w:t>
      </w:r>
      <m:oMath>
        <m:r>
          <m:t xml:space="preserve">1</m:t>
        </m:r>
        <m:sSup>
          <m:e>
            <m:r>
              <m:t xml:space="preserve">0</m:t>
            </m:r>
          </m:e>
          <m:sup>
            <m:r>
              <m:t xml:space="preserve">−3</m:t>
            </m:r>
          </m:sup>
        </m:sSup>
      </m:oMath>
      <w:r>
        <w:rPr>
          <w:b w:val="0"/>
          <w:i w:val="0"/>
        </w:rPr>
        <w:t xml:space="preserve">)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3), which is why they are reported as properties of a stated prior and not as probabilities for our universe.</w:t>
      </w:r>
    </w:p>
    <w:p>
      <w:pPr>
        <w:keepNext/>
      </w:pPr>
      <w:r>
        <w:rPr>
          <w:b w:val="0"/>
          <w:i/>
          <w:sz w:val="19"/>
        </w:rPr>
        <w:t xml:space="preserve">Table 3. Prior mass (%) of each regime. Decay fractions are cumulative and refer to survival-consistent draws; the last column is the fraction that does not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excluded (survival)</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never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14.99 ± 0.04</w:t>
            </w:r>
          </w:p>
        </w:tc>
        <w:tc>
          <w:tcPr>
            <w:tcW w:type="dxa" w:w="1560"/>
          </w:tcPr>
          <w:p>
            <w:pPr>
              <w:spacing w:after="20" w:line="240" w:lineRule="auto"/>
            </w:pPr>
            <w:r/>
            <w:r>
              <w:rPr>
                <w:b w:val="0"/>
                <w:i w:val="0"/>
                <w:sz w:val="17"/>
              </w:rPr>
              <w:t>0.059 ± 0.003</w:t>
            </w:r>
          </w:p>
        </w:tc>
        <w:tc>
          <w:tcPr>
            <w:tcW w:type="dxa" w:w="1560"/>
          </w:tcPr>
          <w:p>
            <w:pPr>
              <w:spacing w:after="20" w:line="240" w:lineRule="auto"/>
            </w:pPr>
            <w:r/>
            <w:r>
              <w:rPr>
                <w:b w:val="0"/>
                <w:i w:val="0"/>
                <w:sz w:val="17"/>
              </w:rPr>
              <w:t>0.56 ± 0.01</w:t>
            </w:r>
          </w:p>
        </w:tc>
        <w:tc>
          <w:tcPr>
            <w:tcW w:type="dxa" w:w="1560"/>
          </w:tcPr>
          <w:p>
            <w:pPr>
              <w:spacing w:after="20" w:line="240" w:lineRule="auto"/>
            </w:pPr>
            <w:r/>
            <w:r>
              <w:rPr>
                <w:b w:val="0"/>
                <w:i w:val="0"/>
                <w:sz w:val="17"/>
              </w:rPr>
              <w:t>4.57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14.95</w:t>
            </w:r>
          </w:p>
        </w:tc>
        <w:tc>
          <w:tcPr>
            <w:tcW w:type="dxa" w:w="1560"/>
          </w:tcPr>
          <w:p>
            <w:pPr>
              <w:spacing w:after="20" w:line="240" w:lineRule="auto"/>
            </w:pPr>
            <w:r/>
            <w:r>
              <w:rPr>
                <w:b w:val="0"/>
                <w:i w:val="0"/>
                <w:sz w:val="17"/>
              </w:rPr>
              <w:t>0.065</w:t>
            </w:r>
          </w:p>
        </w:tc>
        <w:tc>
          <w:tcPr>
            <w:tcW w:type="dxa" w:w="1560"/>
          </w:tcPr>
          <w:p>
            <w:pPr>
              <w:spacing w:after="20" w:line="240" w:lineRule="auto"/>
            </w:pPr>
            <w:r/>
            <w:r>
              <w:rPr>
                <w:b w:val="0"/>
                <w:i w:val="0"/>
                <w:sz w:val="17"/>
              </w:rPr>
              <w:t>0.56</w:t>
            </w:r>
          </w:p>
        </w:tc>
        <w:tc>
          <w:tcPr>
            <w:tcW w:type="dxa" w:w="1560"/>
          </w:tcPr>
          <w:p>
            <w:pPr>
              <w:spacing w:after="20" w:line="240" w:lineRule="auto"/>
            </w:pPr>
            <w:r/>
            <w:r>
              <w:rPr>
                <w:b w:val="0"/>
                <w:i w:val="0"/>
                <w:sz w:val="17"/>
              </w:rPr>
              <w:t>4.59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14.95</w:t>
            </w:r>
          </w:p>
        </w:tc>
        <w:tc>
          <w:tcPr>
            <w:tcW w:type="dxa" w:w="1560"/>
          </w:tcPr>
          <w:p>
            <w:pPr>
              <w:spacing w:after="20" w:line="240" w:lineRule="auto"/>
            </w:pPr>
            <w:r/>
            <w:r>
              <w:rPr>
                <w:b w:val="0"/>
                <w:i w:val="0"/>
                <w:sz w:val="17"/>
              </w:rPr>
              <w:t>0.059</w:t>
            </w:r>
          </w:p>
        </w:tc>
        <w:tc>
          <w:tcPr>
            <w:tcW w:type="dxa" w:w="1560"/>
          </w:tcPr>
          <w:p>
            <w:pPr>
              <w:spacing w:after="20" w:line="240" w:lineRule="auto"/>
            </w:pPr>
            <w:r/>
            <w:r>
              <w:rPr>
                <w:b w:val="0"/>
                <w:i w:val="0"/>
                <w:sz w:val="17"/>
              </w:rPr>
              <w:t>0.56</w:t>
            </w:r>
          </w:p>
        </w:tc>
        <w:tc>
          <w:tcPr>
            <w:tcW w:type="dxa" w:w="1560"/>
          </w:tcPr>
          <w:p>
            <w:pPr>
              <w:spacing w:after="20" w:line="240" w:lineRule="auto"/>
            </w:pPr>
            <w:r/>
            <w:r>
              <w:rPr>
                <w:b w:val="0"/>
                <w:i w:val="0"/>
                <w:sz w:val="17"/>
              </w:rPr>
              <w:t>4.59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14.92</w:t>
            </w:r>
          </w:p>
        </w:tc>
        <w:tc>
          <w:tcPr>
            <w:tcW w:type="dxa" w:w="1560"/>
          </w:tcPr>
          <w:p>
            <w:pPr>
              <w:spacing w:after="20" w:line="240" w:lineRule="auto"/>
            </w:pPr>
            <w:r/>
            <w:r>
              <w:rPr>
                <w:b w:val="0"/>
                <w:i w:val="0"/>
                <w:sz w:val="17"/>
              </w:rPr>
              <w:t>0.059</w:t>
            </w:r>
          </w:p>
        </w:tc>
        <w:tc>
          <w:tcPr>
            <w:tcW w:type="dxa" w:w="1560"/>
          </w:tcPr>
          <w:p>
            <w:pPr>
              <w:spacing w:after="20" w:line="240" w:lineRule="auto"/>
            </w:pPr>
            <w:r/>
            <w:r>
              <w:rPr>
                <w:b w:val="0"/>
                <w:i w:val="0"/>
                <w:sz w:val="17"/>
              </w:rPr>
              <w:t>0.56</w:t>
            </w:r>
          </w:p>
        </w:tc>
        <w:tc>
          <w:tcPr>
            <w:tcW w:type="dxa" w:w="1560"/>
          </w:tcPr>
          <w:p>
            <w:pPr>
              <w:spacing w:after="20" w:line="240" w:lineRule="auto"/>
            </w:pPr>
            <w:r/>
            <w:r>
              <w:rPr>
                <w:b w:val="0"/>
                <w:i w:val="0"/>
                <w:sz w:val="17"/>
              </w:rPr>
              <w:t>4.60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&lt;= 1</w:t>
            </w:r>
          </w:p>
        </w:tc>
        <w:tc>
          <w:tcPr>
            <w:tcW w:type="dxa" w:w="1560"/>
          </w:tcPr>
          <w:p>
            <w:pPr>
              <w:spacing w:after="20" w:line="240" w:lineRule="auto"/>
            </w:pPr>
            <w:r/>
            <w:r>
              <w:rPr>
                <w:b w:val="0"/>
                <w:i w:val="0"/>
                <w:sz w:val="17"/>
              </w:rPr>
              <w:t>2.85</w:t>
            </w:r>
          </w:p>
        </w:tc>
        <w:tc>
          <w:tcPr>
            <w:tcW w:type="dxa" w:w="1560"/>
          </w:tcPr>
          <w:p>
            <w:pPr>
              <w:spacing w:after="20" w:line="240" w:lineRule="auto"/>
            </w:pPr>
            <w:r/>
            <w:r>
              <w:rPr>
                <w:b w:val="0"/>
                <w:i w:val="0"/>
                <w:sz w:val="17"/>
              </w:rPr>
              <w:t>0.031</w:t>
            </w:r>
          </w:p>
        </w:tc>
        <w:tc>
          <w:tcPr>
            <w:tcW w:type="dxa" w:w="1560"/>
          </w:tcPr>
          <w:p>
            <w:pPr>
              <w:spacing w:after="20" w:line="240" w:lineRule="auto"/>
            </w:pPr>
            <w:r/>
            <w:r>
              <w:rPr>
                <w:b w:val="0"/>
                <w:i w:val="0"/>
                <w:sz w:val="17"/>
              </w:rPr>
              <w:t>0.26</w:t>
            </w:r>
          </w:p>
        </w:tc>
        <w:tc>
          <w:tcPr>
            <w:tcW w:type="dxa" w:w="1560"/>
          </w:tcPr>
          <w:p>
            <w:pPr>
              <w:spacing w:after="20" w:line="240" w:lineRule="auto"/>
            </w:pPr>
            <w:r/>
            <w:r>
              <w:rPr>
                <w:b w:val="0"/>
                <w:i w:val="0"/>
                <w:sz w:val="17"/>
              </w:rPr>
              <w:t>2.40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18.70</w:t>
            </w:r>
          </w:p>
        </w:tc>
        <w:tc>
          <w:tcPr>
            <w:tcW w:type="dxa" w:w="1560"/>
          </w:tcPr>
          <w:p>
            <w:pPr>
              <w:spacing w:after="20" w:line="240" w:lineRule="auto"/>
            </w:pPr>
            <w:r/>
            <w:r>
              <w:rPr>
                <w:b w:val="0"/>
                <w:i w:val="0"/>
                <w:sz w:val="17"/>
              </w:rPr>
              <w:t>0.075</w:t>
            </w:r>
          </w:p>
        </w:tc>
        <w:tc>
          <w:tcPr>
            <w:tcW w:type="dxa" w:w="1560"/>
          </w:tcPr>
          <w:p>
            <w:pPr>
              <w:spacing w:after="20" w:line="240" w:lineRule="auto"/>
            </w:pPr>
            <w:r/>
            <w:r>
              <w:rPr>
                <w:b w:val="0"/>
                <w:i w:val="0"/>
                <w:sz w:val="17"/>
              </w:rPr>
              <w:t>0.70</w:t>
            </w:r>
          </w:p>
        </w:tc>
        <w:tc>
          <w:tcPr>
            <w:tcW w:type="dxa" w:w="1560"/>
          </w:tcPr>
          <w:p>
            <w:pPr>
              <w:spacing w:after="20" w:line="240" w:lineRule="auto"/>
            </w:pPr>
            <w:r/>
            <w:r>
              <w:rPr>
                <w:b w:val="0"/>
                <w:i w:val="0"/>
                <w:sz w:val="17"/>
              </w:rPr>
              <w:t>5.72</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18.33</w:t>
            </w:r>
          </w:p>
        </w:tc>
        <w:tc>
          <w:tcPr>
            <w:tcW w:type="dxa" w:w="1560"/>
          </w:tcPr>
          <w:p>
            <w:pPr>
              <w:spacing w:after="20" w:line="240" w:lineRule="auto"/>
            </w:pPr>
            <w:r/>
            <w:r>
              <w:rPr>
                <w:b w:val="0"/>
                <w:i w:val="0"/>
                <w:sz w:val="17"/>
              </w:rPr>
              <w:t>0.043</w:t>
            </w:r>
          </w:p>
        </w:tc>
        <w:tc>
          <w:tcPr>
            <w:tcW w:type="dxa" w:w="1560"/>
          </w:tcPr>
          <w:p>
            <w:pPr>
              <w:spacing w:after="20" w:line="240" w:lineRule="auto"/>
            </w:pPr>
            <w:r/>
            <w:r>
              <w:rPr>
                <w:b w:val="0"/>
                <w:i w:val="0"/>
                <w:sz w:val="17"/>
              </w:rPr>
              <w:t>0.40</w:t>
            </w:r>
          </w:p>
        </w:tc>
        <w:tc>
          <w:tcPr>
            <w:tcW w:type="dxa" w:w="1560"/>
          </w:tcPr>
          <w:p>
            <w:pPr>
              <w:spacing w:after="20" w:line="240" w:lineRule="auto"/>
            </w:pPr>
            <w:r/>
            <w:r>
              <w:rPr>
                <w:b w:val="0"/>
                <w:i w:val="0"/>
                <w:sz w:val="17"/>
              </w:rPr>
              <w:t>3.20</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4" name="Picture 4"/>
            <wp:cNvGraphicFramePr>
              <a:graphicFrameLocks noChangeAspect="1"/>
            </wp:cNvGraphicFramePr>
            <a:graphic>
              <a:graphicData uri="http://schemas.openxmlformats.org/drawingml/2006/picture">
                <pic:pic>
                  <pic:nvPicPr>
                    <pic:cNvPr id="0" name="fig4_monte_carlo.png"/>
                    <pic:cNvPicPr/>
                  </pic:nvPicPr>
                  <pic:blipFill>
                    <a:blip r:embed="rId12"/>
                    <a:stretch>
                      <a:fillRect/>
                    </a:stretch>
                  </pic:blipFill>
                  <pic:spPr>
                    <a:xfrm>
                      <a:off x="0" y="0"/>
                      <a:ext cx="5760720" cy="1908944"/>
                    </a:xfrm>
                    <a:prstGeom prst="rect"/>
                  </pic:spPr>
                </pic:pic>
              </a:graphicData>
            </a:graphic>
          </wp:inline>
        </w:drawing>
      </w:r>
    </w:p>
    <w:p>
      <w:r>
        <w:rPr>
          <w:b w:val="0"/>
          <w:i/>
          <w:sz w:val="19"/>
        </w:rPr>
        <w:t xml:space="preserve">Fig. 4.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5c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[17, 18], with the Friedmann constraint </w:t>
      </w:r>
      <m:oMath>
        <m:r>
          <m:t xml:space="preserve">dot</m:t>
        </m:r>
        <m:sSup>
          <m:e>
            <m:r>
              <m:t xml:space="preserve">a</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(9)</w:t>
      </w:r>
    </w:p>
    <w:p>
      <w:pPr>
        <w:jc w:val="both"/>
      </w:pPr>
      <w:r>
        <w:rPr>
          <w:b w:val="0"/>
          <w:i w:val="0"/>
        </w:rPr>
        <w:t xml:space="preserve">which for the largest possible energy release,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[19]. Equivalently, a thermal bath at 1 MeV needs an energy density </w:t>
      </w:r>
      <m:oMath>
        <m:r>
          <m:t xml:space="preserve">4.3×1</m:t>
        </m:r>
        <m:sSup>
          <m:e>
            <m:r>
              <m:t xml:space="preserve">0</m:t>
            </m:r>
          </m:e>
          <m:sup>
            <m:r>
              <m:t xml:space="preserve">34</m:t>
            </m:r>
          </m:sup>
        </m:sSup>
      </m:oMath>
      <w:r>
        <w:rPr>
          <w:b w:val="0"/>
          <w:i w:val="0"/>
        </w:rPr>
        <w:t xml:space="preserve"> times the dark-energy density; no decay of </w:t>
      </w:r>
      <m:oMath>
        <m:sSub>
          <m:e>
            <m:r>
              <m:t xml:space="preserve">ρ</m:t>
            </m:r>
          </m:e>
          <m:sub>
            <m:r>
              <m:t xml:space="preserve">Λ</m:t>
            </m:r>
          </m:sub>
        </m:sSub>
      </m:oMath>
      <w:r>
        <w:rPr>
          <w:b w:val="0"/>
          <w:i w:val="0"/>
        </w:rPr>
        <w:t xml:space="preserve"> can supply it.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4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4.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Eq.~(9);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5" name="Picture 5"/>
            <wp:cNvGraphicFramePr>
              <a:graphicFrameLocks noChangeAspect="1"/>
            </wp:cNvGraphicFramePr>
            <a:graphic>
              <a:graphicData uri="http://schemas.openxmlformats.org/drawingml/2006/picture">
                <pic:pic>
                  <pic:nvPicPr>
                    <pic:cNvPr id="0" name="fig5_reheating_interior.png"/>
                    <pic:cNvPicPr/>
                  </pic:nvPicPr>
                  <pic:blipFill>
                    <a:blip r:embed="rId13"/>
                    <a:stretch>
                      <a:fillRect/>
                    </a:stretch>
                  </pic:blipFill>
                  <pic:spPr>
                    <a:xfrm>
                      <a:off x="0" y="0"/>
                      <a:ext cx="5760720" cy="1888323"/>
                    </a:xfrm>
                    <a:prstGeom prst="rect"/>
                  </pic:spPr>
                </pic:pic>
              </a:graphicData>
            </a:graphic>
          </wp:inline>
        </w:drawing>
      </w:r>
    </w:p>
    <w:p>
      <w:r>
        <w:rPr>
          <w:b w:val="0"/>
          <w:i/>
          <w:sz w:val="19"/>
        </w:rPr>
        <w:t>Fig. 5.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keepNext/>
        <w:spacing w:before="280"/>
      </w:pPr>
      <w:r>
        <w:rPr>
          <w:b/>
          <w:i w:val="0"/>
          <w:sz w:val="26"/>
        </w:rPr>
        <w:t>6. Matter dilution and decoherence as a trigger</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[20]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3.3). A dependence on matter must be introduced by a coupling. For the simplest one, </w:t>
      </w:r>
      <m:oMath>
        <m:sSub>
          <m:e>
            <m:r>
              <m:t xml:space="preserve">V</m:t>
            </m:r>
          </m:e>
          <m:sub>
            <m:r>
              <m:rPr>
                <m:sty m:val="p"/>
              </m:rPr>
              <m:t xml:space="preserve">eff</m:t>
            </m:r>
          </m:sub>
        </m:sSub>
        <m:r>
          <m:t xml:space="preserve">=V+β</m:t>
        </m:r>
        <m:sSub>
          <m:e>
            <m:r>
              <m:t xml:space="preserve">ρ</m:t>
            </m:r>
          </m:e>
          <m:sub>
            <m:r>
              <m:t xml:space="preserve">m</m:t>
            </m:r>
          </m:sub>
        </m:sSub>
        <m:r>
          <m:t xml:space="preserve">φ/</m:t>
        </m:r>
        <m:sSub>
          <m:e>
            <m:r>
              <m:t xml:space="preserve">M</m:t>
            </m:r>
          </m:e>
          <m:sub>
            <m:r>
              <m:rPr>
                <m:sty m:val="p"/>
              </m:rPr>
              <m:t xml:space="preserve">Pl</m:t>
            </m:r>
          </m:sub>
        </m:sSub>
      </m:oMath>
      <w:r>
        <w:rPr>
          <w:b w:val="0"/>
          <w:i w:val="0"/>
        </w:rPr>
        <w:t xml:space="preserve"> with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the matter-induced shift of the tilt is </w:t>
      </w:r>
      <m:oMath>
        <m:r>
          <m:t xml:space="preserve">δ</m:t>
        </m:r>
        <m:r>
          <m:t xml:space="preserve">V/Δ</m:t>
        </m:r>
        <m:r>
          <m:t xml:space="preserve">V≃β(</m:t>
        </m:r>
        <m:sSub>
          <m:e>
            <m:r>
              <m:t xml:space="preserve">Ω</m:t>
            </m:r>
          </m:e>
          <m:sub>
            <m:r>
              <m:t xml:space="preserve">m</m:t>
            </m:r>
          </m:sub>
        </m:sSub>
        <m:r>
          <m:t xml:space="preserve">/</m:t>
        </m:r>
        <m:sSub>
          <m:e>
            <m:r>
              <m:t xml:space="preserve">Ω</m:t>
            </m:r>
          </m:e>
          <m:sub>
            <m:r>
              <m:t xml:space="preserve">Λ</m:t>
            </m:r>
          </m:sub>
        </m:sSub>
        <m:r>
          <m:t xml:space="preserve">)(Δφ/</m:t>
        </m:r>
        <m:sSub>
          <m:e>
            <m:r>
              <m:t xml:space="preserve">M</m:t>
            </m:r>
          </m:e>
          <m:sub>
            <m:r>
              <m:rPr>
                <m:sty m:val="p"/>
              </m:rPr>
              <m:t xml:space="preserve">Pl</m:t>
            </m:r>
          </m:sub>
        </m:sSub>
        <m:r>
          <m:t xml:space="preserve">)=β×1.1×1</m:t>
        </m:r>
        <m:sSup>
          <m:e>
            <m:r>
              <m:t xml:space="preserve">0</m:t>
            </m:r>
          </m:e>
          <m:sup>
            <m:r>
              <m:t xml:space="preserve">−30</m:t>
            </m:r>
          </m:sup>
        </m:sSup>
      </m:oMath>
      <w:r>
        <w:rPr>
          <w:b w:val="0"/>
          <w:i w:val="0"/>
        </w:rPr>
        <w:t xml:space="preserve"> for </w:t>
      </w:r>
      <m:oMath>
        <m:r>
          <m:t xml:space="preserve">Δφ=5.8</m:t>
        </m:r>
      </m:oMath>
      <w:r>
        <w:rPr>
          <w:b w:val="0"/>
          <w:i w:val="0"/>
        </w:rPr>
        <w:t xml:space="preserve"> meV. A change of </w:t>
      </w:r>
      <m:oMath>
        <m:r>
          <m:t xml:space="preserve">B</m:t>
        </m:r>
      </m:oMath>
      <w:r>
        <w:rPr>
          <w:b w:val="0"/>
          <w:i w:val="0"/>
        </w:rPr>
        <w:t xml:space="preserve"> by an amount of order its distance from </w:t>
      </w:r>
      <m:oMath>
        <m:sSub>
          <m:e>
            <m:r>
              <m:t xml:space="preserve">B</m:t>
            </m:r>
          </m:e>
          <m:sub>
            <m:r>
              <m:t xml:space="preserve">c</m:t>
            </m:r>
          </m:sub>
        </m:sSub>
      </m:oMath>
      <w:r>
        <w:rPr>
          <w:b w:val="0"/>
          <w:i w:val="0"/>
        </w:rPr>
        <w:t xml:space="preserve"> (a few units out of several hundred, so </w:t>
      </w:r>
      <m:oMath>
        <m:r>
          <m:t xml:space="preserve">δ</m:t>
        </m:r>
        <m:r>
          <m:t xml:space="preserve">V/Δ</m:t>
        </m:r>
        <m:r>
          <m:t xml:space="preserve">V∼1</m:t>
        </m:r>
        <m:sSup>
          <m:e>
            <m:r>
              <m:t xml:space="preserve">0</m:t>
            </m:r>
          </m:e>
          <m:sup>
            <m:r>
              <m:t xml:space="preserve">−2</m:t>
            </m:r>
          </m:sup>
        </m:sSup>
      </m:oMath>
      <w:r>
        <w:rPr>
          <w:b w:val="0"/>
          <w:i w:val="0"/>
        </w:rPr>
        <w:t xml:space="preserve">) therefore requires </w:t>
      </w:r>
      <m:oMath>
        <m:r>
          <m:t xml:space="preserve">β∼1</m:t>
        </m:r>
        <m:sSup>
          <m:e>
            <m:r>
              <m:t xml:space="preserve">0</m:t>
            </m:r>
          </m:e>
          <m:sup>
            <m:r>
              <m:t xml:space="preserve">28</m:t>
            </m:r>
          </m:sup>
        </m:sSup>
      </m:oMath>
      <w:r>
        <w:rPr>
          <w:b w:val="0"/>
          <w:i w:val="0"/>
        </w:rPr>
        <w:t xml:space="preserve"> to </w:t>
      </w:r>
      <m:oMath>
        <m:r>
          <m:t xml:space="preserve">1</m:t>
        </m:r>
        <m:sSup>
          <m:e>
            <m:r>
              <m:t xml:space="preserve">0</m:t>
            </m:r>
          </m:e>
          <m:sup>
            <m:r>
              <m:t xml:space="preserve">30</m:t>
            </m:r>
          </m:sup>
        </m:sSup>
      </m:oMath>
      <w:r>
        <w:rPr>
          <w:b w:val="0"/>
          <w:i w:val="0"/>
        </w:rPr>
        <w:t xml:space="preserve">, whereas solar-system and laboratory tests restrict unscreened couplings of this type to </w:t>
      </w:r>
      <m:oMath>
        <m:r>
          <m:t xml:space="preserve">β≲</m:t>
        </m:r>
        <m:r>
          <m:t xml:space="preserve">O(1)</m:t>
        </m:r>
      </m:oMath>
      <w:r>
        <w:rPr>
          <w:b w:val="0"/>
          <w:i w:val="0"/>
        </w:rPr>
        <w:t xml:space="preserve">, and screening mechanisms suppress the effective coupling further. The order of magnitude is robust because the factor </w:t>
      </w:r>
      <m:oMath>
        <m:r>
          <m:t xml:space="preserve">Δφ/</m:t>
        </m:r>
        <m:sSub>
          <m:e>
            <m:r>
              <m:t xml:space="preserve">M</m:t>
            </m:r>
          </m:e>
          <m:sub>
            <m:r>
              <m:rPr>
                <m:sty m:val="p"/>
              </m:rPr>
              <m:t xml:space="preserve">Pl</m:t>
            </m:r>
          </m:sub>
        </m:sSub>
        <m:r>
          <m:t xml:space="preserve">∼1</m:t>
        </m:r>
        <m:sSup>
          <m:e>
            <m:r>
              <m:t xml:space="preserve">0</m:t>
            </m:r>
          </m:e>
          <m:sup>
            <m:r>
              <m:t xml:space="preserve">−30</m:t>
            </m:r>
          </m:sup>
        </m:sSup>
      </m:oMath>
      <w:r>
        <w:rPr>
          <w:b w:val="0"/>
          <w:i w:val="0"/>
        </w:rPr>
        <w:t xml:space="preserve"> follows directly from the dark-energy scale. Matter dilution cannot be the trigger within this framework; a noise-assisted mechanism would need an explicit open-system influence functional and a calculated change of the tunneling exponent, which is not assumed here.</w:t>
      </w:r>
    </w:p>
    <w:p>
      <w:pPr>
        <w:keepNext/>
        <w:spacing w:before="280"/>
      </w:pPr>
      <w:r>
        <w:rPr>
          <w:b/>
          <w:i w:val="0"/>
          <w:sz w:val="26"/>
        </w:rPr>
        <w:t>7. Falsification boundaries</w:t>
      </w:r>
    </w:p>
    <w:p>
      <w:pPr>
        <w:jc w:val="both"/>
      </w:pPr>
      <w:r>
        <w:rPr>
          <w:b w:val="0"/>
          <w:i w:val="0"/>
        </w:rPr>
        <w:t>A model of this class is falsified, or its parameter space is restricted, by the following conditions, each of which is computed in this paper and can be recomputed for a different potential with the supplied code.</w:t>
      </w:r>
    </w:p>
    <w:p>
      <w:pPr>
        <w:pStyle w:val="ListBullet"/>
        <w:jc w:val="both"/>
      </w:pPr>
      <w:r>
        <w:rPr>
          <w:b w:val="0"/>
          <w:i w:val="0"/>
        </w:rPr>
        <w:t xml:space="preserve">F1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F2 (survival). </w:t>
      </w:r>
      <m:oMath>
        <m:r>
          <m:t xml:space="preserve">Γ/</m:t>
        </m:r>
        <m:sSup>
          <m:e>
            <m:r>
              <m:t xml:space="preserve">H</m:t>
            </m:r>
          </m:e>
          <m:sup>
            <m:r>
              <m:t xml:space="preserve">4</m:t>
            </m:r>
          </m:sup>
        </m:sSup>
        <m:r>
          <m:t xml:space="preserve">≲3/(8</m:t>
        </m:r>
        <m:sSup>
          <m:e>
            <m:r>
              <m:t xml:space="preserve">π</m:t>
            </m:r>
          </m:e>
          <m:sup>
            <m:r>
              <m:t xml:space="preserve">2</m:t>
            </m:r>
          </m:sup>
        </m:sSup>
        <m:r>
          <m:t xml:space="preserve">)</m:t>
        </m:r>
      </m:oMath>
      <w:r>
        <w:rPr>
          <w:b w:val="0"/>
          <w:i w:val="0"/>
        </w:rPr>
        <w:t xml:space="preserve">, i.e. </w:t>
      </w:r>
      <m:oMath>
        <m:r>
          <m:t xml:space="preserve">B≳</m:t>
        </m:r>
        <m:sSub>
          <m:e>
            <m:r>
              <m:t xml:space="preserve">B</m:t>
            </m:r>
          </m:e>
          <m:sub>
            <m:r>
              <m:t xml:space="preserve">c</m:t>
            </m:r>
          </m:sub>
        </m:sSub>
        <m:r>
          <m:t xml:space="preserve">≈287</m:t>
        </m:r>
      </m:oMath>
      <w:r>
        <w:rPr>
          <w:b w:val="0"/>
          <w:i w:val="0"/>
        </w:rPr>
        <w:t>, for the vacuum we occupy to have survived. In the benchmark family this excludes 15% of the prior volume.</w:t>
      </w:r>
    </w:p>
    <w:p>
      <w:pPr>
        <w:pStyle w:val="ListBullet"/>
        <w:jc w:val="both"/>
      </w:pPr>
      <w:r>
        <w:rPr>
          <w:b w:val="0"/>
          <w:i w:val="0"/>
        </w:rPr>
        <w:t xml:space="preserve">F3 (reset window). A reset within </w:t>
      </w:r>
      <m:oMath>
        <m:r>
          <m:t xml:space="preserve">1</m:t>
        </m:r>
        <m:sSup>
          <m:e>
            <m:r>
              <m:t xml:space="preserve">0</m:t>
            </m:r>
          </m:e>
          <m:sup>
            <m:r>
              <m:t xml:space="preserve">20</m:t>
            </m:r>
          </m:sup>
        </m:sSup>
      </m:oMath>
      <w:r>
        <w:rPr>
          <w:b w:val="0"/>
          <w:i w:val="0"/>
        </w:rPr>
        <w:t xml:space="preserve"> yr requires </w:t>
      </w:r>
      <m:oMath>
        <m:sSub>
          <m:e>
            <m:r>
              <m:t xml:space="preserve">B</m:t>
            </m:r>
          </m:e>
          <m:sub>
            <m:r>
              <m:t xml:space="preserve">c</m:t>
            </m:r>
          </m:sub>
        </m:sSub>
        <m:r>
          <m:t xml:space="preserve">&lt;B≲</m:t>
        </m:r>
        <m:sSub>
          <m:e>
            <m:r>
              <m:t xml:space="preserve">B</m:t>
            </m:r>
          </m:e>
          <m:sub>
            <m:r>
              <m:t xml:space="preserve">c</m:t>
            </m:r>
          </m:sub>
        </m:sSub>
        <m:r>
          <m:t xml:space="preserve">+21</m:t>
        </m:r>
      </m:oMath>
      <w:r>
        <w:rPr>
          <w:b w:val="0"/>
          <w:i w:val="0"/>
        </w:rPr>
        <w:t xml:space="preserve">, which holds for 0.56% of the prior volume; an action above </w:t>
      </w:r>
      <m:oMath>
        <m:sSub>
          <m:e>
            <m:r>
              <m:t xml:space="preserve">B</m:t>
            </m:r>
          </m:e>
          <m:sub>
            <m:r>
              <m:t xml:space="preserve">c</m:t>
            </m:r>
          </m:sub>
        </m:sSub>
        <m:r>
          <m:t xml:space="preserve">+205</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F4 (percolation). A global thermalization requires </w:t>
      </w:r>
      <m:oMath>
        <m:r>
          <m:t xml:space="preserve">Γ/</m:t>
        </m:r>
        <m:sSup>
          <m:e>
            <m:r>
              <m:t xml:space="preserve">H</m:t>
            </m:r>
          </m:e>
          <m:sup>
            <m:r>
              <m:t xml:space="preserve">4</m:t>
            </m:r>
          </m:sup>
        </m:sSup>
        <m:r>
          <m:t xml:space="preserve">=O(1)</m:t>
        </m:r>
      </m:oMath>
      <w:r>
        <w:rPr>
          <w:b w:val="0"/>
          <w:i w:val="0"/>
        </w:rPr>
        <w:t xml:space="preserve"> or larger, which is incompatible with F2 unless the vacuum decays within the next few Hubble times.</w:t>
      </w:r>
    </w:p>
    <w:p>
      <w:pPr>
        <w:pStyle w:val="ListBullet"/>
        <w:jc w:val="both"/>
      </w:pPr>
      <w:r>
        <w:rPr>
          <w:b w:val="0"/>
          <w:i w:val="0"/>
        </w:rPr>
        <w:t xml:space="preserve">F5 (energy).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4.3×1</m:t>
        </m:r>
        <m:sSup>
          <m:e>
            <m:r>
              <m:t xml:space="preserve">0</m:t>
            </m:r>
          </m:e>
          <m:sup>
            <m:r>
              <m:t xml:space="preserve">34</m:t>
            </m:r>
          </m:sup>
        </m:sSup>
      </m:oMath>
      <w:r>
        <w:rPr>
          <w:b w:val="0"/>
          <w:i w:val="0"/>
        </w:rPr>
        <w:t xml:space="preserve"> times the dark-energy density; the largest available release is </w:t>
      </w:r>
      <m:oMath>
        <m:r>
          <m:t xml:space="preserve">Δ</m:t>
        </m:r>
        <m:r>
          <m:t xml:space="preserve">V≤</m:t>
        </m:r>
        <m:sSub>
          <m:e>
            <m:r>
              <m:t xml:space="preserve">ρ</m:t>
            </m:r>
          </m:e>
          <m:sub>
            <m:r>
              <m:t xml:space="preserve">Λ</m:t>
            </m:r>
          </m:sub>
        </m:sSub>
      </m:oMath>
      <w:r>
        <w:rPr>
          <w:b w:val="0"/>
          <w:i w:val="0"/>
        </w:rPr>
        <w:t xml:space="preserve">, giving </w:t>
      </w:r>
      <m:oMath>
        <m:sSub>
          <m:e>
            <m:r>
              <m:t xml:space="preserve">T</m:t>
            </m:r>
          </m:e>
          <m:sub>
            <m:r>
              <m:rPr>
                <m:sty m:val="p"/>
              </m:rPr>
              <m:t xml:space="preserve">reh</m:t>
            </m:r>
          </m:sub>
        </m:sSub>
        <m:r>
          <m:t xml:space="preserve">≤2.2</m:t>
        </m:r>
      </m:oMath>
      <w:r>
        <w:rPr>
          <w:b w:val="0"/>
          <w:i w:val="0"/>
        </w:rPr>
        <w:t xml:space="preserve"> meV. The hypothesis that the decay of the present dark energy produces a hot big bang is excluded in this framework.</w:t>
      </w:r>
    </w:p>
    <w:p>
      <w:pPr>
        <w:pStyle w:val="ListBullet"/>
        <w:jc w:val="both"/>
      </w:pPr>
      <w:r>
        <w:rPr>
          <w:b w:val="0"/>
          <w:i w:val="0"/>
        </w:rPr>
        <w:t xml:space="preserve">F6 (interior). </w:t>
      </w:r>
      <m:oMath>
        <m:sSub>
          <m:e>
            <m:r>
              <m:t xml:space="preserve">V</m:t>
            </m:r>
          </m:e>
          <m:sub>
            <m:r>
              <m:t xml:space="preserve">t</m:t>
            </m:r>
          </m:sub>
        </m:sSub>
        <m:r>
          <m:t xml:space="preserve">&lt;0</m:t>
        </m:r>
      </m:oMath>
      <w:r>
        <w:rPr>
          <w:b w:val="0"/>
          <w:i w:val="0"/>
        </w:rPr>
        <w:t xml:space="preserve"> implies a crunch within </w:t>
      </w:r>
      <m:oMath>
        <m:r>
          <m:t xml:space="preserve">∼55</m:t>
        </m:r>
      </m:oMath>
      <w:r>
        <w:rPr>
          <w:b w:val="0"/>
          <w:i w:val="0"/>
        </w:rPr>
        <w:t xml:space="preserve"> Gyr for </w:t>
      </w:r>
      <m:oMath>
        <m:r>
          <m:t xml:space="preserve">|</m:t>
        </m:r>
        <m:sSub>
          <m:e>
            <m:r>
              <m:t xml:space="preserve">V</m:t>
            </m:r>
          </m:e>
          <m:sub>
            <m:r>
              <m:t xml:space="preserve">t</m:t>
            </m:r>
          </m:sub>
        </m:sSub>
        <m:r>
          <m:t xml:space="preserve">|=</m:t>
        </m:r>
        <m:sSub>
          <m:e>
            <m:r>
              <m:t xml:space="preserve">V</m:t>
            </m:r>
          </m:e>
          <m:sub>
            <m:r>
              <m:t xml:space="preserve">f</m:t>
            </m:r>
          </m:sub>
        </m:sSub>
      </m:oMath>
      <w:r>
        <w:rPr>
          <w:b w:val="0"/>
          <w:i w:val="0"/>
        </w:rPr>
        <w:t xml:space="preserve">; </w:t>
      </w:r>
      <m:oMath>
        <m:sSub>
          <m:e>
            <m:r>
              <m:t xml:space="preserve">V</m:t>
            </m:r>
          </m:e>
          <m:sub>
            <m:r>
              <m:t xml:space="preserve">t</m:t>
            </m:r>
          </m:sub>
        </m:sSub>
        <m:r>
          <m:t xml:space="preserve">&gt;0</m:t>
        </m:r>
      </m:oMath>
      <w:r>
        <w:rPr>
          <w:b w:val="0"/>
          <w:i w:val="0"/>
        </w:rPr>
        <w:t xml:space="preserve"> implies no radiation epoch.</w:t>
      </w:r>
    </w:p>
    <w:p>
      <w:pPr>
        <w:pStyle w:val="ListBullet"/>
        <w:jc w:val="both"/>
      </w:pPr>
      <w:r>
        <w:rPr>
          <w:b w:val="0"/>
          <w:i w:val="0"/>
        </w:rPr>
        <w:t xml:space="preserve">F7 (trigger). A matter-dilution trigger needs a scalar–matter coupling </w:t>
      </w:r>
      <m:oMath>
        <m:r>
          <m:t xml:space="preserve">β∼1</m:t>
        </m:r>
        <m:sSup>
          <m:e>
            <m:r>
              <m:t xml:space="preserve">0</m:t>
            </m:r>
          </m:e>
          <m:sup>
            <m:r>
              <m:t xml:space="preserve">28</m:t>
            </m:r>
          </m:sup>
        </m:sSup>
      </m:oMath>
      <w:r>
        <w:rPr>
          <w:b w:val="0"/>
          <w:i w:val="0"/>
        </w:rPr>
        <w:t>–</w:t>
      </w:r>
      <m:oMath>
        <m:r>
          <m:t xml:space="preserve">1</m:t>
        </m:r>
        <m:sSup>
          <m:e>
            <m:r>
              <m:t xml:space="preserve">0</m:t>
            </m:r>
          </m:e>
          <m:sup>
            <m:r>
              <m:t xml:space="preserve">30</m:t>
            </m:r>
          </m:sup>
        </m:sSup>
      </m:oMath>
      <w:r>
        <w:rPr>
          <w:b w:val="0"/>
          <w:i w:val="0"/>
        </w:rPr>
        <w:t>.</w:t>
      </w:r>
    </w:p>
    <w:p>
      <w:pPr>
        <w:pStyle w:val="ListBullet"/>
        <w:jc w:val="both"/>
      </w:pPr>
      <w:r>
        <w:rPr>
          <w:b w:val="0"/>
          <w:i w:val="0"/>
        </w:rPr>
        <w:t xml:space="preserve">F8 (observation). A solitary transition produces no signal in our patch; a gravitational-wave background from bubble collisions requires a population and </w:t>
      </w:r>
      <m:oMath>
        <m:r>
          <m:t xml:space="preserve">Γ/</m:t>
        </m:r>
        <m:sSup>
          <m:e>
            <m:r>
              <m:t xml:space="preserve">H</m:t>
            </m:r>
          </m:e>
          <m:sup>
            <m:r>
              <m:t xml:space="preserve">4</m:t>
            </m:r>
          </m:sup>
        </m:sSup>
        <m:r>
          <m:t xml:space="preserve">=O(1)</m:t>
        </m:r>
      </m:oMath>
      <w:r>
        <w:rPr>
          <w:b w:val="0"/>
          <w:i w:val="0"/>
        </w:rPr>
        <w:t xml:space="preserve"> (F4). The vacuum is therefore indistinguishable from a cosmological constant (</w:t>
      </w:r>
      <m:oMath>
        <m:r>
          <m:t xml:space="preserve">w=−1</m:t>
        </m:r>
      </m:oMath>
      <w:r>
        <w:rPr>
          <w:b w:val="0"/>
          <w:i w:val="0"/>
        </w:rPr>
        <w:t xml:space="preserve">) until it decays, and a measurement of </w:t>
      </w:r>
      <m:oMath>
        <m:r>
          <m:t xml:space="preserve">w≠−1</m:t>
        </m:r>
      </m:oMath>
      <w:r>
        <w:rPr>
          <w:b w:val="0"/>
          <w:i w:val="0"/>
        </w:rPr>
        <w:t xml:space="preserve"> would favor a rolling field and not a metastable vacuum. No observational discriminant of the cyclic reset is available from this model.</w:t>
      </w:r>
    </w:p>
    <w:p>
      <w:pPr>
        <w:jc w:val="both"/>
      </w:pPr>
      <w:r>
        <w:rPr>
          <w:b w:val="0"/>
          <w:i w:val="0"/>
        </w:rPr>
        <w:t xml:space="preserve">A transition producing a successful cosmology would have to lie outside the class studied here.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 earlier, higher-energy phase of the universe rather than the present one), a post-nucleation region that inflates before it reheats so that the curvature term and the horizon are handled, and a mechanism to restore the high-energy parent from the late universe. The cyclic models that have been constructed provide such mechanisms by other means [4]; this paper shows that tunneling of the present dark energy does not.</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F2, F5 and F7 are generic.</w:t>
      </w:r>
    </w:p>
    <w:p>
      <w:pPr>
        <w:pStyle w:val="ListBullet"/>
        <w:jc w:val="both"/>
      </w:pPr>
      <w:r>
        <w:rPr>
          <w:b w:val="0"/>
          <w:i w:val="0"/>
        </w:rPr>
        <w:t>The one-loop prefactor is estimated, not computed (a determinant calculation is required); the results are insensitive to it (Section 4).</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interior evolution assumes a homogeneous open slicing and a perturbative decay of the condensate to radiation; bubble-wall collisions can concentrate energy locally, but average energy density is bounded by </w:t>
      </w:r>
      <m:oMath>
        <m:r>
          <m:t xml:space="preserve">Δ</m:t>
        </m:r>
        <m:r>
          <m:t xml:space="preserve">V</m:t>
        </m:r>
      </m:oMath>
      <w:r>
        <w:rPr>
          <w:b w:val="0"/>
          <w:i w:val="0"/>
        </w:rPr>
        <w:t xml:space="preserve"> (F5).</w:t>
      </w:r>
    </w:p>
    <w:p>
      <w:pPr>
        <w:pStyle w:val="ListBullet"/>
        <w:jc w:val="both"/>
      </w:pPr>
      <w:r>
        <w:rPr>
          <w:b w:val="0"/>
          <w:i w:val="0"/>
        </w:rPr>
        <w:t>Up-tunneling from the false to a higher vacuum, the decay of the true vacuum in curved space [21], thermal activation of the Hawking–Moss type [22]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keepNext/>
        <w:spacing w:before="280"/>
      </w:pPr>
      <w:r>
        <w:rPr>
          <w:b/>
          <w:i w:val="0"/>
          <w:sz w:val="26"/>
        </w:rPr>
        <w:t>9. Conclusions</w:t>
      </w:r>
    </w:p>
    <w:p>
      <w:pPr>
        <w:jc w:val="both"/>
      </w:pPr>
      <w:r>
        <w:rPr>
          <w:b w:val="0"/>
          <w:i w:val="0"/>
        </w:rPr>
        <w:t xml:space="preserve">A late-time false-vacuum transition of the present dark energy is a well-defined calculation, and for the explicit potential studied it can be done to a stated precision. The result is a set of boundaries. The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only 0.6% of the prior volume does. The interior of a nucleated region carries at most the dark-energy density, so it reheats to at most </w:t>
      </w:r>
      <m:oMath>
        <m:r>
          <m:t xml:space="preserve">2.2</m:t>
        </m:r>
      </m:oMath>
      <w:r>
        <w:rPr>
          <w:b w:val="0"/>
          <w:i w:val="0"/>
        </w:rPr>
        <w:t xml:space="preserve"> meV and cools as </w:t>
      </w:r>
      <m:oMath>
        <m:r>
          <m:t xml:space="preserve">1/t</m:t>
        </m:r>
      </m:oMath>
      <w:r>
        <w:rPr>
          <w:b w:val="0"/>
          <w:i w:val="0"/>
        </w:rPr>
        <w:t xml:space="preserve"> in an open universe, and cannot reproduce a hot big bang; a trigger by matter dilution would need an unphysical coupling. The cyclic-reset hypothesis, in the form tested, is therefore not supported, and the framework identifies what would have to change.</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w:t>
      </w:r>
      <w:r>
        <w:rPr>
          <w:b w:val="0"/>
          <w:i w:val="0"/>
        </w:rPr>
        <w:t>Not applicable.</w:t>
      </w:r>
    </w:p>
    <w:p>
      <w:pPr>
        <w:jc w:val="both"/>
      </w:pPr>
      <w:r>
        <w:rPr>
          <w:b/>
          <w:i w:val="0"/>
        </w:rPr>
        <w:t xml:space="preserve">Data availability. </w:t>
      </w:r>
      <w:r>
        <w:rPr>
          <w:b w:val="0"/>
          <w:i w:val="0"/>
        </w:rPr>
        <w:t>The data underlying every figure and table (bounce tables, falsification map, Monte Carlo samples summary, interior evolution, verification results) are deposited with the code at https://github.com/sandlerleon/late-time-vacuum-decay and archived at https://doi.org/10.5281/zenodo.23717619.</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https://doi.org/10.5281/zenodo.23717619. Running the scripts in the stated order regenerates every number in this paper, and verify.py runs 13 executable checks. The manuscript is archived at https://doi.org/10.5281/zenodo.23717617.</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p>
      <w:pPr>
        <w:spacing w:after="40"/>
        <w:ind w:left="432" w:hanging="432"/>
      </w:pPr>
      <w:r>
        <w:rPr>
          <w:b w:val="0"/>
          <w:i w:val="0"/>
          <w:sz w:val="19"/>
        </w:rPr>
        <w:t>[1] S. Coleman, F. De Luccia, Gravitational effects on and of vacuum decay. Phys. Rev. D 21, 3305–3315 (1980). https://doi.org/10.1103/PhysRevD.21.3305</w:t>
      </w:r>
    </w:p>
    <w:p>
      <w:pPr>
        <w:spacing w:after="40"/>
        <w:ind w:left="432" w:hanging="432"/>
      </w:pPr>
      <w:r>
        <w:rPr>
          <w:b w:val="0"/>
          <w:i w:val="0"/>
          <w:sz w:val="19"/>
        </w:rPr>
        <w:t>[2] R. Penrose, Cycles of Time: An Extraordinary New View of the Universe. Bodley Head, London (2010).</w:t>
      </w:r>
    </w:p>
    <w:p>
      <w:pPr>
        <w:spacing w:after="40"/>
        <w:ind w:left="432" w:hanging="432"/>
      </w:pPr>
      <w:r>
        <w:rPr>
          <w:b w:val="0"/>
          <w:i w:val="0"/>
          <w:sz w:val="19"/>
        </w:rPr>
        <w:t>[3] M. Gasperini, G. Veneziano, The pre-big bang scenario in string cosmology. Phys. Rep. 373, 1–212 (2003). https://doi.org/10.1016/S0370-1573(02)00389-7</w:t>
      </w:r>
    </w:p>
    <w:p>
      <w:pPr>
        <w:spacing w:after="40"/>
        <w:ind w:left="432" w:hanging="432"/>
      </w:pPr>
      <w:r>
        <w:rPr>
          <w:b w:val="0"/>
          <w:i w:val="0"/>
          <w:sz w:val="19"/>
        </w:rPr>
        <w:t>[4] P.J. Steinhardt, N. Turok, A cyclic model of the universe. Science 296, 1436–1439 (2002). https://doi.org/10.1126/science.1070462</w:t>
      </w:r>
    </w:p>
    <w:p>
      <w:pPr>
        <w:spacing w:after="40"/>
        <w:ind w:left="432" w:hanging="432"/>
      </w:pPr>
      <w:r>
        <w:rPr>
          <w:b w:val="0"/>
          <w:i w:val="0"/>
          <w:sz w:val="19"/>
        </w:rPr>
        <w:t>[5] Planck Collaboration, N. Aghanim et al., Planck 2018 results. VI. Cosmological parameters. Astron. Astrophys. 641, A6 (2020). https://doi.org/10.1051/0004-6361/201833910</w:t>
      </w:r>
    </w:p>
    <w:p>
      <w:pPr>
        <w:spacing w:after="40"/>
        <w:ind w:left="432" w:hanging="432"/>
      </w:pPr>
      <w:r>
        <w:rPr>
          <w:b w:val="0"/>
          <w:i w:val="0"/>
          <w:sz w:val="19"/>
        </w:rPr>
        <w:t>[6] S. Coleman, Fate of the false vacuum: Semiclassical theory. Phys. Rev. D 15, 2929–2936 (1977). https://doi.org/10.1103/PhysRevD.15.2929</w:t>
      </w:r>
    </w:p>
    <w:p>
      <w:pPr>
        <w:spacing w:after="40"/>
        <w:ind w:left="432" w:hanging="432"/>
      </w:pPr>
      <w:r>
        <w:rPr>
          <w:b w:val="0"/>
          <w:i w:val="0"/>
          <w:sz w:val="19"/>
        </w:rPr>
        <w:t>[7] S.W. Hawking, I.G. Moss, Supercooled phase transitions in the very early universe. Phys. Lett. B 110, 35–38 (1982). https://doi.org/10.1016/0370-2693(82)90946-7</w:t>
      </w:r>
    </w:p>
    <w:p>
      <w:pPr>
        <w:spacing w:after="40"/>
        <w:ind w:left="432" w:hanging="432"/>
      </w:pPr>
      <w:r>
        <w:rPr>
          <w:b w:val="0"/>
          <w:i w:val="0"/>
          <w:sz w:val="19"/>
        </w:rPr>
        <w:t>[8] R.A. Jensen, P.J. Steinhardt, Bubble nucleation and the Coleman–Weinberg model. Nucl. Phys. B 237, 176–188 (1984). https://doi.org/10.1016/0550-3213(84)90021-X</w:t>
      </w:r>
    </w:p>
    <w:p>
      <w:pPr>
        <w:spacing w:after="40"/>
        <w:ind w:left="432" w:hanging="432"/>
      </w:pPr>
      <w:r>
        <w:rPr>
          <w:b w:val="0"/>
          <w:i w:val="0"/>
          <w:sz w:val="19"/>
        </w:rPr>
        <w:t>[9] T. Hackworth, E.J. Weinberg, Oscillating bounce solutions and vacuum tunneling in de Sitter spacetime. Phys. Rev. D 71, 044014 (2005). https://doi.org/10.1103/PhysRevD.71.044014</w:t>
      </w:r>
    </w:p>
    <w:p>
      <w:pPr>
        <w:spacing w:after="40"/>
        <w:ind w:left="432" w:hanging="432"/>
      </w:pPr>
      <w:r>
        <w:rPr>
          <w:b w:val="0"/>
          <w:i w:val="0"/>
          <w:sz w:val="19"/>
        </w:rPr>
        <w:t>[10] P. Virtanen et al., SciPy 1.0: fundamental algorithms for scientific computing in Python. Nat. Methods 17, 261–272 (2020). https://doi.org/10.1038/s41592-019-0686-2</w:t>
      </w:r>
    </w:p>
    <w:p>
      <w:pPr>
        <w:spacing w:after="40"/>
        <w:ind w:left="432" w:hanging="432"/>
      </w:pPr>
      <w:r>
        <w:rPr>
          <w:b w:val="0"/>
          <w:i w:val="0"/>
          <w:sz w:val="19"/>
        </w:rPr>
        <w:t>[11] C.R. Harris et al., Array programming with NumPy. Nature 585, 357–362 (2020). https://doi.org/10.1038/s41586-020-2649-2</w:t>
      </w:r>
    </w:p>
    <w:p>
      <w:pPr>
        <w:spacing w:after="40"/>
        <w:ind w:left="432" w:hanging="432"/>
      </w:pPr>
      <w:r>
        <w:rPr>
          <w:b w:val="0"/>
          <w:i w:val="0"/>
          <w:sz w:val="19"/>
        </w:rPr>
        <w:t>[12] C.L. Wainwright, CosmoTransitions: Computing cosmological phase transition temperatures and bubble profiles with multiple fields. Comput. Phys. Commun. 183, 2006–2013 (2012). https://doi.org/10.1016/j.cpc.2012.04.004</w:t>
      </w:r>
    </w:p>
    <w:p>
      <w:pPr>
        <w:spacing w:after="40"/>
        <w:ind w:left="432" w:hanging="432"/>
      </w:pPr>
      <w:r>
        <w:rPr>
          <w:b w:val="0"/>
          <w:i w:val="0"/>
          <w:sz w:val="19"/>
        </w:rPr>
        <w:t>[13] S. Parke, Gravity and the decay of the false vacuum. Phys. Lett. B 121, 313–315 (1983). https://doi.org/10.1016/0370-2693(83)91376-X</w:t>
      </w:r>
    </w:p>
    <w:p>
      <w:pPr>
        <w:spacing w:after="40"/>
        <w:ind w:left="432" w:hanging="432"/>
      </w:pPr>
      <w:r>
        <w:rPr>
          <w:b w:val="0"/>
          <w:i w:val="0"/>
          <w:sz w:val="19"/>
        </w:rPr>
        <w:t>[14] C.G. Callan, S. Coleman, Fate of the false vacuum. II. First quantum corrections. Phys. Rev. D 16, 1762–1768 (1977). https://doi.org/10.1103/PhysRevD.16.1762</w:t>
      </w:r>
    </w:p>
    <w:p>
      <w:pPr>
        <w:spacing w:after="40"/>
        <w:ind w:left="432" w:hanging="432"/>
      </w:pPr>
      <w:r>
        <w:rPr>
          <w:b w:val="0"/>
          <w:i w:val="0"/>
          <w:sz w:val="19"/>
        </w:rPr>
        <w:t>[15] A.H. Guth, E.J. Weinberg, Could the universe have recovered from a slow first-order phase transition? Nucl. Phys. B 212, 321–364 (1983). https://doi.org/10.1016/0550-3213(83)90307-3</w:t>
      </w:r>
    </w:p>
    <w:p>
      <w:pPr>
        <w:spacing w:after="40"/>
        <w:ind w:left="432" w:hanging="432"/>
      </w:pPr>
      <w:r>
        <w:rPr>
          <w:b w:val="0"/>
          <w:i w:val="0"/>
          <w:sz w:val="19"/>
        </w:rPr>
        <w:t>[16] M.S. Turner, E.J. Weinberg, L.M. Widrow, Bubble nucleation in first-order inflation and other cosmological phase transitions. Phys. Rev. D 46, 2384–2403 (1992). https://doi.org/10.1103/PhysRevD.46.2384</w:t>
      </w:r>
    </w:p>
    <w:p>
      <w:pPr>
        <w:spacing w:after="40"/>
        <w:ind w:left="432" w:hanging="432"/>
      </w:pPr>
      <w:r>
        <w:rPr>
          <w:b w:val="0"/>
          <w:i w:val="0"/>
          <w:sz w:val="19"/>
        </w:rPr>
        <w:t>[17] J.R. Gott III, Creation of open universes from de Sitter space. Nature 295, 304–307 (1982). https://doi.org/10.1038/295304a0</w:t>
      </w:r>
    </w:p>
    <w:p>
      <w:pPr>
        <w:spacing w:after="40"/>
        <w:ind w:left="432" w:hanging="432"/>
      </w:pPr>
      <w:r>
        <w:rPr>
          <w:b w:val="0"/>
          <w:i w:val="0"/>
          <w:sz w:val="19"/>
        </w:rPr>
        <w:t>[18] M. Bucher, A.S. Goldhaber, N. Turok, Open universe from inflation. Phys. Rev. D 52, 3314–3337 (1995). https://doi.org/10.1103/PhysRevD.52.3314</w:t>
      </w:r>
    </w:p>
    <w:p>
      <w:pPr>
        <w:spacing w:after="40"/>
        <w:ind w:left="432" w:hanging="432"/>
      </w:pPr>
      <w:r>
        <w:rPr>
          <w:b w:val="0"/>
          <w:i w:val="0"/>
          <w:sz w:val="19"/>
        </w:rPr>
        <w:t>[19] C. Pitrou, A. Coc, J.-P. Uzan, E. Vangioni, Precision big bang nucleosynthesis with improved Helium-4 predictions. Phys. Rep. 754, 1–66 (2018). https://doi.org/10.1016/j.physrep.2018.04.005</w:t>
      </w:r>
    </w:p>
    <w:p>
      <w:pPr>
        <w:spacing w:after="40"/>
        <w:ind w:left="432" w:hanging="432"/>
      </w:pPr>
      <w:r>
        <w:rPr>
          <w:b w:val="0"/>
          <w:i w:val="0"/>
          <w:sz w:val="19"/>
        </w:rPr>
        <w:t>[20] G.W. Gibbons, S.W. Hawking, Cosmological event horizons, thermodynamics, and particle creation. Phys. Rev. D 15, 2738–2751 (1977). https://doi.org/10.1103/PhysRevD.15.2738</w:t>
      </w:r>
    </w:p>
    <w:p>
      <w:pPr>
        <w:spacing w:after="40"/>
        <w:ind w:left="432" w:hanging="432"/>
      </w:pPr>
      <w:r>
        <w:rPr>
          <w:b w:val="0"/>
          <w:i w:val="0"/>
          <w:sz w:val="19"/>
        </w:rPr>
        <w:t>[21] K. Lee, E.J. Weinberg, Decay of the true vacuum in curved space-time. Phys. Rev. D 36, 1088–1094 (1987). https://doi.org/10.1103/PhysRevD.36.1088</w:t>
      </w:r>
    </w:p>
    <w:p>
      <w:pPr>
        <w:spacing w:after="40"/>
        <w:ind w:left="432" w:hanging="432"/>
      </w:pPr>
      <w:r>
        <w:rPr>
          <w:b w:val="0"/>
          <w:i w:val="0"/>
          <w:sz w:val="19"/>
        </w:rPr>
        <w:t>[22] A.R. Brown, E.J. Weinberg, Thermal derivation of the Coleman–De Luccia tunneling prescription. Phys. Rev. D 76, 064003 (2007). https://doi.org/10.1103/PhysRevD.76.064003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