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t>Mass-Minimized Lunar Radiation Protection Using In-Situ Regolith and Distributed Magnetic Shielding: Physics, Engineering Feasibility, and a Specification for Dose Validation</w:t>
      </w:r>
    </w:p>
    <w:p>
      <w:pPr>
        <w:spacing w:after="40"/>
        <w:jc w:val="center"/>
      </w:pPr>
      <w:r>
        <w:rPr>
          <w:rFonts w:ascii="Times New Roman" w:cs="Times New Roman" w:eastAsia="Times New Roman" w:hAnsi="Times New Roman"/>
          <w:sz w:val="24"/>
          <w:szCs w:val="24"/>
        </w:rPr>
        <w:t xml:space="preserve">Leon Sandler</w:t>
      </w:r>
    </w:p>
    <w:p>
      <w:pPr>
        <w:spacing w:after="300"/>
        <w:jc w:val="center"/>
      </w:pPr>
      <w:r>
        <w:t>Independent Researcher, Northbrook, IL, USA · sandler.leon@gmail.com · ORCID: 0009-0007-4584-808X</w:t>
      </w:r>
    </w:p>
    <w:p>
      <w:r>
        <w:rPr>
          <w:b/>
        </w:rPr>
        <w:t>Key Points</w:t>
      </w:r>
    </w:p>
    <w:p>
      <w:pPr>
        <w:pStyle w:val="ListParagraph"/>
      </w:pPr>
      <w:r>
        <w:t>A 22-coil superconducting fence shields against solar particles as well as one large magnet, with no single point of failure</w:t>
      </w:r>
    </w:p>
    <w:p>
      <w:pPr>
        <w:pStyle w:val="ListParagraph"/>
      </w:pPr>
      <w:r>
        <w:t>Permanent magnets cannot replace superconducting coils; regolith-built structure cuts Earth-launched mass from 81 to 46.4 tonnes</w:t>
      </w:r>
    </w:p>
    <w:p>
      <w:pPr>
        <w:pStyle w:val="ListParagraph"/>
      </w:pPr>
      <w:r>
        <w:t>Regolith cladding beats the fence for fixed equipment; the fence's lasting role is protecting rovers and spacewalking crew</w:t>
      </w:r>
    </w:p>
    <w:p>
      <w:pPr>
        <w:pStyle w:val="Heading2"/>
        <w:spacing w:after="120" w:before="240"/>
      </w:pPr>
      <w:r>
        <w:rPr>
          <w:rFonts w:ascii="Times New Roman" w:cs="Times New Roman" w:eastAsia="Times New Roman" w:hAnsi="Times New Roman"/>
          <w:b/>
          <w:bCs/>
          <w:color w:val="1F4E79"/>
          <w:sz w:val="24"/>
          <w:szCs w:val="24"/>
        </w:rPr>
        <w:t xml:space="preserve">Abstract</w:t>
      </w:r>
    </w:p>
    <w:p>
      <w:pPr>
        <w:spacing w:after="160" w:line="276"/>
        <w:jc w:val="both"/>
      </w:pPr>
      <w:r>
        <w:t>We evaluate a distributed superconducting perimeter fence for lunar surface protection against solar energetic particle (SEP) events. A relativistic Boris-pusher simulation shows that a 22-coil, two-channel fence attenuates SEP protons as effectively as a monolithic dipole of equal magnetic moment (94.9% versus 95.1% proton number-fluence removal; 75.4% versus 72.2% energy-fluence removal for a representative soft SEP spectrum), while leaving the protected volume field-free and avoiding a single point of failure. We then address two questions that determine buildability. First, permanent magnets are ruled out as a primary moment source: NdFeB's remanence bounds achievable moment-per-mass roughly four orders of magnitude below the superconducting design, requiring approximately 2.65×10⁵ t of material to match the design moment. Second, propagating previously uncosted engineering margins (current derating, structural/cryostat overhead, thermal cycling, dust mitigation) gives a credible system mass of median 81 t (90% CI 55–116 t); substituting regolith-derived structure for Earth-launched structural mass reduces this to 46.4 t at unchanged attenuation. We add first-order feasibility estimates for launch, cooling, and power, plus a dose-context section situating energy-fluence attenuation against NASA dose limits and published benchmarks (regolith cladding, the AstroRad vest). These fluence-based results establish mass and attenuation feasibility but not dose reduction; we specify the coupled HZETRN2020/Geant4 transport calculation required to close that gap. The central architectural finding is that the optimal lunar SEP-mitigation strategy is asset-dependent: regolith cladding is more mass-efficient for fixed equipment, while the fence's durable role is protecting rovers, EVA crew, and distributed infrastructure that regolith cannot reach.</w:t>
      </w:r>
    </w:p>
    <w:p>
      <w:pPr>
        <w:pStyle w:val="Heading2"/>
        <w:spacing w:after="120" w:before="240"/>
      </w:pPr>
      <w:r>
        <w:rPr>
          <w:rFonts w:ascii="Times New Roman" w:cs="Times New Roman" w:eastAsia="Times New Roman" w:hAnsi="Times New Roman"/>
          <w:b/>
          <w:bCs/>
          <w:color w:val="1F4E79"/>
          <w:sz w:val="24"/>
          <w:szCs w:val="24"/>
        </w:rPr>
        <w:t xml:space="preserve">Plain Language Summary</w:t>
      </w:r>
    </w:p>
    <w:p>
      <w:pPr>
        <w:spacing w:after="160" w:line="276"/>
        <w:jc w:val="both"/>
      </w:pPr>
      <w:r>
        <w:rPr>
          <w:rFonts w:ascii="Times New Roman" w:cs="Times New Roman" w:eastAsia="Times New Roman" w:hAnsi="Times New Roman"/>
          <w:b w:val="false"/>
          <w:bCs w:val="false"/>
          <w:i w:val="false"/>
          <w:iCs w:val="false"/>
          <w:sz w:val="22"/>
          <w:szCs w:val="22"/>
        </w:rPr>
        <w:t xml:space="preserve">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by the author showed this fence shields about as well as a single large magnet at the habitat, but only roughly estimated how much material it would take to build and launch from Earth, and did not connect that shielding to how much radiation a person or a piece of equipment would actually receive.</w:t>
      </w:r>
    </w:p>
    <w:p>
      <w:pPr>
        <w:spacing w:after="160" w:line="276"/>
        <w:jc w:val="both"/>
      </w:pPr>
      <w:r>
        <w:t>This paper folds that earlier physics analysis into a single, complete study, and adds three new contributions. First, it checks the mass estimate more carefully and looks for ways to reduce it: ordinary permanent magnets cannot replace the coils' superconducting wire, since they are tens of thousands of times too weak per unit of mass, and building the fence's support structure from lunar soil instead of shipping it from Earth cuts the Earth-launched mass from about 81 tonnes to about 46 tonnes. Second, it adds a first-order look at the practical engineering problems of actually running such a system on the Moon — how much electrical power the cryogenic cooling would need, how large the radiators would have to be, and how the mass figures compare with what a large future rocket such as Starship could plausibly deliver to the lunar surface. Third, it connects the shielding numbers to what they mean for a person or a piece of electronics, by comparing the concept with current approaches such as a few centimeters of soil cover, a water-filled protective vest, or a temporary storm shelter, each of which has published dose-reduction figures from real missions or measurements.</w:t>
      </w:r>
    </w:p>
    <w:p>
      <w:pPr>
        <w:spacing w:after="160" w:line="276"/>
        <w:jc w:val="both"/>
      </w:pPr>
      <w:r>
        <w:rPr>
          <w:rFonts w:ascii="Times New Roman" w:cs="Times New Roman" w:eastAsia="Times New Roman" w:hAnsi="Times New Roman"/>
          <w:b w:val="false"/>
          <w:bCs w:val="false"/>
          <w:i w:val="false"/>
          <w:iCs w:val="false"/>
          <w:sz w:val="22"/>
          <w:szCs w:val="22"/>
        </w:rPr>
        <w:t xml:space="preserve">The central finding remains that no single technology is best everywhere. For equipment that stays in one place, simply piling on 2 cm of lunar soil blocks over 90% of the particle energy using almost no Earth-launched material, more efficient than the fence. The fence's real value is protecting things soil cannot cover, like rovers and astronauts working outside, and the ISRU-built version of the fence makes that protection cheaper in Earth-launch terms without changing how well it shields.</w:t>
      </w:r>
    </w:p>
    <w:p>
      <w:pPr>
        <w:spacing w:after="160" w:line="276"/>
        <w:jc w:val="both"/>
      </w:pPr>
      <w:r>
        <w:rPr>
          <w:rFonts w:ascii="Times New Roman" w:cs="Times New Roman" w:eastAsia="Times New Roman" w:hAnsi="Times New Roman"/>
          <w:b w:val="false"/>
          <w:bCs w:val="false"/>
          <w:i/>
          <w:iCs/>
          <w:sz w:val="22"/>
          <w:szCs w:val="22"/>
        </w:rPr>
        <w:t xml:space="preserve">Keywords: active magnetic shielding; solar energetic particles; lunar habitat; distributed dipole array; superconducting coils; in-situ resource utilization; permanent magnets; radiation dose; engineering feasibility; radiation-transport specification</w:t>
      </w:r>
    </w:p>
    <w:p>
      <w:pPr>
        <w:pStyle w:val="Heading1"/>
        <w:spacing w:after="160" w:before="320"/>
      </w:pPr>
      <w:r>
        <w:rPr>
          <w:rFonts w:ascii="Times New Roman" w:cs="Times New Roman" w:eastAsia="Times New Roman" w:hAnsi="Times New Roman"/>
          <w:b/>
          <w:bCs/>
          <w:color w:val="1F4E79"/>
          <w:sz w:val="28"/>
          <w:szCs w:val="28"/>
        </w:rPr>
        <w:t xml:space="preserve">1. Introduction</w:t>
      </w:r>
    </w:p>
    <w:p>
      <w:pPr>
        <w:spacing w:after="160" w:line="276"/>
        <w:jc w:val="both"/>
      </w:pPr>
      <w:r>
        <w:rPr>
          <w:rFonts w:ascii="Times New Roman" w:cs="Times New Roman" w:eastAsia="Times New Roman" w:hAnsi="Times New Roman"/>
          <w:b w:val="false"/>
          <w:bCs w:val="false"/>
          <w:i w:val="false"/>
          <w:iCs w:val="false"/>
          <w:sz w:val="22"/>
          <w:szCs w:val="22"/>
        </w:rPr>
        <w:t xml:space="preserve">Solar energetic particle (SEP) events are among the principal radiation hazards for sustained lunar surface operations. Unlike Earth, the Moon has neither a global magnetic field nor a substantial atmosphere to attenuate incoming protons and heavier ions, so surface assets are exposed to the full unattenuated SEP spectrum except where they are deliberately shielded. Large SEP events are episodic but severe: the August 1972 event, occurring between the Apollo 16 and 17 missions, would have delivered an estimated unshielded blood-forming-organ (BFO) dose on the order of several hundred cSv had astronauts been on the lunar surface at the time (Simonsen et al., 1990), far in excess of the 250 mGy-Eq 30-day BFO limit that NASA uses to bound acute radiation risk (NASA, 2022). Comparable historical events — November 1960 and February 1956 — produced unshielded BFO-dose estimates high enough that, absent shelter, they would have posed an acute health hazard rather than merely an elevated cancer-risk contribution (Simonsen et al., 1990). These events, together with NASA's Artemis-era emphasis on sustained lunar surface presence, motivate renewed attention to surface radiation protection architectures that go beyond the buried, regolith-covered habitat design that has long been the default assumption for fixed lunar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Passive shielding — regolith berms, water walls, polyethylene liners, and analogous hydrogen-rich mass placed between the radiation source and the protected volume — is mass-efficient and technologically mature, and remains the default solution wherever it can physically be deployed. Its limitation is not effectiveness but applicability: a buried or berm-covered habitat is well protected, but a rover traversing kilometers from base, an astronaut on EVA, or distributed sensor and communications infrastructure cannot practically carry, or be covered by, the tens of centimeters of areal density that passive shielding requires for meaningful GCR attenuation, though considerably thinner layers suffice for SEP protons as we quantify in Section 10. This gap has motivated interest in active magnetic shielding, which uses a magnetic field rather than areal mass density to deflect incoming charged particles, potentially at far lower mass for mobile or distributed applications.</w:t>
      </w:r>
    </w:p>
    <w:p>
      <w:pPr>
        <w:spacing w:after="160" w:line="276"/>
        <w:jc w:val="both"/>
      </w:pPr>
      <w:r>
        <w:rPr>
          <w:rFonts w:ascii="Times New Roman" w:cs="Times New Roman" w:eastAsia="Times New Roman" w:hAnsi="Times New Roman"/>
          <w:b w:val="false"/>
          <w:bCs w:val="false"/>
          <w:i w:val="false"/>
          <w:iCs w:val="false"/>
          <w:sz w:val="22"/>
          <w:szCs w:val="22"/>
        </w:rPr>
        <w:t xml:space="preserve">Active magnetic shielding for human spaceflight has a long conceptual history. Early mini-magnetosphere concepts proposed a single strong dipole field around a spacecraft or habitat, standing off the solar wind and energetic particles much as Earth's magnetosphere does at planetary scale (Winglee et al., 2000). Laboratory and computational work by Bamford and collaborators demonstrated the basic plasma physics of an artificial magnetosphere at reduced scale and assessed its potential as a solar-storm shelter for long-duration human missions (Bamford et al., 2008; Bamford et al., 2014). Naturally occurring lunar magnetic anomalies, such as the Reiner Gamma swirl, provide an existence proof that localized magnetic structures at the Moon can measurably stand off solar wind plasma and alter surface weathering patterns, and have been used as a natural laboratory for the same physics that motivates artificial mini-magnetosphere shields (Hood &amp; Schubert, 1980; Deca et al., 2018; Garrick-Bethell et al., 2019). All of this prior work, however, has concentrated on the single monolithic dipole architecture, which concentrates an intense field and a single point of failure at the location it protects, and which — because standoff shielding demands a locally strong field — scales unfavorably to protecting distributed or mobile assets rather than a single fixed installation.</w:t>
      </w:r>
    </w:p>
    <w:p>
      <w:pPr>
        <w:spacing w:after="160" w:line="276"/>
        <w:jc w:val="both"/>
      </w:pPr>
      <w:r>
        <w:rPr>
          <w:rFonts w:ascii="Times New Roman" w:cs="Times New Roman" w:eastAsia="Times New Roman" w:hAnsi="Times New Roman"/>
          <w:b w:val="false"/>
          <w:bCs w:val="false"/>
          <w:i w:val="false"/>
          <w:iCs w:val="false"/>
          <w:sz w:val="22"/>
          <w:szCs w:val="22"/>
        </w:rPr>
        <w:t xml:space="preserve">An earlier physics-focused analysis by the author (Sandler, 2026, archived at Zenodo and previously unpublished in the peer-reviewed literature) introduced and tested an alternative architecture: a distributed perimeter array of modest superconducting coils forming a two-channel fence, which attenuates by repeated small-angle scattering across an extended structured region rather than by a single strong standoff field, in the same qualitative manner that the heliosphere's structured magnetic field attenuates galactic cosmic rays over an extended path rather than by a sharp boundary. That analysis, using a relativistic Boris-pusher test-particle simulation, established that a 22-coil fence matches a monolithic dipole of equal total magnetic moment in SEP attenuation while leaving the protected volume field-free and degrading gracefully under single-coil failure. It reported engineering feasibility only as a first-order point estimate, however, and left two questions unresolved: whether that mass estimate would survive the engineering margins any real system must carry, and whether the underlying moment source needed to be superconducting at all. In its decision letter on the present manuscript's initial submission, the editor of Space Weather identified exactly this gap — reliance on unpublished prior work, insufficient feasibility analysis (launch capacity, cooling, power), and a shielding metric not yet connected to human or technological impact — as the central obstacles to publication, while explicitly encouraging revision and resubmission.</w:t>
      </w:r>
    </w:p>
    <w:p>
      <w:pPr>
        <w:spacing w:after="160" w:line="276"/>
        <w:jc w:val="both"/>
      </w:pPr>
      <w:r>
        <w:rPr>
          <w:rFonts w:ascii="Times New Roman" w:cs="Times New Roman" w:eastAsia="Times New Roman" w:hAnsi="Times New Roman"/>
          <w:b w:val="false"/>
          <w:bCs w:val="false"/>
          <w:i w:val="false"/>
          <w:iCs w:val="false"/>
          <w:sz w:val="22"/>
          <w:szCs w:val="22"/>
        </w:rPr>
        <w:t xml:space="preserve">This revision responds to that guidance directly and is organized to be readable as a self-contained, single study rather than as a sequel. Sections 3–6 present, in full, the shield architectures, simulation method, verification procedure, and baseline attenuation physics that were previously available only in the author's unpublished Zenodo archive; that archive remains cited as the source of the simulation code and as the venue for reproducibility artifacts (Data Availability), but no scientific claim in this manuscript depends on content that is not also reproduced or explained here. Section 2 is new and frames the protection problem by asset class — habitat, fixed equipment, rover, EVA crew, distributed infrastructure — rather than by shielding technology, which sets up the paper's eventual asset-dependent conclusion. Sections 7–9 present the paper's original engineering contributions: a quantitative test of whether permanent magnets can replace the superconducting moment source (Section 7); an in-situ resource utilization (ISRU) architecture substituting regolith-derived structure for Earth-launched structural mass (Section 8); and a propagated engineering mass budget with explicit uncertainty quantification (Section 9). Section 10 is substantially expanded from the original submission and connects the paper's SEP energy-fluence metric to human and technological impact, benchmarking against water-filled wearable shielding, regolith cladding, and storm-shelter concepts using published dose figures, and specifying the transport calculation required to close the remaining gap to a genuine dose-based ranking. Section 11 is new and addresses launch capacity, cryogenic cooling, electrical power, and reliability — the feasibility dimensions the editor identified as insufficiently treated. Section 12 assesses technology readiness by subsystem; Section 13 discusses the paper's results and their implications; Section 14 states limitations and future work; and Section 15 concludes.</w:t>
      </w:r>
    </w:p>
    <w:p>
      <w:pPr>
        <w:pStyle w:val="Heading1"/>
        <w:spacing w:after="160" w:before="320"/>
      </w:pPr>
      <w:r>
        <w:rPr>
          <w:rFonts w:ascii="Times New Roman" w:cs="Times New Roman" w:eastAsia="Times New Roman" w:hAnsi="Times New Roman"/>
          <w:b/>
          <w:bCs/>
          <w:color w:val="1F4E79"/>
          <w:sz w:val="28"/>
          <w:szCs w:val="28"/>
        </w:rPr>
        <w:t xml:space="preserve">2. Radiation Protection Requirements for Lunar Surface Assets</w:t>
      </w:r>
    </w:p>
    <w:p>
      <w:pPr>
        <w:spacing w:after="160" w:line="276"/>
        <w:jc w:val="both"/>
      </w:pPr>
      <w:r>
        <w:rPr>
          <w:rFonts w:ascii="Times New Roman" w:cs="Times New Roman" w:eastAsia="Times New Roman" w:hAnsi="Times New Roman"/>
          <w:b w:val="false"/>
          <w:bCs w:val="false"/>
          <w:i w:val="false"/>
          <w:iCs w:val="false"/>
          <w:sz w:val="22"/>
          <w:szCs w:val="22"/>
        </w:rPr>
        <w:t xml:space="preserve">A recurring source of confusion in comparing active and passive lunar radiation shielding concepts is that different classes of surface asset have fundamentally different constraints on what protection they can carry or be covered by, so that no single shielding technology can be evaluated as universally superior or inferior without specifying which asset it is meant to protect. We define five asset classes used throughout the remainder of this paper.</w:t>
      </w:r>
    </w:p>
    <w:p>
      <w:pPr>
        <w:pStyle w:val="Heading3"/>
        <w:spacing w:after="100" w:before="180"/>
      </w:pPr>
      <w:r>
        <w:rPr>
          <w:rFonts w:ascii="Times New Roman" w:cs="Times New Roman" w:eastAsia="Times New Roman" w:hAnsi="Times New Roman"/>
          <w:b/>
          <w:bCs/>
          <w:i/>
          <w:iCs/>
          <w:sz w:val="22"/>
          <w:szCs w:val="22"/>
        </w:rPr>
        <w:t xml:space="preserve">Permanent, fixed habitats</w:t>
      </w:r>
    </w:p>
    <w:p>
      <w:pPr>
        <w:spacing w:after="160" w:line="276"/>
        <w:jc w:val="both"/>
      </w:pPr>
      <w:r>
        <w:rPr>
          <w:rFonts w:ascii="Times New Roman" w:cs="Times New Roman" w:eastAsia="Times New Roman" w:hAnsi="Times New Roman"/>
          <w:b w:val="false"/>
          <w:bCs w:val="false"/>
          <w:i w:val="false"/>
          <w:iCs w:val="false"/>
          <w:sz w:val="22"/>
          <w:szCs w:val="22"/>
        </w:rPr>
        <w:t xml:space="preserve">A permanently occupied habitat is, by construction, immobile and typically co-located with the largest concentration of Earth-launched infrastructure at a lunar base. It can be covered by regolith berms, buried entirely, or clad with locally sourced shielding mass without materially affecting its operational function, because the habitat does not need to move. This is the asset class for which passive shielding is least constrained and, as Section 10 quantifies, most mass-efficient.</w:t>
      </w:r>
    </w:p>
    <w:p>
      <w:pPr>
        <w:pStyle w:val="Heading3"/>
        <w:spacing w:after="100" w:before="180"/>
      </w:pPr>
      <w:r>
        <w:rPr>
          <w:rFonts w:ascii="Times New Roman" w:cs="Times New Roman" w:eastAsia="Times New Roman" w:hAnsi="Times New Roman"/>
          <w:b/>
          <w:bCs/>
          <w:i/>
          <w:iCs/>
          <w:sz w:val="22"/>
          <w:szCs w:val="22"/>
        </w:rPr>
        <w:t xml:space="preserve">Fixed, non-mobile surface equipment</w:t>
      </w:r>
    </w:p>
    <w:p>
      <w:pPr>
        <w:spacing w:after="160" w:line="276"/>
        <w:jc w:val="both"/>
      </w:pPr>
      <w:r>
        <w:rPr>
          <w:rFonts w:ascii="Times New Roman" w:cs="Times New Roman" w:eastAsia="Times New Roman" w:hAnsi="Times New Roman"/>
          <w:b w:val="false"/>
          <w:bCs w:val="false"/>
          <w:i w:val="false"/>
          <w:iCs w:val="false"/>
          <w:sz w:val="22"/>
          <w:szCs w:val="22"/>
        </w:rPr>
        <w:t xml:space="preserve">Power generation equipment, communications relays, in-situ resource utilization plant, and similar fixed infrastructure share the habitat's immobility but not necessarily its tolerance for being buried or fully enclosed: some fixed equipment requires unobstructed sightlines (antennas, solar collectors) or active thermal rejection (radiators) that a thick regolith overburden would compromise. Thin regolith cladding, rather than full burial, is the relevant passive option for this class, and Section 10 shows that even a few centimeters is highly effective against the SEP proton spectrum specifically, though not against galactic cosmic rays, which require much greater areal density.</w:t>
      </w:r>
    </w:p>
    <w:p>
      <w:pPr>
        <w:pStyle w:val="Heading3"/>
        <w:spacing w:after="100" w:before="180"/>
      </w:pPr>
      <w:r>
        <w:rPr>
          <w:rFonts w:ascii="Times New Roman" w:cs="Times New Roman" w:eastAsia="Times New Roman" w:hAnsi="Times New Roman"/>
          <w:b/>
          <w:bCs/>
          <w:i/>
          <w:iCs/>
          <w:sz w:val="22"/>
          <w:szCs w:val="22"/>
        </w:rPr>
        <w:t xml:space="preserve">Mobile surface assets (rovers)</w:t>
      </w:r>
    </w:p>
    <w:p>
      <w:pPr>
        <w:spacing w:after="160" w:line="276"/>
        <w:jc w:val="both"/>
      </w:pPr>
      <w:r>
        <w:rPr>
          <w:rFonts w:ascii="Times New Roman" w:cs="Times New Roman" w:eastAsia="Times New Roman" w:hAnsi="Times New Roman"/>
          <w:b w:val="false"/>
          <w:bCs w:val="false"/>
          <w:i w:val="false"/>
          <w:iCs w:val="false"/>
          <w:sz w:val="22"/>
          <w:szCs w:val="22"/>
        </w:rPr>
        <w:t xml:space="preserve">A rover must retain mobility, payload margin, and unobstructed sensor and communication apertures, all of which are compromised by adding centimeters of areal shielding mass. A rover's cabin can incorporate modest local shielding (e.g., a shielded core sufficient for storm-shelter use during transit), but comprehensive passive shielding of the entire vehicle is generally impractical. This is the first asset class for which an area-covering active shield, rather than a locally carried mass, becomes attractive in principle.</w:t>
      </w:r>
    </w:p>
    <w:p>
      <w:pPr>
        <w:pStyle w:val="Heading3"/>
        <w:spacing w:after="100" w:before="180"/>
      </w:pPr>
      <w:r>
        <w:rPr>
          <w:rFonts w:ascii="Times New Roman" w:cs="Times New Roman" w:eastAsia="Times New Roman" w:hAnsi="Times New Roman"/>
          <w:b/>
          <w:bCs/>
          <w:i/>
          <w:iCs/>
          <w:sz w:val="22"/>
          <w:szCs w:val="22"/>
        </w:rPr>
        <w:t xml:space="preserve">Extravehicular (EVA) crew</w:t>
      </w:r>
    </w:p>
    <w:p>
      <w:pPr>
        <w:spacing w:after="160" w:line="276"/>
        <w:jc w:val="both"/>
      </w:pPr>
      <w:r>
        <w:rPr>
          <w:rFonts w:ascii="Times New Roman" w:cs="Times New Roman" w:eastAsia="Times New Roman" w:hAnsi="Times New Roman"/>
          <w:b w:val="false"/>
          <w:bCs w:val="false"/>
          <w:i w:val="false"/>
          <w:iCs w:val="false"/>
          <w:sz w:val="22"/>
          <w:szCs w:val="22"/>
        </w:rPr>
        <w:t xml:space="preserve">An astronaut on EVA is the most constrained asset class: suit mass budgets are dominated by life support, mobility, and thermal control, leaving little margin for radiation shielding mass. Wearable shielding concepts such as the AstroRad vest partially address this by concentrating available shielding mass around the most radiosensitive organs rather than distributing it uniformly (see Section 10.3), but a vest's areal coverage and thickness are fundamentally bounded by what a suited crew member can wear and still perform useful work. EVA crew, like rovers, are protected only by whatever fixed or mobile shielding infrastructure they can retreat to, plus whatever they carry.</w:t>
      </w:r>
    </w:p>
    <w:p>
      <w:pPr>
        <w:pStyle w:val="Heading3"/>
        <w:spacing w:after="100" w:before="180"/>
      </w:pPr>
      <w:r>
        <w:rPr>
          <w:rFonts w:ascii="Times New Roman" w:cs="Times New Roman" w:eastAsia="Times New Roman" w:hAnsi="Times New Roman"/>
          <w:b/>
          <w:bCs/>
          <w:i/>
          <w:iCs/>
          <w:sz w:val="22"/>
          <w:szCs w:val="22"/>
        </w:rPr>
        <w:t xml:space="preserve">Distributed surface infrastructure</w:t>
      </w:r>
    </w:p>
    <w:p>
      <w:pPr>
        <w:spacing w:after="160" w:line="276"/>
        <w:jc w:val="both"/>
      </w:pPr>
      <w:r>
        <w:rPr>
          <w:rFonts w:ascii="Times New Roman" w:cs="Times New Roman" w:eastAsia="Times New Roman" w:hAnsi="Times New Roman"/>
          <w:b w:val="false"/>
          <w:bCs w:val="false"/>
          <w:i w:val="false"/>
          <w:iCs w:val="false"/>
          <w:sz w:val="22"/>
          <w:szCs w:val="22"/>
        </w:rPr>
        <w:t xml:space="preserve">Sensor networks, cabling, and other spatially extended but individually low-value infrastructure elements are numerous enough that cladding each in regolith is a substantial, repeated construction burden, even though any individual element's protection requirement is modest. An area-covering shield that protects an entire perimeter, rather than each asset individually, is potentially attractive here on logistical rather than purely mass grounds.</w:t>
      </w:r>
    </w:p>
    <w:p>
      <w:pPr>
        <w:spacing w:after="160" w:line="276"/>
        <w:jc w:val="both"/>
      </w:pPr>
      <w:r>
        <w:rPr>
          <w:rFonts w:ascii="Times New Roman" w:cs="Times New Roman" w:eastAsia="Times New Roman" w:hAnsi="Times New Roman"/>
          <w:b w:val="false"/>
          <w:bCs w:val="false"/>
          <w:i w:val="false"/>
          <w:iCs w:val="false"/>
          <w:sz w:val="22"/>
          <w:szCs w:val="22"/>
        </w:rPr>
        <w:t xml:space="preserve">This taxonomy motivates the paper's central architectural question, addressed quantitatively in Sections 8–10 and stated as a conclusion in Section 13: rather than asking which shielding technology is best, the more productive question is which technology is best for which asset, since the constraint that makes passive shielding attractive for fixed assets (they can be covered without operational penalty) is precisely the constraint that mobile and EVA assets cannot satisfy, and it is exactly this latter population for which an area-covering active shield has a distinct, non-substitutable role.</w:t>
      </w:r>
    </w:p>
    <w:p>
      <w:pPr>
        <w:pStyle w:val="Heading1"/>
        <w:spacing w:after="160" w:before="320"/>
      </w:pPr>
      <w:r>
        <w:rPr>
          <w:rFonts w:ascii="Times New Roman" w:cs="Times New Roman" w:eastAsia="Times New Roman" w:hAnsi="Times New Roman"/>
          <w:b/>
          <w:bCs/>
          <w:color w:val="1F4E79"/>
          <w:sz w:val="28"/>
          <w:szCs w:val="28"/>
        </w:rPr>
        <w:t xml:space="preserve">3. Shield Architectures</w:t>
      </w:r>
    </w:p>
    <w:p>
      <w:pPr>
        <w:spacing w:after="160" w:line="276"/>
        <w:jc w:val="both"/>
      </w:pPr>
      <w:r>
        <w:rPr>
          <w:rFonts w:ascii="Times New Roman" w:cs="Times New Roman" w:eastAsia="Times New Roman" w:hAnsi="Times New Roman"/>
          <w:b w:val="false"/>
          <w:bCs w:val="false"/>
          <w:i w:val="false"/>
          <w:iCs w:val="false"/>
          <w:sz w:val="22"/>
          <w:szCs w:val="22"/>
        </w:rPr>
        <w:t xml:space="preserve">The physical distinction between magnetic-shielding architectures is set by a single length scale, the proton gyroradius r_g = p/(qB), where p is proton momentum, q is charge, and B is local field strength. A standoff shield defeats a particle in essentially one encounter by making the gyroradius locally small compared with the shield's standoff distance from the protected volume; because the deflection must be accomplished over a short distance, this demands a strong field and hence a compact, monolithic source. A scattering shield instead defeats a particle statistically, through many deflections of order one gyroradius accumulated across an extended, spatially structured region; because the cumulative effect of many weak deflections can equal one strong deflection, this permits a much weaker field per source, provided the sources are spaced no farther apart than roughly a gyroradius at the energy of interest. Both classes of shield behave as low-pass filters in magnetic rigidity: full attenuation at low proton energy, a transition (“knee”) energy at which roughly half the incident flux is transmitted, and increasing transparency above the knee as the gyroradius grows beyond the structural scale of the shield.</w:t>
      </w:r>
    </w:p>
    <w:p>
      <w:pPr>
        <w:spacing w:after="160" w:line="276"/>
        <w:jc w:val="both"/>
      </w:pPr>
      <w:r>
        <w:rPr>
          <w:rFonts w:ascii="Times New Roman" w:cs="Times New Roman" w:eastAsia="Times New Roman" w:hAnsi="Times New Roman"/>
          <w:b w:val="false"/>
          <w:bCs w:val="false"/>
          <w:i w:val="false"/>
          <w:iCs w:val="false"/>
          <w:sz w:val="22"/>
          <w:szCs w:val="22"/>
        </w:rPr>
        <w:t xml:space="preserve">We compare three configurations at an identical total moment budget Σ|m| = M0 = 4×10¹⁰ A·m², chosen to be representative of a REBCO high-temperature superconducting coil system sized for lunar surface deployment: (A) a monolith, in which the full moment resides in a single vertical dipole located at the protected habitat, representing the traditional mini-magnetosphere concept; (B) a distributed array of 22 dipoles arranged as two parallel fences 200 m apart, with 11 sites per fence at 100 m spacing and alternating magnetic polarity along each fence, representing the scattering-shield alternative; and (C) a chiral variant of the array in which the dipole moments are rotated helically along the fence rather than alternating in a simple two-state pattern, introduced to test for a handedness-selective transport effect (Section 6.3). The two-fence, alternating-polarity geometry of (B) is chosen so that a particle threading the corridor between the fences encounters oppositely directed deflections in sequence, which increases the effective path length over which scattering accumulates relative to a single fence line.</w:t>
      </w:r>
    </w:p>
    <w:p>
      <w:pPr>
        <w:pStyle w:val="Heading1"/>
        <w:spacing w:after="160" w:before="320"/>
      </w:pPr>
      <w:r>
        <w:rPr>
          <w:rFonts w:ascii="Times New Roman" w:cs="Times New Roman" w:eastAsia="Times New Roman" w:hAnsi="Times New Roman"/>
          <w:b/>
          <w:bCs/>
          <w:color w:val="1F4E79"/>
          <w:sz w:val="28"/>
          <w:szCs w:val="28"/>
        </w:rPr>
        <w:t xml:space="preserve">4. Particle Simulation Method</w:t>
      </w:r>
    </w:p>
    <w:p>
      <w:pPr>
        <w:spacing w:after="160" w:line="276"/>
        <w:jc w:val="both"/>
      </w:pPr>
      <w:r>
        <w:rPr>
          <w:rFonts w:ascii="Times New Roman" w:cs="Times New Roman" w:eastAsia="Times New Roman" w:hAnsi="Times New Roman"/>
          <w:b w:val="false"/>
          <w:bCs w:val="false"/>
          <w:i w:val="false"/>
          <w:iCs w:val="false"/>
          <w:sz w:val="22"/>
          <w:szCs w:val="22"/>
        </w:rPr>
        <w:t xml:space="preserve">Each magnetic source is modeled as a softened point dipole, B(r) = (μ0/4π)[3(m·r̂)r̂ − m]/(r² + a²)^{3/2}, with softening length a = 25 m representing the finite physical extent of a real coil and avoiding the unphysical divergence of an ideal point dipole at short range. Protons are advanced using the relativistic Boris algorithm (Boris, 1970), a leapfrog-type integrator that separates the electric and magnetic force updates and rotates the momentum vector about the local magnetic field direction; because this rotation exactly conserves particle speed (and hence relativistic Lorentz factor) at each step by construction, the scheme is well suited to long-duration magnetic-only particle tracking where energy-conservation errors would otherwise accumulate. The integration time step is adaptive, dt = min(T_g/25, 10 m/v), where T_g is the local gyroperiod and v is particle speed; this choice ensures at least 25 steps are taken per gyro-orbit in strong-field regions while preventing excessively short steps from being wasted in weak-field regions where the spatial-resolution criterion instead dominates.</w:t>
      </w:r>
    </w:p>
    <w:p>
      <w:pPr>
        <w:spacing w:after="160" w:line="276"/>
        <w:jc w:val="both"/>
      </w:pPr>
      <w:r>
        <w:rPr>
          <w:rFonts w:ascii="Times New Roman" w:cs="Times New Roman" w:eastAsia="Times New Roman" w:hAnsi="Times New Roman"/>
          <w:b w:val="false"/>
          <w:bCs w:val="false"/>
          <w:i w:val="false"/>
          <w:iCs w:val="false"/>
          <w:sz w:val="22"/>
          <w:szCs w:val="22"/>
        </w:rPr>
        <w:t xml:space="preserve">For each configuration and incident proton energy, N protons are launched as an aimed pencil beam from x = −900 m toward a 60 m protected zone centered at the origin. In the field-free (no shield) case, this beam geometry gives 100% transmission by construction, so any reported transmission fraction below unity is directly attributable to the shield's leakage rather than to beam divergence or geometric loss. We adopt the aimed-beam geometry deliberately as a conservative, bounding choice: a normally incident pencil beam aimed directly along a line of sight to the protected zone probes the fence's weakest apertures head-on, whereas a more realistic isotropic or broad-angle incidence would average over many lines of sight, including well-shielded ones, and is expected to lower, not raise, the reported transmission. The reported transmission values in this paper should therefore be read as upper bounds on true operational leakage under realistic incidence conditions. Baseline runs use N = 500–1000 protons per energy point, which by binomial counting statistics gives a 95% confidence half-width on the transmission fraction of no more than ±0.045.</w:t>
      </w:r>
    </w:p>
    <w:p>
      <w:pPr>
        <w:pStyle w:val="Heading1"/>
        <w:spacing w:after="160" w:before="320"/>
      </w:pPr>
      <w:r>
        <w:rPr>
          <w:rFonts w:ascii="Times New Roman" w:cs="Times New Roman" w:eastAsia="Times New Roman" w:hAnsi="Times New Roman"/>
          <w:b/>
          <w:bCs/>
          <w:color w:val="1F4E79"/>
          <w:sz w:val="28"/>
          <w:szCs w:val="28"/>
        </w:rPr>
        <w:t xml:space="preserve">5. Numerical Verification and Convergence</w:t>
      </w:r>
    </w:p>
    <w:p>
      <w:pPr>
        <w:spacing w:after="160" w:line="276"/>
        <w:jc w:val="both"/>
      </w:pPr>
      <w:r>
        <w:rPr>
          <w:rFonts w:ascii="Times New Roman" w:cs="Times New Roman" w:eastAsia="Times New Roman" w:hAnsi="Times New Roman"/>
          <w:b w:val="false"/>
          <w:bCs w:val="false"/>
          <w:i w:val="false"/>
          <w:iCs w:val="false"/>
          <w:sz w:val="22"/>
          <w:szCs w:val="22"/>
        </w:rPr>
        <w:t xml:space="preserve">Three independent checks establish the numerical reliability of the simulation before it is used to compare shielding architectures. First, against the analytic gyroradius solution for a proton in a uniform magnetic field, the Boris integrator converges quadratically in time step, from a 4.7% radius error at 10 integration steps per gyroperiod down to 0.05% error at 100 steps per gyroperiod; the production setting used throughout this paper, 25 steps per gyroperiod, gives 0.8% radius error, and momentum magnitude — which the Boris algorithm conserves exactly in the absence of numerical error — is conserved to 1 part in 10¹⁵ at all tested settings, confirming that the observed radius error is a genuine time-discretization effect rather than an implementation bug. Second, the reported transmission fraction at a representative test energy of 10 MeV is insensitive to the time-step setting across a threefold range (T = 0.046, 0.046, and 0.048 at 10, 25, and 50 steps per gyroperiod respectively), confirming that the production time-step setting is adequately converged for the shielding metric of interest, not merely for the idealized single-particle orbit test. Third, transmission is stable in particle count: the seed-to-seed spread in the Monte Carlo transmission estimate shrinks from ±0.033 at N = 100 to ±0.005 at N ≥ 500, consistent with the 1/√N scaling expected of binomial counting statistics, which further confirms that the reported confidence intervals in Table 1 are not underestimates arising from an unrepresented source of variance.</w:t>
      </w:r>
    </w:p>
    <w:p>
      <w:pPr>
        <w:spacing w:after="160" w:line="276"/>
        <w:jc w:val="both"/>
      </w:pPr>
      <w:r>
        <w:rPr>
          <w:rFonts w:ascii="Times New Roman" w:cs="Times New Roman" w:eastAsia="Times New Roman" w:hAnsi="Times New Roman"/>
          <w:b w:val="false"/>
          <w:bCs w:val="false"/>
          <w:i w:val="false"/>
          <w:iCs w:val="false"/>
          <w:sz w:val="22"/>
          <w:szCs w:val="22"/>
        </w:rPr>
        <w:t xml:space="preserve">Taken together, these three checks establish that the reported transmission fractions in Section 6 reflect the physics of the modeled fields and beam geometry to within the stated statistical uncertainty, rather than artifacts of time discretization, algorithmic non-conservation, or under-sampled Monte Carlo variance.</w:t>
      </w:r>
    </w:p>
    <w:p>
      <w:pPr>
        <w:pStyle w:val="Heading1"/>
        <w:spacing w:after="160" w:before="320"/>
      </w:pPr>
      <w:r>
        <w:rPr>
          <w:rFonts w:ascii="Times New Roman" w:cs="Times New Roman" w:eastAsia="Times New Roman" w:hAnsi="Times New Roman"/>
          <w:b/>
          <w:bCs/>
          <w:color w:val="1F4E79"/>
          <w:sz w:val="28"/>
          <w:szCs w:val="28"/>
        </w:rPr>
        <w:t xml:space="preserve">6. Shielding Performance: Baseline Comparison, Scaling Laws, and Helical Winding</w:t>
      </w:r>
    </w:p>
    <w:p>
      <w:pPr>
        <w:pStyle w:val="Heading2"/>
        <w:spacing w:after="120" w:before="240"/>
      </w:pPr>
      <w:r>
        <w:rPr>
          <w:rFonts w:ascii="Times New Roman" w:cs="Times New Roman" w:eastAsia="Times New Roman" w:hAnsi="Times New Roman"/>
          <w:b/>
          <w:bCs/>
          <w:color w:val="1F4E79"/>
          <w:sz w:val="24"/>
          <w:szCs w:val="24"/>
        </w:rPr>
        <w:t xml:space="preserve">6.1 Baseline attenuation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Table 1 reports transmission to the protected zone as a function of incident proton kinetic energy for the monolithic dipole (A) and the two-channel distributed array (B), each at the common moment budget M0. Both architectures are essentially opaque through 3 MeV, pass roughly 5% of incident flux at 10 MeV, 30–40% at 30 MeV, and 65% at 100 MeV, confirming that at equal moment budget the distributed fence provides essentially the same rigidity filter as the monolithic dipole despite its qualitatively different field topology.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900"/>
        <w:gridCol w:w="1200"/>
      </w:tblGrid>
      <w:tr>
        <w:tc>
          <w:tcPr>
            <w:tcW w:type="dxa" w:w="2400"/>
            <w:shd w:fill="DCE6F1" w:val="clear"/>
          </w:tcPr>
          <w:p>
            <w:pPr>
              <w:jc w:val="left"/>
            </w:pPr>
            <w:r>
              <w:rPr>
                <w:rFonts w:ascii="Times New Roman" w:cs="Times New Roman" w:eastAsia="Times New Roman" w:hAnsi="Times New Roman"/>
                <w:b/>
                <w:bCs/>
                <w:sz w:val="20"/>
                <w:szCs w:val="20"/>
              </w:rPr>
              <w:t xml:space="preserve">Geometry \ E (MeV)</w:t>
            </w:r>
          </w:p>
        </w:tc>
        <w:tc>
          <w:tcPr>
            <w:tcW w:type="dxa" w:w="900"/>
            <w:shd w:fill="DCE6F1" w:val="clear"/>
          </w:tcPr>
          <w:p>
            <w:pPr>
              <w:jc w:val="left"/>
            </w:pPr>
            <w:r>
              <w:rPr>
                <w:rFonts w:ascii="Times New Roman" w:cs="Times New Roman" w:eastAsia="Times New Roman" w:hAnsi="Times New Roman"/>
                <w:b/>
                <w:bCs/>
                <w:sz w:val="20"/>
                <w:szCs w:val="20"/>
              </w:rPr>
              <w:t xml:space="preserve">0.1</w:t>
            </w:r>
          </w:p>
        </w:tc>
        <w:tc>
          <w:tcPr>
            <w:tcW w:type="dxa" w:w="900"/>
            <w:shd w:fill="DCE6F1" w:val="clear"/>
          </w:tcPr>
          <w:p>
            <w:pPr>
              <w:jc w:val="left"/>
            </w:pPr>
            <w:r>
              <w:rPr>
                <w:rFonts w:ascii="Times New Roman" w:cs="Times New Roman" w:eastAsia="Times New Roman" w:hAnsi="Times New Roman"/>
                <w:b/>
                <w:bCs/>
                <w:sz w:val="20"/>
                <w:szCs w:val="20"/>
              </w:rPr>
              <w:t xml:space="preserve">0.3</w:t>
            </w:r>
          </w:p>
        </w:tc>
        <w:tc>
          <w:tcPr>
            <w:tcW w:type="dxa" w:w="900"/>
            <w:shd w:fill="DCE6F1" w:val="clear"/>
          </w:tcPr>
          <w:p>
            <w:pPr>
              <w:jc w:val="left"/>
            </w:pPr>
            <w:r>
              <w:rPr>
                <w:rFonts w:ascii="Times New Roman" w:cs="Times New Roman" w:eastAsia="Times New Roman" w:hAnsi="Times New Roman"/>
                <w:b/>
                <w:bCs/>
                <w:sz w:val="20"/>
                <w:szCs w:val="20"/>
              </w:rPr>
              <w:t xml:space="preserve">1</w:t>
            </w:r>
          </w:p>
        </w:tc>
        <w:tc>
          <w:tcPr>
            <w:tcW w:type="dxa" w:w="900"/>
            <w:shd w:fill="DCE6F1" w:val="clear"/>
          </w:tcPr>
          <w:p>
            <w:pPr>
              <w:jc w:val="left"/>
            </w:pPr>
            <w:r>
              <w:rPr>
                <w:rFonts w:ascii="Times New Roman" w:cs="Times New Roman" w:eastAsia="Times New Roman" w:hAnsi="Times New Roman"/>
                <w:b/>
                <w:bCs/>
                <w:sz w:val="20"/>
                <w:szCs w:val="20"/>
              </w:rPr>
              <w:t xml:space="preserve">3</w:t>
            </w:r>
          </w:p>
        </w:tc>
        <w:tc>
          <w:tcPr>
            <w:tcW w:type="dxa" w:w="900"/>
            <w:shd w:fill="DCE6F1" w:val="clear"/>
          </w:tcPr>
          <w:p>
            <w:pPr>
              <w:jc w:val="left"/>
            </w:pPr>
            <w:r>
              <w:rPr>
                <w:rFonts w:ascii="Times New Roman" w:cs="Times New Roman" w:eastAsia="Times New Roman" w:hAnsi="Times New Roman"/>
                <w:b/>
                <w:bCs/>
                <w:sz w:val="20"/>
                <w:szCs w:val="20"/>
              </w:rPr>
              <w:t xml:space="preserve">10</w:t>
            </w:r>
          </w:p>
        </w:tc>
        <w:tc>
          <w:tcPr>
            <w:tcW w:type="dxa" w:w="900"/>
            <w:shd w:fill="DCE6F1" w:val="clear"/>
          </w:tcPr>
          <w:p>
            <w:pPr>
              <w:jc w:val="left"/>
            </w:pPr>
            <w:r>
              <w:rPr>
                <w:rFonts w:ascii="Times New Roman" w:cs="Times New Roman" w:eastAsia="Times New Roman" w:hAnsi="Times New Roman"/>
                <w:b/>
                <w:bCs/>
                <w:sz w:val="20"/>
                <w:szCs w:val="20"/>
              </w:rPr>
              <w:t xml:space="preserve">30</w:t>
            </w:r>
          </w:p>
        </w:tc>
        <w:tc>
          <w:tcPr>
            <w:tcW w:type="dxa" w:w="1200"/>
            <w:shd w:fill="DCE6F1" w:val="clear"/>
          </w:tcPr>
          <w:p>
            <w:pPr>
              <w:jc w:val="left"/>
            </w:pPr>
            <w:r>
              <w:rPr>
                <w:rFonts w:ascii="Times New Roman" w:cs="Times New Roman" w:eastAsia="Times New Roman" w:hAnsi="Times New Roman"/>
                <w:b/>
                <w:bCs/>
                <w:sz w:val="20"/>
                <w:szCs w:val="20"/>
              </w:rPr>
              <w:t xml:space="preserve">100</w:t>
            </w:r>
          </w:p>
        </w:tc>
      </w:tr>
      <w:tr>
        <w:tc>
          <w:tcPr>
            <w:tcW w:type="dxa" w:w="2400"/>
          </w:tcPr>
          <w:p>
            <w:pPr>
              <w:jc w:val="left"/>
            </w:pPr>
            <w:r>
              <w:rPr>
                <w:rFonts w:ascii="Times New Roman" w:cs="Times New Roman" w:eastAsia="Times New Roman" w:hAnsi="Times New Roman"/>
                <w:b w:val="false"/>
                <w:bCs w:val="false"/>
                <w:sz w:val="20"/>
                <w:szCs w:val="20"/>
              </w:rPr>
              <w:t xml:space="preserve">Monolithic dipole</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0.000</w:t>
            </w:r>
          </w:p>
        </w:tc>
        <w:tc>
          <w:tcPr>
            <w:tcW w:type="dxa" w:w="900"/>
          </w:tcPr>
          <w:p>
            <w:pPr>
              <w:jc w:val="left"/>
            </w:pPr>
            <w:r>
              <w:rPr>
                <w:rFonts w:ascii="Times New Roman" w:cs="Times New Roman" w:eastAsia="Times New Roman" w:hAnsi="Times New Roman"/>
                <w:b w:val="false"/>
                <w:bCs w:val="false"/>
                <w:sz w:val="20"/>
                <w:szCs w:val="20"/>
              </w:rPr>
              <w:t xml:space="preserve">0.048</w:t>
            </w:r>
          </w:p>
        </w:tc>
        <w:tc>
          <w:tcPr>
            <w:tcW w:type="dxa" w:w="900"/>
          </w:tcPr>
          <w:p>
            <w:pPr>
              <w:jc w:val="left"/>
            </w:pPr>
            <w:r>
              <w:rPr>
                <w:rFonts w:ascii="Times New Roman" w:cs="Times New Roman" w:eastAsia="Times New Roman" w:hAnsi="Times New Roman"/>
                <w:b w:val="false"/>
                <w:bCs w:val="false"/>
                <w:sz w:val="20"/>
                <w:szCs w:val="20"/>
              </w:rPr>
              <w:t xml:space="preserve">0.388</w:t>
            </w:r>
          </w:p>
        </w:tc>
        <w:tc>
          <w:tcPr>
            <w:tcW w:type="dxa" w:w="1200"/>
          </w:tcPr>
          <w:p>
            <w:pPr>
              <w:jc w:val="left"/>
            </w:pPr>
            <w:r>
              <w:rPr>
                <w:rFonts w:ascii="Times New Roman" w:cs="Times New Roman" w:eastAsia="Times New Roman" w:hAnsi="Times New Roman"/>
                <w:b w:val="false"/>
                <w:bCs w:val="false"/>
                <w:sz w:val="20"/>
                <w:szCs w:val="20"/>
              </w:rPr>
              <w:t xml:space="preserve">0.654</w:t>
            </w:r>
          </w:p>
        </w:tc>
      </w:tr>
      <w:tr>
        <w:tc>
          <w:tcPr>
            <w:tcW w:type="dxa" w:w="2400"/>
          </w:tcPr>
          <w:p>
            <w:pPr>
              <w:jc w:val="left"/>
            </w:pPr>
            <w:r>
              <w:rPr>
                <w:rFonts w:ascii="Times New Roman" w:cs="Times New Roman" w:eastAsia="Times New Roman" w:hAnsi="Times New Roman"/>
                <w:b w:val="false"/>
                <w:bCs w:val="false"/>
                <w:sz w:val="20"/>
                <w:szCs w:val="20"/>
              </w:rPr>
              <w:t xml:space="preserve">Distributed array (2-channel)</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0.010</w:t>
            </w:r>
          </w:p>
        </w:tc>
        <w:tc>
          <w:tcPr>
            <w:tcW w:type="dxa" w:w="900"/>
          </w:tcPr>
          <w:p>
            <w:pPr>
              <w:jc w:val="left"/>
            </w:pPr>
            <w:r>
              <w:rPr>
                <w:rFonts w:ascii="Times New Roman" w:cs="Times New Roman" w:eastAsia="Times New Roman" w:hAnsi="Times New Roman"/>
                <w:b w:val="false"/>
                <w:bCs w:val="false"/>
                <w:sz w:val="20"/>
                <w:szCs w:val="20"/>
              </w:rPr>
              <w:t xml:space="preserve">0.006</w:t>
            </w:r>
          </w:p>
        </w:tc>
        <w:tc>
          <w:tcPr>
            <w:tcW w:type="dxa" w:w="900"/>
          </w:tcPr>
          <w:p>
            <w:pPr>
              <w:jc w:val="left"/>
            </w:pPr>
            <w:r>
              <w:rPr>
                <w:rFonts w:ascii="Times New Roman" w:cs="Times New Roman" w:eastAsia="Times New Roman" w:hAnsi="Times New Roman"/>
                <w:b w:val="false"/>
                <w:bCs w:val="false"/>
                <w:sz w:val="20"/>
                <w:szCs w:val="20"/>
              </w:rPr>
              <w:t xml:space="preserve">0.012</w:t>
            </w:r>
          </w:p>
        </w:tc>
        <w:tc>
          <w:tcPr>
            <w:tcW w:type="dxa" w:w="900"/>
          </w:tcPr>
          <w:p>
            <w:pPr>
              <w:jc w:val="left"/>
            </w:pPr>
            <w:r>
              <w:rPr>
                <w:rFonts w:ascii="Times New Roman" w:cs="Times New Roman" w:eastAsia="Times New Roman" w:hAnsi="Times New Roman"/>
                <w:b w:val="false"/>
                <w:bCs w:val="false"/>
                <w:sz w:val="20"/>
                <w:szCs w:val="20"/>
              </w:rPr>
              <w:t xml:space="preserve">0.066</w:t>
            </w:r>
          </w:p>
        </w:tc>
        <w:tc>
          <w:tcPr>
            <w:tcW w:type="dxa" w:w="900"/>
          </w:tcPr>
          <w:p>
            <w:pPr>
              <w:jc w:val="left"/>
            </w:pPr>
            <w:r>
              <w:rPr>
                <w:rFonts w:ascii="Times New Roman" w:cs="Times New Roman" w:eastAsia="Times New Roman" w:hAnsi="Times New Roman"/>
                <w:b w:val="false"/>
                <w:bCs w:val="false"/>
                <w:sz w:val="20"/>
                <w:szCs w:val="20"/>
              </w:rPr>
              <w:t xml:space="preserve">0.290</w:t>
            </w:r>
          </w:p>
        </w:tc>
        <w:tc>
          <w:tcPr>
            <w:tcW w:type="dxa" w:w="1200"/>
          </w:tcPr>
          <w:p>
            <w:pPr>
              <w:jc w:val="left"/>
            </w:pPr>
            <w:r>
              <w:rPr>
                <w:rFonts w:ascii="Times New Roman" w:cs="Times New Roman" w:eastAsia="Times New Roman" w:hAnsi="Times New Roman"/>
                <w:b w:val="false"/>
                <w:bCs w:val="false"/>
                <w:sz w:val="20"/>
                <w:szCs w:val="20"/>
              </w:rPr>
              <w:t xml:space="preserve">0.646</w:t>
            </w:r>
          </w:p>
        </w:tc>
      </w:tr>
    </w:tbl>
    <w:p>
      <w:pPr>
        <w:spacing w:after="240" w:before="60"/>
      </w:pPr>
      <w:r>
        <w:rPr>
          <w:rFonts w:ascii="Times New Roman" w:cs="Times New Roman" w:eastAsia="Times New Roman" w:hAnsi="Times New Roman"/>
          <w:i/>
          <w:iCs/>
          <w:sz w:val="20"/>
          <w:szCs w:val="20"/>
        </w:rPr>
        <w:t xml:space="preserve">Table 1. Transmission to the protected zone vs. proton kinetic energy (N = 500 per point; 95% CI ≤ ±0.045).</w:t>
      </w:r>
    </w:p>
    <w:p>
      <w:pPr>
        <w:spacing w:after="160" w:line="276"/>
        <w:jc w:val="both"/>
      </w:pPr>
      <w:r>
        <w:rPr>
          <w:rFonts w:ascii="Times New Roman" w:cs="Times New Roman" w:eastAsia="Times New Roman" w:hAnsi="Times New Roman"/>
          <w:b w:val="false"/>
          <w:bCs w:val="false"/>
          <w:i w:val="false"/>
          <w:iCs w:val="false"/>
          <w:sz w:val="22"/>
          <w:szCs w:val="22"/>
        </w:rPr>
        <w:t xml:space="preserve">The array shows a small (≤1.2%) low-energy leakage absent in the monolith, arising from flux threading the geometric gaps between individual fence sites rather than from any weakness of the scattering mechanism itself; this leakage is the physical basis of the site-spacing design rule discussed in Section 6.2. The operational differences between the two architectures favor the array regardless of the near-parity in raw transmission: the protected volume is entirely field-free rather than immersed in the strong field a monolithic dipole would require at the habitat, no single component failure collapses the shield's function because the moment budget is spread across 22 independent sources, and each individual coil is an order of magnitude weaker in field and stored energy than the monolith would require, and correspondingly safer and simpler to fabricate, transport, and service on the lunar surface. Folded through a representative soft SEP spectrum, J(E) ∝ exp(−E/30 MeV)/E, chosen to be broadly representative of a moderately hard SEP event's energy distribution, the distributed array removes 94.9% of proton number fluence and 75.4% of energy fluence reaching the protected zone, while the monolith removes 95.1% and 72.2% respectively; the two architectures are equivalent to within the interpolation uncertainty of the underlying transmission curve.</w:t>
      </w:r>
    </w:p>
    <w:p>
      <w:pPr>
        <w:pStyle w:val="Heading2"/>
        <w:spacing w:after="120" w:before="240"/>
      </w:pPr>
      <w:r>
        <w:rPr>
          <w:rFonts w:ascii="Times New Roman" w:cs="Times New Roman" w:eastAsia="Times New Roman" w:hAnsi="Times New Roman"/>
          <w:b/>
          <w:bCs/>
          <w:color w:val="1F4E79"/>
          <w:sz w:val="24"/>
          <w:szCs w:val="24"/>
        </w:rPr>
        <w:t xml:space="preserve">6.2 Parameter sweeps and scaling laws</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array's total moment over 0.25×, 1×, and 4× M0 moves the half-transmission (knee) energy from 3.2 MeV to 52 MeV, consistent with a measured scaling exponent of 2.0: E50 ∝ M². This is precisely the scaling predicted by the non-relativistic gyroradius relation, since the knee occurs where the gyroradius grows to match the array's structural length scale; because momentum at the knee scales linearly with moment (p50 ∝ M) and kinetic energy scales as momentum squared in the non-relativistic regime relevant here, E50 ∝ M² follows directly. This scaling law gives a direct, physically transparent sizing rule for mission designers: to double the knee energy above which the shield becomes transparent, the total amp-turns of the array must be doubled, which in turn drives conductor mass roughly linearly given a fixed critical-current density.</w:t>
      </w:r>
    </w:p>
    <w:p>
      <w:pPr>
        <w:spacing w:after="160" w:line="276"/>
        <w:jc w:val="both"/>
      </w:pPr>
      <w:r>
        <w:rPr>
          <w:rFonts w:ascii="Times New Roman" w:cs="Times New Roman" w:eastAsia="Times New Roman" w:hAnsi="Times New Roman"/>
          <w:b w:val="false"/>
          <w:bCs w:val="false"/>
          <w:i w:val="false"/>
          <w:iCs w:val="false"/>
          <w:sz w:val="22"/>
          <w:szCs w:val="22"/>
        </w:rPr>
        <w:t xml:space="preserve">Sweeping the fence's site spacing at fixed total moment reveals strongly non-monotonic behavior that is important for design robustness. Fine spacing underperforms because each individual site's field, now diluted across more sources at fixed total moment, is too weak to fully turn a 10 MeV proton within its assigned cell, so flux leaks through many weak apertures. Conversely, a spacing large enough that no coil sits directly on the beam axis opens a genuinely low-field aperture through which transmission jumps sharply, because a particle traveling exactly between two widely separated sites experiences almost no deflecting field at all. The design rule that follows is that of a filter, not a wall: overall shield performance is set by the single weakest gap in the array, not by the average field strength, and site placement during any real deployment must guarantee that every line of sight from outside the fence to the protected zone passes within a gyroradius-turning distance of at least one source at the design energy.</w:t>
      </w:r>
    </w:p>
    <w:p>
      <w:pPr>
        <w:pStyle w:val="Heading2"/>
        <w:spacing w:after="120" w:before="240"/>
      </w:pPr>
      <w:r>
        <w:rPr>
          <w:rFonts w:ascii="Times New Roman" w:cs="Times New Roman" w:eastAsia="Times New Roman" w:hAnsi="Times New Roman"/>
          <w:b/>
          <w:bCs/>
          <w:color w:val="1F4E79"/>
          <w:sz w:val="24"/>
          <w:szCs w:val="24"/>
        </w:rPr>
        <w:t xml:space="preserve">6.3 Helical winding: a secondary finding</w:t>
      </w:r>
    </w:p>
    <w:p>
      <w:pPr>
        <w:spacing w:after="160" w:line="276"/>
        <w:jc w:val="both"/>
      </w:pPr>
      <w:r>
        <w:rPr>
          <w:rFonts w:ascii="Times New Roman" w:cs="Times New Roman" w:eastAsia="Times New Roman" w:hAnsi="Times New Roman"/>
          <w:b w:val="false"/>
          <w:bCs w:val="false"/>
          <w:i w:val="false"/>
          <w:iCs w:val="false"/>
          <w:sz w:val="22"/>
          <w:szCs w:val="22"/>
        </w:rPr>
        <w:t xml:space="preserve">Rotating the array's dipole moments helically along the fence, rather than alternating between two fixed orientations, introduces a measurable handedness-selective transport property. Above a sampling threshold — winding pitch Λ greater than twice the site spacing, an exact geometric analog of the Nyquist sampling criterion familiar from signal processing — right- and left-handed windings transmit measurably different fractions of incident flux; at Λ = 400 m the discrimination reaches a factor of ten at 3 MeV. We report this chiral-transport effect as a reproducible secondary physical finding of the underlying simulation rather than as a headline contribution of the present paper, since the primary focus of this work is the engineering and mass-architecture questions of Sections 7–9. The effect is nonetheless of independent physical interest, since a handedness-selective magnetic filter has no direct analog in the standoff mini-magnetosphere literature, and a reduced-scale laboratory test of chiral winding transport is a natural next step for this finding specifically, separate from the engineering feasibility work that is this paper's main subject.</w:t>
      </w:r>
    </w:p>
    <w:p>
      <w:pPr>
        <w:pStyle w:val="Heading1"/>
        <w:spacing w:after="160" w:before="320"/>
      </w:pPr>
      <w:r>
        <w:rPr>
          <w:rFonts w:ascii="Times New Roman" w:cs="Times New Roman" w:eastAsia="Times New Roman" w:hAnsi="Times New Roman"/>
          <w:b/>
          <w:bCs/>
          <w:color w:val="1F4E79"/>
          <w:sz w:val="28"/>
          <w:szCs w:val="28"/>
        </w:rPr>
        <w:t xml:space="preserve">7. Permanent-Magnet Feasibility Assessment</w:t>
      </w:r>
    </w:p>
    <w:p>
      <w:pPr>
        <w:pStyle w:val="Heading2"/>
        <w:spacing w:after="120" w:before="240"/>
      </w:pPr>
      <w:r>
        <w:rPr>
          <w:rFonts w:ascii="Times New Roman" w:cs="Times New Roman" w:eastAsia="Times New Roman" w:hAnsi="Times New Roman"/>
          <w:b/>
          <w:bCs/>
          <w:color w:val="1F4E79"/>
          <w:sz w:val="24"/>
          <w:szCs w:val="24"/>
        </w:rPr>
        <w:t xml:space="preserve">7.1 Moment-per-mass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the shielding physics established in Sections 3–6 depends on distributed spatial magnetic structure rather than on superconductivity per se, it is natural to ask whether permanent magnets could replace the superconducting coils and eliminate the cryogenic subsystem entirely, which would remove one of the two dominant sources of engineering complexity in the design. We test this quantitatively rather than assuming an answer. A permanent magnet's dipole moment is bounded by its remanent magnetization, m = (Br/μ0)·V, so that achievable moment scales linearly with magnet volume (and hence mass) at a rate fixed entirely by the material's remanence — a hard physical ceiling that cannot be engineered around by improved magnet design, only by changing material. NdFeB grade N52, the strongest widely available commercial grade (remanence Br ≈ 1.42 T, density ρ ≈ 7500 kg/m³), gives a moment-per-mass of 1.51×10² A·m²/kg. By contrast, the superconducting design achieves 4×10¹⁰ A·m² of total moment from 12 t of REBCO conductor, a moment-per-mass of 3.33×10⁶ A·m²/kg — roughly 2.2×10⁴ times higher than NdFeB. The physical reason for this enormous gap is that superconducting moment is set by amp-turns, which are bounded only by the conductor's critical current density and can in principle be increased without bound by adding more turns of wire, whereas permanent-magnet moment is bounded by material volume against a fixed remanence ceiling that no amount of additional engineering effort can raise.</w:t>
      </w:r>
    </w:p>
    <w:p>
      <w:pPr>
        <w:pStyle w:val="Heading2"/>
        <w:spacing w:after="120" w:before="240"/>
      </w:pPr>
      <w:r>
        <w:rPr>
          <w:rFonts w:ascii="Times New Roman" w:cs="Times New Roman" w:eastAsia="Times New Roman" w:hAnsi="Times New Roman"/>
          <w:b/>
          <w:bCs/>
          <w:color w:val="1F4E79"/>
          <w:sz w:val="24"/>
          <w:szCs w:val="24"/>
        </w:rPr>
        <w:t xml:space="preserve">7.2 Consequence for shielding performance</w:t>
      </w:r>
    </w:p>
    <w:p>
      <w:pPr>
        <w:spacing w:after="160" w:line="276"/>
        <w:jc w:val="both"/>
      </w:pPr>
      <w:r>
        <w:rPr>
          <w:rFonts w:ascii="Times New Roman" w:cs="Times New Roman" w:eastAsia="Times New Roman" w:hAnsi="Times New Roman"/>
          <w:b w:val="false"/>
          <w:bCs w:val="false"/>
          <w:i w:val="false"/>
          <w:iCs w:val="false"/>
          <w:sz w:val="22"/>
          <w:szCs w:val="22"/>
        </w:rPr>
        <w:t xml:space="preserve">Substituting NdFeB for the superconducting design's conductor mass gives an achievable moment of 1.8×10⁶ A·m², only 4.5×10⁻⁵ of the baseline moment budget M0. Applying the verified E50 ∝ M² scaling law from Section 6.2 to this reduced moment gives a knee energy of order 10⁻⁷ MeV — many orders of magnitude below, and hence fully transparent to, the entire SEP energy band of interest (0.1–100 MeV). An independent Boris-pusher re-run at this reduced moment confirms flat, energy-independent transmission across 0.3–10 MeV, consistent with the mechanism shifting from distributed rigidity filtering to weak near-field deflection of only those protons that happen to pass within a few coil radii of a magnet, which is not the intended distributed-scattering mechanism at all. Matching the full moment budget M0 with permanent magnets, rather than accepting this degraded performance, would require approximately 2.65×10⁵ t of NdFeB — several thousand times the entire propagated system mass of the superconducting design (Section 9). We therefore rule out permanent magnets as a primary moment source for this architecture on purely physical grounds, independent of any cost or manufacturing consideration. A possible secondary role for permanent magnets as local aperture-trim elements, closing the specific low-energy leakage paths at fence gaps identified in Section 6.2, has not been simulated in this work and is noted as a candidate for future study in Section 14.</w:t>
      </w:r>
    </w:p>
    <w:p>
      <w:pPr>
        <w:pStyle w:val="Heading1"/>
        <w:spacing w:after="160" w:before="320"/>
      </w:pPr>
      <w:r>
        <w:rPr>
          <w:rFonts w:ascii="Times New Roman" w:cs="Times New Roman" w:eastAsia="Times New Roman" w:hAnsi="Times New Roman"/>
          <w:b/>
          <w:bCs/>
          <w:color w:val="1F4E79"/>
          <w:sz w:val="28"/>
          <w:szCs w:val="28"/>
        </w:rPr>
        <w:t xml:space="preserve">8. In-Situ Resource Utilization: Structural Mass Substitution</w:t>
      </w:r>
    </w:p>
    <w:p>
      <w:pPr>
        <w:pStyle w:val="Heading2"/>
        <w:spacing w:after="120" w:before="240"/>
      </w:pPr>
      <w:r>
        <w:rPr>
          <w:rFonts w:ascii="Times New Roman" w:cs="Times New Roman" w:eastAsia="Times New Roman" w:hAnsi="Times New Roman"/>
          <w:b/>
          <w:bCs/>
          <w:color w:val="1F4E79"/>
          <w:sz w:val="24"/>
          <w:szCs w:val="24"/>
        </w:rPr>
        <w:t xml:space="preserve">8.1 Component allocation</w:t>
      </w:r>
    </w:p>
    <w:p>
      <w:pPr>
        <w:spacing w:after="160" w:line="276"/>
        <w:jc w:val="both"/>
      </w:pPr>
      <w:r>
        <w:rPr>
          <w:rFonts w:ascii="Times New Roman" w:cs="Times New Roman" w:eastAsia="Times New Roman" w:hAnsi="Times New Roman"/>
          <w:b w:val="false"/>
          <w:bCs w:val="false"/>
          <w:i w:val="false"/>
          <w:iCs w:val="false"/>
          <w:sz w:val="22"/>
          <w:szCs w:val="22"/>
        </w:rPr>
        <w:t xml:space="preserve">Because Section 7 rules out substituting the superconducting moment source itself, the only remaining path to reducing Earth-launched mass runs through the structure and infrastructure surrounding the conductor, not through the conductor. We therefore separate the engineering point design developed in Section 9 into two categories: an Earth-supplied functional core, comprising REBCO conductor, cryostat vessel, current leads, power electronics, cryocooler hardware, and sensors/control, none of which can plausibly be fabricated from lunar regolith with near-term technology; and a structural shell, comprising mechanical support, coil housings and foundations, anchor mass, and cabling supports, which is a physically reasonable candidate for regolith-derived construction using sintered, cast, or 3D-printed regolith composite techniques currently under development for lunar construction more broadly. From the propagated mass budget of Section 9 (median 81 t, comprising 15 t conductor and 66 t overhead), we allocate the overhead 40%/60% between core hardware (26.4 t) and structural mass (39.6 t) as a first-order split pending detailed subsystem-level design, giving an Earth-launched mass M_E = 15 + 26.4 + 5 (one-time ISRU excavation/processing capital equipment) = 46.4 t for the ISRU-structural architecture. This figure is independent of how much regolith mass is ultimately required to build the structure, since that mass is sourced locally regardless of quantity, a robustness property quantified next.</w:t>
      </w:r>
    </w:p>
    <w:p>
      <w:pPr>
        <w:pStyle w:val="Heading2"/>
        <w:spacing w:after="120" w:before="240"/>
      </w:pPr>
      <w:r>
        <w:rPr>
          <w:rFonts w:ascii="Times New Roman" w:cs="Times New Roman" w:eastAsia="Times New Roman" w:hAnsi="Times New Roman"/>
          <w:b/>
          <w:bCs/>
          <w:color w:val="1F4E79"/>
          <w:sz w:val="24"/>
          <w:szCs w:val="24"/>
        </w:rPr>
        <w:t xml:space="preserve">8.2 Sensitivity to the regolith-construction mass multiplier</w:t>
      </w:r>
    </w:p>
    <w:p>
      <w:pPr>
        <w:spacing w:after="160" w:line="276"/>
        <w:jc w:val="both"/>
      </w:pPr>
      <w:r>
        <w:rPr>
          <w:rFonts w:ascii="Times New Roman" w:cs="Times New Roman" w:eastAsia="Times New Roman" w:hAnsi="Times New Roman"/>
          <w:b w:val="false"/>
          <w:bCs w:val="false"/>
          <w:i w:val="false"/>
          <w:iCs w:val="false"/>
          <w:sz w:val="22"/>
          <w:szCs w:val="22"/>
        </w:rPr>
        <w:t xml:space="preserve">Regolith-built structures are generally expected to require more mass than an equivalent Earth-engineered structure delivering the same structural function, owing to lower achievable strength-to-weight ratios in sintered or cast regolith composites relative to purpose-engineered aerospace materials. We treat this ratio as an uncertain multiplier and sweep it from 1× (optimistic, regolith structure performs as well per unit mass as an equivalent Earth-engineered structure) through 3× (baseline) to 5× (conservative).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700"/>
        <w:gridCol w:w="1700"/>
        <w:gridCol w:w="1600"/>
      </w:tblGrid>
      <w:tr>
        <w:tc>
          <w:tcPr>
            <w:tcW w:type="dxa" w:w="2400"/>
            <w:shd w:fill="DCE6F1" w:val="clear"/>
          </w:tcPr>
          <w:p>
            <w:pPr>
              <w:jc w:val="left"/>
            </w:pPr>
            <w:r>
              <w:rPr>
                <w:rFonts w:ascii="Times New Roman" w:cs="Times New Roman" w:eastAsia="Times New Roman" w:hAnsi="Times New Roman"/>
                <w:b/>
                <w:bCs/>
                <w:sz w:val="20"/>
                <w:szCs w:val="20"/>
              </w:rPr>
              <w:t xml:space="preserve">Multiplier</w:t>
            </w:r>
          </w:p>
        </w:tc>
        <w:tc>
          <w:tcPr>
            <w:tcW w:type="dxa" w:w="1600"/>
            <w:shd w:fill="DCE6F1" w:val="clear"/>
          </w:tcPr>
          <w:p>
            <w:pPr>
              <w:jc w:val="left"/>
            </w:pPr>
            <w:r>
              <w:rPr>
                <w:rFonts w:ascii="Times New Roman" w:cs="Times New Roman" w:eastAsia="Times New Roman" w:hAnsi="Times New Roman"/>
                <w:b/>
                <w:bCs/>
                <w:sz w:val="20"/>
                <w:szCs w:val="20"/>
              </w:rPr>
              <w:t xml:space="preserve">M_E (t)</w:t>
            </w:r>
          </w:p>
        </w:tc>
        <w:tc>
          <w:tcPr>
            <w:tcW w:type="dxa" w:w="1700"/>
            <w:shd w:fill="DCE6F1" w:val="clear"/>
          </w:tcPr>
          <w:p>
            <w:pPr>
              <w:jc w:val="left"/>
            </w:pPr>
            <w:r>
              <w:rPr>
                <w:rFonts w:ascii="Times New Roman" w:cs="Times New Roman" w:eastAsia="Times New Roman" w:hAnsi="Times New Roman"/>
                <w:b/>
                <w:bCs/>
                <w:sz w:val="20"/>
                <w:szCs w:val="20"/>
              </w:rPr>
              <w:t xml:space="preserve">M_local (t)</w:t>
            </w:r>
          </w:p>
        </w:tc>
        <w:tc>
          <w:tcPr>
            <w:tcW w:type="dxa" w:w="1700"/>
            <w:shd w:fill="DCE6F1" w:val="clear"/>
          </w:tcPr>
          <w:p>
            <w:pPr>
              <w:jc w:val="left"/>
            </w:pPr>
            <w:r>
              <w:rPr>
                <w:rFonts w:ascii="Times New Roman" w:cs="Times New Roman" w:eastAsia="Times New Roman" w:hAnsi="Times New Roman"/>
                <w:b/>
                <w:bCs/>
                <w:sz w:val="20"/>
                <w:szCs w:val="20"/>
              </w:rPr>
              <w:t xml:space="preserve">M_total (t)</w:t>
            </w:r>
          </w:p>
        </w:tc>
        <w:tc>
          <w:tcPr>
            <w:tcW w:type="dxa" w:w="1600"/>
            <w:shd w:fill="DCE6F1" w:val="clear"/>
          </w:tcPr>
          <w:p>
            <w:pPr>
              <w:jc w:val="left"/>
            </w:pPr>
            <w:r>
              <w:rPr>
                <w:rFonts w:ascii="Times New Roman" w:cs="Times New Roman" w:eastAsia="Times New Roman" w:hAnsi="Times New Roman"/>
                <w:b/>
                <w:bCs/>
                <w:sz w:val="20"/>
                <w:szCs w:val="20"/>
              </w:rPr>
              <w:t xml:space="preserve">f_ISRU</w:t>
            </w:r>
          </w:p>
        </w:tc>
      </w:tr>
      <w:tr>
        <w:tc>
          <w:tcPr>
            <w:tcW w:type="dxa" w:w="2400"/>
          </w:tcPr>
          <w:p>
            <w:pPr>
              <w:jc w:val="left"/>
            </w:pPr>
            <w:r>
              <w:rPr>
                <w:rFonts w:ascii="Times New Roman" w:cs="Times New Roman" w:eastAsia="Times New Roman" w:hAnsi="Times New Roman"/>
                <w:b w:val="false"/>
                <w:bCs w:val="false"/>
                <w:sz w:val="20"/>
                <w:szCs w:val="20"/>
              </w:rPr>
              <w:t xml:space="preserve">1× (optimistic)</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39.6</w:t>
            </w:r>
          </w:p>
        </w:tc>
        <w:tc>
          <w:tcPr>
            <w:tcW w:type="dxa" w:w="1700"/>
          </w:tcPr>
          <w:p>
            <w:pPr>
              <w:jc w:val="left"/>
            </w:pPr>
            <w:r>
              <w:rPr>
                <w:rFonts w:ascii="Times New Roman" w:cs="Times New Roman" w:eastAsia="Times New Roman" w:hAnsi="Times New Roman"/>
                <w:b w:val="false"/>
                <w:bCs w:val="false"/>
                <w:sz w:val="20"/>
                <w:szCs w:val="20"/>
              </w:rPr>
              <w:t xml:space="preserve">86.0</w:t>
            </w:r>
          </w:p>
        </w:tc>
        <w:tc>
          <w:tcPr>
            <w:tcW w:type="dxa" w:w="1600"/>
          </w:tcPr>
          <w:p>
            <w:pPr>
              <w:jc w:val="left"/>
            </w:pPr>
            <w:r>
              <w:rPr>
                <w:rFonts w:ascii="Times New Roman" w:cs="Times New Roman" w:eastAsia="Times New Roman" w:hAnsi="Times New Roman"/>
                <w:b w:val="false"/>
                <w:bCs w:val="false"/>
                <w:sz w:val="20"/>
                <w:szCs w:val="20"/>
              </w:rPr>
              <w:t xml:space="preserve">0.46</w:t>
            </w:r>
          </w:p>
        </w:tc>
      </w:tr>
      <w:tr>
        <w:tc>
          <w:tcPr>
            <w:tcW w:type="dxa" w:w="2400"/>
          </w:tcPr>
          <w:p>
            <w:pPr>
              <w:jc w:val="left"/>
            </w:pPr>
            <w:r>
              <w:rPr>
                <w:rFonts w:ascii="Times New Roman" w:cs="Times New Roman" w:eastAsia="Times New Roman" w:hAnsi="Times New Roman"/>
                <w:b w:val="false"/>
                <w:bCs w:val="false"/>
                <w:sz w:val="20"/>
                <w:szCs w:val="20"/>
              </w:rPr>
              <w:t xml:space="preserve">3× (baseline)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118.8</w:t>
            </w:r>
          </w:p>
        </w:tc>
        <w:tc>
          <w:tcPr>
            <w:tcW w:type="dxa" w:w="1700"/>
          </w:tcPr>
          <w:p>
            <w:pPr>
              <w:jc w:val="left"/>
            </w:pPr>
            <w:r>
              <w:rPr>
                <w:rFonts w:ascii="Times New Roman" w:cs="Times New Roman" w:eastAsia="Times New Roman" w:hAnsi="Times New Roman"/>
                <w:b w:val="false"/>
                <w:bCs w:val="false"/>
                <w:sz w:val="20"/>
                <w:szCs w:val="20"/>
              </w:rPr>
              <w:t xml:space="preserve">165.2</w:t>
            </w:r>
          </w:p>
        </w:tc>
        <w:tc>
          <w:tcPr>
            <w:tcW w:type="dxa" w:w="1600"/>
          </w:tcPr>
          <w:p>
            <w:pPr>
              <w:jc w:val="left"/>
            </w:pPr>
            <w:r>
              <w:rPr>
                <w:rFonts w:ascii="Times New Roman" w:cs="Times New Roman" w:eastAsia="Times New Roman" w:hAnsi="Times New Roman"/>
                <w:b w:val="false"/>
                <w:bCs w:val="false"/>
                <w:sz w:val="20"/>
                <w:szCs w:val="20"/>
              </w:rPr>
              <w:t xml:space="preserve">0.72</w:t>
            </w:r>
          </w:p>
        </w:tc>
      </w:tr>
      <w:tr>
        <w:tc>
          <w:tcPr>
            <w:tcW w:type="dxa" w:w="2400"/>
          </w:tcPr>
          <w:p>
            <w:pPr>
              <w:jc w:val="left"/>
            </w:pPr>
            <w:r>
              <w:rPr>
                <w:rFonts w:ascii="Times New Roman" w:cs="Times New Roman" w:eastAsia="Times New Roman" w:hAnsi="Times New Roman"/>
                <w:b w:val="false"/>
                <w:bCs w:val="false"/>
                <w:sz w:val="20"/>
                <w:szCs w:val="20"/>
              </w:rPr>
              <w:t xml:space="preserve">5× (conservative)</w:t>
            </w:r>
          </w:p>
        </w:tc>
        <w:tc>
          <w:tcPr>
            <w:tcW w:type="dxa" w:w="1600"/>
          </w:tcPr>
          <w:p>
            <w:pPr>
              <w:jc w:val="left"/>
            </w:pPr>
            <w:r>
              <w:rPr>
                <w:rFonts w:ascii="Times New Roman" w:cs="Times New Roman" w:eastAsia="Times New Roman" w:hAnsi="Times New Roman"/>
                <w:b w:val="false"/>
                <w:bCs w:val="false"/>
                <w:sz w:val="20"/>
                <w:szCs w:val="20"/>
              </w:rPr>
              <w:t xml:space="preserve">46.4</w:t>
            </w:r>
          </w:p>
        </w:tc>
        <w:tc>
          <w:tcPr>
            <w:tcW w:type="dxa" w:w="1700"/>
          </w:tcPr>
          <w:p>
            <w:pPr>
              <w:jc w:val="left"/>
            </w:pPr>
            <w:r>
              <w:rPr>
                <w:rFonts w:ascii="Times New Roman" w:cs="Times New Roman" w:eastAsia="Times New Roman" w:hAnsi="Times New Roman"/>
                <w:b w:val="false"/>
                <w:bCs w:val="false"/>
                <w:sz w:val="20"/>
                <w:szCs w:val="20"/>
              </w:rPr>
              <w:t xml:space="preserve">198.0</w:t>
            </w:r>
          </w:p>
        </w:tc>
        <w:tc>
          <w:tcPr>
            <w:tcW w:type="dxa" w:w="1700"/>
          </w:tcPr>
          <w:p>
            <w:pPr>
              <w:jc w:val="left"/>
            </w:pPr>
            <w:r>
              <w:rPr>
                <w:rFonts w:ascii="Times New Roman" w:cs="Times New Roman" w:eastAsia="Times New Roman" w:hAnsi="Times New Roman"/>
                <w:b w:val="false"/>
                <w:bCs w:val="false"/>
                <w:sz w:val="20"/>
                <w:szCs w:val="20"/>
              </w:rPr>
              <w:t xml:space="preserve">244.4</w:t>
            </w:r>
          </w:p>
        </w:tc>
        <w:tc>
          <w:tcPr>
            <w:tcW w:type="dxa" w:w="1600"/>
          </w:tcPr>
          <w:p>
            <w:pPr>
              <w:jc w:val="left"/>
            </w:pPr>
            <w:r>
              <w:rPr>
                <w:rFonts w:ascii="Times New Roman" w:cs="Times New Roman" w:eastAsia="Times New Roman" w:hAnsi="Times New Roman"/>
                <w:b w:val="false"/>
                <w:bCs w:val="false"/>
                <w:sz w:val="20"/>
                <w:szCs w:val="20"/>
              </w:rPr>
              <w:t xml:space="preserve">0.81</w:t>
            </w:r>
          </w:p>
        </w:tc>
      </w:tr>
    </w:tbl>
    <w:p>
      <w:pPr>
        <w:spacing w:after="240" w:before="60"/>
      </w:pPr>
      <w:r>
        <w:rPr>
          <w:rFonts w:ascii="Times New Roman" w:cs="Times New Roman" w:eastAsia="Times New Roman" w:hAnsi="Times New Roman"/>
          <w:i/>
          <w:iCs/>
          <w:sz w:val="20"/>
          <w:szCs w:val="20"/>
        </w:rPr>
        <w:t xml:space="preserve">Table 2. ISRU sensitivity sweep. Earth-launched mass M_E is invariant across the tested range; the multiplier instead determines the in-situ mass fraction and, separately, excavation/construction time and energy (Section 12).</w:t>
      </w:r>
    </w:p>
    <w:p>
      <w:pPr>
        <w:spacing w:after="160" w:line="276"/>
        <w:jc w:val="both"/>
      </w:pPr>
      <w:r>
        <w:rPr>
          <w:rFonts w:ascii="Times New Roman" w:cs="Times New Roman" w:eastAsia="Times New Roman" w:hAnsi="Times New Roman"/>
          <w:b w:val="false"/>
          <w:bCs w:val="false"/>
          <w:i w:val="false"/>
          <w:iCs w:val="false"/>
          <w:sz w:val="22"/>
          <w:szCs w:val="22"/>
        </w:rPr>
        <w:t xml:space="preserve">This invariance is a useful robustness result in its own right: because M_E = 46.4 t at every tested multiplier, the ≈1.7× improvement in Earth-mass efficiency η_F over the fully imported architecture does not depend on resolving the regolith-construction mass-efficiency question, which remains genuinely uncertain given the immature state of lunar in-situ construction technology (Section 12). What does depend on the multiplier is excavation and construction time and energy, which we treat as a separate, technology-readiness-dependent constraint in Section 12 rather than folding it into the mass budget, since construction throughput and mass efficiency are governed by different subsystems and different uncertainties.</w:t>
      </w:r>
    </w:p>
    <w:p>
      <w:pPr>
        <w:pStyle w:val="Heading2"/>
        <w:spacing w:after="120" w:before="240"/>
      </w:pPr>
      <w:r>
        <w:rPr>
          <w:rFonts w:ascii="Times New Roman" w:cs="Times New Roman" w:eastAsia="Times New Roman" w:hAnsi="Times New Roman"/>
          <w:b/>
          <w:bCs/>
          <w:color w:val="1F4E79"/>
          <w:sz w:val="24"/>
          <w:szCs w:val="24"/>
        </w:rPr>
        <w:t xml:space="preserve">8.3 Four-architecture comparison</w:t>
      </w:r>
    </w:p>
    <w:p>
      <w:pPr>
        <w:spacing w:after="160" w:line="276"/>
        <w:jc w:val="both"/>
      </w:pPr>
      <w:r>
        <w:rPr>
          <w:rFonts w:ascii="Times New Roman" w:cs="Times New Roman" w:eastAsia="Times New Roman" w:hAnsi="Times New Roman"/>
          <w:b w:val="false"/>
          <w:bCs w:val="false"/>
          <w:i w:val="false"/>
          <w:iCs w:val="false"/>
          <w:sz w:val="22"/>
          <w:szCs w:val="22"/>
        </w:rPr>
        <w:t xml:space="preserve">Table 3 consolidates four architectures on a common basis: Earth-launched mass, local in-situ mass, SEP energy-fluence reduction, Earth-mass efficiency (η_F, energy-fluence reduction per tonne of Earth-launched mass), and the asset class each is best suited to protect, given the taxonomy of Section 2. Values for the regolith-involving architectures (B, C) are given at 2 cm thickness as a representative operating point; the full thickness sweep is given in Section 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1000"/>
        <w:gridCol w:w="1000"/>
        <w:gridCol w:w="2300"/>
      </w:tblGrid>
      <w:tr>
        <w:tc>
          <w:tcPr>
            <w:tcW w:type="dxa" w:w="2600"/>
            <w:shd w:fill="DCE6F1" w:val="clear"/>
          </w:tcPr>
          <w:p>
            <w:pPr>
              <w:jc w:val="left"/>
            </w:pPr>
            <w:r>
              <w:rPr>
                <w:rFonts w:ascii="Times New Roman" w:cs="Times New Roman" w:eastAsia="Times New Roman" w:hAnsi="Times New Roman"/>
                <w:b/>
                <w:bCs/>
                <w:sz w:val="20"/>
                <w:szCs w:val="20"/>
              </w:rPr>
              <w:t xml:space="preserve">Architecture</w:t>
            </w:r>
          </w:p>
        </w:tc>
        <w:tc>
          <w:tcPr>
            <w:tcW w:type="dxa" w:w="1000"/>
            <w:shd w:fill="DCE6F1" w:val="clear"/>
          </w:tcPr>
          <w:p>
            <w:pPr>
              <w:jc w:val="left"/>
            </w:pPr>
            <w:r>
              <w:rPr>
                <w:rFonts w:ascii="Times New Roman" w:cs="Times New Roman" w:eastAsia="Times New Roman" w:hAnsi="Times New Roman"/>
                <w:b/>
                <w:bCs/>
                <w:sz w:val="20"/>
                <w:szCs w:val="20"/>
              </w:rPr>
              <w:t xml:space="preserve">M_E (t)</w:t>
            </w:r>
          </w:p>
        </w:tc>
        <w:tc>
          <w:tcPr>
            <w:tcW w:type="dxa" w:w="1100"/>
            <w:shd w:fill="DCE6F1" w:val="clear"/>
          </w:tcPr>
          <w:p>
            <w:pPr>
              <w:jc w:val="left"/>
            </w:pPr>
            <w:r>
              <w:rPr>
                <w:rFonts w:ascii="Times New Roman" w:cs="Times New Roman" w:eastAsia="Times New Roman" w:hAnsi="Times New Roman"/>
                <w:b/>
                <w:bCs/>
                <w:sz w:val="20"/>
                <w:szCs w:val="20"/>
              </w:rPr>
              <w:t xml:space="preserve">M_local (t)</w:t>
            </w:r>
          </w:p>
        </w:tc>
        <w:tc>
          <w:tcPr>
            <w:tcW w:type="dxa" w:w="1000"/>
            <w:shd w:fill="DCE6F1" w:val="clear"/>
          </w:tcPr>
          <w:p>
            <w:pPr>
              <w:jc w:val="left"/>
            </w:pPr>
            <w:r>
              <w:rPr>
                <w:rFonts w:ascii="Times New Roman" w:cs="Times New Roman" w:eastAsia="Times New Roman" w:hAnsi="Times New Roman"/>
                <w:b/>
                <w:bCs/>
                <w:sz w:val="20"/>
                <w:szCs w:val="20"/>
              </w:rPr>
              <w:t xml:space="preserve">ΔF_E</w:t>
            </w:r>
          </w:p>
        </w:tc>
        <w:tc>
          <w:tcPr>
            <w:tcW w:type="dxa" w:w="1000"/>
            <w:shd w:fill="DCE6F1" w:val="clear"/>
          </w:tcPr>
          <w:p>
            <w:pPr>
              <w:jc w:val="left"/>
            </w:pPr>
            <w:r>
              <w:rPr>
                <w:rFonts w:ascii="Times New Roman" w:cs="Times New Roman" w:eastAsia="Times New Roman" w:hAnsi="Times New Roman"/>
                <w:b/>
                <w:bCs/>
                <w:sz w:val="20"/>
                <w:szCs w:val="20"/>
              </w:rPr>
              <w:t xml:space="preserve">η_F (%/t)</w:t>
            </w:r>
          </w:p>
        </w:tc>
        <w:tc>
          <w:tcPr>
            <w:tcW w:type="dxa" w:w="2300"/>
            <w:shd w:fill="DCE6F1" w:val="clear"/>
          </w:tcPr>
          <w:p>
            <w:pPr>
              <w:jc w:val="left"/>
            </w:pPr>
            <w:r>
              <w:rPr>
                <w:rFonts w:ascii="Times New Roman" w:cs="Times New Roman" w:eastAsia="Times New Roman" w:hAnsi="Times New Roman"/>
                <w:b/>
                <w:bCs/>
                <w:sz w:val="20"/>
                <w:szCs w:val="20"/>
              </w:rPr>
              <w:t xml:space="preserve">Best-suited application</w:t>
            </w:r>
          </w:p>
        </w:tc>
      </w:tr>
      <w:tr>
        <w:tc>
          <w:tcPr>
            <w:tcW w:type="dxa" w:w="2600"/>
          </w:tcPr>
          <w:p>
            <w:pPr>
              <w:jc w:val="left"/>
            </w:pPr>
            <w:r>
              <w:rPr>
                <w:rFonts w:ascii="Times New Roman" w:cs="Times New Roman" w:eastAsia="Times New Roman" w:hAnsi="Times New Roman"/>
                <w:b w:val="false"/>
                <w:bCs w:val="false"/>
                <w:sz w:val="20"/>
                <w:szCs w:val="20"/>
              </w:rPr>
              <w:t xml:space="preserve">A — Imported magnetic fence</w:t>
            </w:r>
          </w:p>
        </w:tc>
        <w:tc>
          <w:tcPr>
            <w:tcW w:type="dxa" w:w="1000"/>
          </w:tcPr>
          <w:p>
            <w:pPr>
              <w:jc w:val="left"/>
            </w:pPr>
            <w:r>
              <w:rPr>
                <w:rFonts w:ascii="Times New Roman" w:cs="Times New Roman" w:eastAsia="Times New Roman" w:hAnsi="Times New Roman"/>
                <w:b w:val="false"/>
                <w:bCs w:val="false"/>
                <w:sz w:val="20"/>
                <w:szCs w:val="20"/>
              </w:rPr>
              <w:t xml:space="preserve">81.0</w:t>
            </w:r>
          </w:p>
        </w:tc>
        <w:tc>
          <w:tcPr>
            <w:tcW w:type="dxa" w:w="1100"/>
          </w:tcPr>
          <w:p>
            <w:pPr>
              <w:jc w:val="left"/>
            </w:pPr>
            <w:r>
              <w:rPr>
                <w:rFonts w:ascii="Times New Roman" w:cs="Times New Roman" w:eastAsia="Times New Roman" w:hAnsi="Times New Roman"/>
                <w:b w:val="false"/>
                <w:bCs w:val="false"/>
                <w:sz w:val="20"/>
                <w:szCs w:val="20"/>
              </w:rPr>
              <w:t xml:space="preserve">0</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0.93</w:t>
            </w:r>
          </w:p>
        </w:tc>
        <w:tc>
          <w:tcPr>
            <w:tcW w:type="dxa" w:w="2300"/>
          </w:tcPr>
          <w:p>
            <w:pPr>
              <w:jc w:val="left"/>
            </w:pPr>
            <w:r>
              <w:rPr>
                <w:rFonts w:ascii="Times New Roman" w:cs="Times New Roman" w:eastAsia="Times New Roman" w:hAnsi="Times New Roman"/>
                <w:b w:val="false"/>
                <w:bCs w:val="false"/>
                <w:sz w:val="20"/>
                <w:szCs w:val="20"/>
              </w:rPr>
              <w:t xml:space="preserve">Mobile/EVA (baseline)</w:t>
            </w:r>
          </w:p>
        </w:tc>
      </w:tr>
      <w:tr>
        <w:tc>
          <w:tcPr>
            <w:tcW w:type="dxa" w:w="2600"/>
          </w:tcPr>
          <w:p>
            <w:pPr>
              <w:jc w:val="left"/>
            </w:pPr>
            <w:r>
              <w:rPr>
                <w:rFonts w:ascii="Times New Roman" w:cs="Times New Roman" w:eastAsia="Times New Roman" w:hAnsi="Times New Roman"/>
                <w:b w:val="false"/>
                <w:bCs w:val="false"/>
                <w:sz w:val="20"/>
                <w:szCs w:val="20"/>
              </w:rPr>
              <w:t xml:space="preserve">B — Regolith-only cladding, 2 cm</w:t>
            </w:r>
          </w:p>
        </w:tc>
        <w:tc>
          <w:tcPr>
            <w:tcW w:type="dxa" w:w="1000"/>
          </w:tcPr>
          <w:p>
            <w:pPr>
              <w:jc w:val="left"/>
            </w:pPr>
            <w:r>
              <w:rPr>
                <w:rFonts w:ascii="Times New Roman" w:cs="Times New Roman" w:eastAsia="Times New Roman" w:hAnsi="Times New Roman"/>
                <w:b w:val="false"/>
                <w:bCs w:val="false"/>
                <w:sz w:val="20"/>
                <w:szCs w:val="20"/>
              </w:rPr>
              <w:t xml:space="preserve">~5.0*</w:t>
            </w:r>
          </w:p>
        </w:tc>
        <w:tc>
          <w:tcPr>
            <w:tcW w:type="dxa" w:w="1100"/>
          </w:tcPr>
          <w:p>
            <w:pPr>
              <w:jc w:val="left"/>
            </w:pPr>
            <w:r>
              <w:rPr>
                <w:rFonts w:ascii="Times New Roman" w:cs="Times New Roman" w:eastAsia="Times New Roman" w:hAnsi="Times New Roman"/>
                <w:b w:val="false"/>
                <w:bCs w:val="false"/>
                <w:sz w:val="20"/>
                <w:szCs w:val="20"/>
              </w:rPr>
              <w:t xml:space="preserve">3.0</w:t>
            </w:r>
          </w:p>
        </w:tc>
        <w:tc>
          <w:tcPr>
            <w:tcW w:type="dxa" w:w="1000"/>
          </w:tcPr>
          <w:p>
            <w:pPr>
              <w:jc w:val="left"/>
            </w:pPr>
            <w:r>
              <w:rPr>
                <w:rFonts w:ascii="Times New Roman" w:cs="Times New Roman" w:eastAsia="Times New Roman" w:hAnsi="Times New Roman"/>
                <w:b w:val="false"/>
                <w:bCs w:val="false"/>
                <w:sz w:val="20"/>
                <w:szCs w:val="20"/>
              </w:rPr>
              <w:t xml:space="preserve">91.4%</w:t>
            </w:r>
          </w:p>
        </w:tc>
        <w:tc>
          <w:tcPr>
            <w:tcW w:type="dxa" w:w="1000"/>
          </w:tcPr>
          <w:p>
            <w:pPr>
              <w:jc w:val="left"/>
            </w:pPr>
            <w:r>
              <w:rPr>
                <w:rFonts w:ascii="Times New Roman" w:cs="Times New Roman" w:eastAsia="Times New Roman" w:hAnsi="Times New Roman"/>
                <w:b w:val="false"/>
                <w:bCs w:val="false"/>
                <w:sz w:val="20"/>
                <w:szCs w:val="20"/>
              </w:rPr>
              <w:t xml:space="preserve">18.29</w:t>
            </w:r>
          </w:p>
        </w:tc>
        <w:tc>
          <w:tcPr>
            <w:tcW w:type="dxa" w:w="2300"/>
          </w:tcPr>
          <w:p>
            <w:pPr>
              <w:jc w:val="left"/>
            </w:pPr>
            <w:r>
              <w:rPr>
                <w:rFonts w:ascii="Times New Roman" w:cs="Times New Roman" w:eastAsia="Times New Roman" w:hAnsi="Times New Roman"/>
                <w:b w:val="false"/>
                <w:bCs w:val="false"/>
                <w:sz w:val="20"/>
                <w:szCs w:val="20"/>
              </w:rPr>
              <w:t xml:space="preserve">Fixed equipment</w:t>
            </w:r>
          </w:p>
        </w:tc>
      </w:tr>
      <w:tr>
        <w:tc>
          <w:tcPr>
            <w:tcW w:type="dxa" w:w="2600"/>
          </w:tcPr>
          <w:p>
            <w:pPr>
              <w:jc w:val="left"/>
            </w:pPr>
            <w:r>
              <w:rPr>
                <w:rFonts w:ascii="Times New Roman" w:cs="Times New Roman" w:eastAsia="Times New Roman" w:hAnsi="Times New Roman"/>
                <w:b w:val="false"/>
                <w:bCs w:val="false"/>
                <w:sz w:val="20"/>
                <w:szCs w:val="20"/>
              </w:rPr>
              <w:t xml:space="preserve">C — Fence + regolith cladding, 2 cm</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121.8</w:t>
            </w:r>
          </w:p>
        </w:tc>
        <w:tc>
          <w:tcPr>
            <w:tcW w:type="dxa" w:w="1000"/>
          </w:tcPr>
          <w:p>
            <w:pPr>
              <w:jc w:val="left"/>
            </w:pPr>
            <w:r>
              <w:rPr>
                <w:rFonts w:ascii="Times New Roman" w:cs="Times New Roman" w:eastAsia="Times New Roman" w:hAnsi="Times New Roman"/>
                <w:b w:val="false"/>
                <w:bCs w:val="false"/>
                <w:sz w:val="20"/>
                <w:szCs w:val="20"/>
              </w:rPr>
              <w:t xml:space="preserve">94.7%</w:t>
            </w:r>
          </w:p>
        </w:tc>
        <w:tc>
          <w:tcPr>
            <w:tcW w:type="dxa" w:w="1000"/>
          </w:tcPr>
          <w:p>
            <w:pPr>
              <w:jc w:val="left"/>
            </w:pPr>
            <w:r>
              <w:rPr>
                <w:rFonts w:ascii="Times New Roman" w:cs="Times New Roman" w:eastAsia="Times New Roman" w:hAnsi="Times New Roman"/>
                <w:b w:val="false"/>
                <w:bCs w:val="false"/>
                <w:sz w:val="20"/>
                <w:szCs w:val="20"/>
              </w:rPr>
              <w:t xml:space="preserve">2.04</w:t>
            </w:r>
          </w:p>
        </w:tc>
        <w:tc>
          <w:tcPr>
            <w:tcW w:type="dxa" w:w="2300"/>
          </w:tcPr>
          <w:p>
            <w:pPr>
              <w:jc w:val="left"/>
            </w:pPr>
            <w:r>
              <w:rPr>
                <w:rFonts w:ascii="Times New Roman" w:cs="Times New Roman" w:eastAsia="Times New Roman" w:hAnsi="Times New Roman"/>
                <w:b w:val="false"/>
                <w:bCs w:val="false"/>
                <w:sz w:val="20"/>
                <w:szCs w:val="20"/>
              </w:rPr>
              <w:t xml:space="preserve">Fixed, high-value equipment</w:t>
            </w:r>
          </w:p>
        </w:tc>
      </w:tr>
      <w:tr>
        <w:tc>
          <w:tcPr>
            <w:tcW w:type="dxa" w:w="2600"/>
          </w:tcPr>
          <w:p>
            <w:pPr>
              <w:jc w:val="left"/>
            </w:pPr>
            <w:r>
              <w:rPr>
                <w:rFonts w:ascii="Times New Roman" w:cs="Times New Roman" w:eastAsia="Times New Roman" w:hAnsi="Times New Roman"/>
                <w:b w:val="false"/>
                <w:bCs w:val="false"/>
                <w:sz w:val="20"/>
                <w:szCs w:val="20"/>
              </w:rPr>
              <w:t xml:space="preserve">D — ISRU-structural magnetic fence</w:t>
            </w:r>
          </w:p>
        </w:tc>
        <w:tc>
          <w:tcPr>
            <w:tcW w:type="dxa" w:w="1000"/>
          </w:tcPr>
          <w:p>
            <w:pPr>
              <w:jc w:val="left"/>
            </w:pPr>
            <w:r>
              <w:rPr>
                <w:rFonts w:ascii="Times New Roman" w:cs="Times New Roman" w:eastAsia="Times New Roman" w:hAnsi="Times New Roman"/>
                <w:b w:val="false"/>
                <w:bCs w:val="false"/>
                <w:sz w:val="20"/>
                <w:szCs w:val="20"/>
              </w:rPr>
              <w:t xml:space="preserve">46.4</w:t>
            </w:r>
          </w:p>
        </w:tc>
        <w:tc>
          <w:tcPr>
            <w:tcW w:type="dxa" w:w="1100"/>
          </w:tcPr>
          <w:p>
            <w:pPr>
              <w:jc w:val="left"/>
            </w:pPr>
            <w:r>
              <w:rPr>
                <w:rFonts w:ascii="Times New Roman" w:cs="Times New Roman" w:eastAsia="Times New Roman" w:hAnsi="Times New Roman"/>
                <w:b w:val="false"/>
                <w:bCs w:val="false"/>
                <w:sz w:val="20"/>
                <w:szCs w:val="20"/>
              </w:rPr>
              <w:t xml:space="preserve">118.8</w:t>
            </w:r>
          </w:p>
        </w:tc>
        <w:tc>
          <w:tcPr>
            <w:tcW w:type="dxa" w:w="1000"/>
          </w:tcPr>
          <w:p>
            <w:pPr>
              <w:jc w:val="left"/>
            </w:pPr>
            <w:r>
              <w:rPr>
                <w:rFonts w:ascii="Times New Roman" w:cs="Times New Roman" w:eastAsia="Times New Roman" w:hAnsi="Times New Roman"/>
                <w:b w:val="false"/>
                <w:bCs w:val="false"/>
                <w:sz w:val="20"/>
                <w:szCs w:val="20"/>
              </w:rPr>
              <w:t xml:space="preserve">~75%</w:t>
            </w:r>
          </w:p>
        </w:tc>
        <w:tc>
          <w:tcPr>
            <w:tcW w:type="dxa" w:w="1000"/>
          </w:tcPr>
          <w:p>
            <w:pPr>
              <w:jc w:val="left"/>
            </w:pPr>
            <w:r>
              <w:rPr>
                <w:rFonts w:ascii="Times New Roman" w:cs="Times New Roman" w:eastAsia="Times New Roman" w:hAnsi="Times New Roman"/>
                <w:b w:val="false"/>
                <w:bCs w:val="false"/>
                <w:sz w:val="20"/>
                <w:szCs w:val="20"/>
              </w:rPr>
              <w:t xml:space="preserve">1.63</w:t>
            </w:r>
          </w:p>
        </w:tc>
        <w:tc>
          <w:tcPr>
            <w:tcW w:type="dxa" w:w="2300"/>
          </w:tcPr>
          <w:p>
            <w:pPr>
              <w:jc w:val="left"/>
            </w:pPr>
            <w:r>
              <w:rPr>
                <w:rFonts w:ascii="Times New Roman" w:cs="Times New Roman" w:eastAsia="Times New Roman" w:hAnsi="Times New Roman"/>
                <w:b w:val="false"/>
                <w:bCs w:val="false"/>
                <w:sz w:val="20"/>
                <w:szCs w:val="20"/>
              </w:rPr>
              <w:t xml:space="preserve">Mobile/EVA (preferred)</w:t>
            </w:r>
          </w:p>
        </w:tc>
      </w:tr>
    </w:tbl>
    <w:p>
      <w:pPr>
        <w:spacing w:after="240" w:before="60"/>
      </w:pPr>
      <w:r>
        <w:rPr>
          <w:rFonts w:ascii="Times New Roman" w:cs="Times New Roman" w:eastAsia="Times New Roman" w:hAnsi="Times New Roman"/>
          <w:i/>
          <w:iCs/>
          <w:sz w:val="20"/>
          <w:szCs w:val="20"/>
        </w:rPr>
        <w:t xml:space="preserve">Table 3. Four-architecture comparison. *B's Earth-launched mass is the one-time excavation/processing capital allocation only; the cladding itself is local mass. ΔF_E is SEP energy-fluence reduction, not absorbed dose (Section 10); η_F is Earth-mass efficiency on the same fluence basis.</w:t>
      </w:r>
    </w:p>
    <w:p>
      <w:pPr>
        <w:pStyle w:val="Heading2"/>
        <w:spacing w:after="120" w:before="240"/>
      </w:pPr>
      <w:r>
        <w:rPr>
          <w:rFonts w:ascii="Times New Roman" w:cs="Times New Roman" w:eastAsia="Times New Roman" w:hAnsi="Times New Roman"/>
          <w:b/>
          <w:bCs/>
          <w:color w:val="1F4E79"/>
          <w:sz w:val="24"/>
          <w:szCs w:val="24"/>
        </w:rPr>
        <w:t xml:space="preserve">8.4 Interpretation</w:t>
      </w:r>
    </w:p>
    <w:p>
      <w:pPr>
        <w:spacing w:after="160" w:line="276"/>
        <w:jc w:val="both"/>
      </w:pPr>
      <w:r>
        <w:rPr>
          <w:rFonts w:ascii="Times New Roman" w:cs="Times New Roman" w:eastAsia="Times New Roman" w:hAnsi="Times New Roman"/>
          <w:b w:val="false"/>
          <w:bCs w:val="false"/>
          <w:i w:val="false"/>
          <w:iCs w:val="false"/>
          <w:sz w:val="22"/>
          <w:szCs w:val="22"/>
        </w:rPr>
        <w:t xml:space="preserve">These results do not support a single “hybrid wins” conclusion, and we do not read them that way. The two mitigations serve different, essentially non-overlapping populations of assets by physical necessity rather than by any deficiency of one architecture relative to the other: fixed equipment can be clad in regolith and, on these results, should be, since even 2 cm of regolith outperforms the fence at an η_F roughly an order of magnitude better (architecture B versus A or D in Table 3); mobile and EVA assets, per the taxonomy of Section 2, cannot be clad in regolith at all and depend entirely on the magnetic fence for any active mitigation, where ISRU structural substitution (architecture D) is the available lever, improving η_F by ≈1.7× relative to a fully imported design (architecture A). The fence's distinct contribution is therefore specifically the protection of assets that regolith cannot reach, while its role for fixed installations is, on this fluence-based evidence, clearly subordinate to direct regolith shielding. We return to this asset-dependent framing as the paper's central architectural conclusion in Section 13.</w:t>
      </w:r>
    </w:p>
    <w:p>
      <w:pPr>
        <w:pStyle w:val="Heading1"/>
        <w:spacing w:after="160" w:before="320"/>
      </w:pPr>
      <w:r>
        <w:rPr>
          <w:rFonts w:ascii="Times New Roman" w:cs="Times New Roman" w:eastAsia="Times New Roman" w:hAnsi="Times New Roman"/>
          <w:b/>
          <w:bCs/>
          <w:color w:val="1F4E79"/>
          <w:sz w:val="28"/>
          <w:szCs w:val="28"/>
        </w:rPr>
        <w:t xml:space="preserve">9. Engineering Mass Budget and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original point design underlying this work reported an unmargined estimate of roughly 12 t of REBCO conductor and 40–60 t total system mass. To convert this into a credible engineering figure, we propagate four factors beyond that point design using Monte Carlo sampling with N = 300,000 draws: an as-built current-derating margin on the REBCO conductor, reflecting the standard aerospace practice of not operating superconducting cable at its nameplate critical current, modeled as Uniform[1.0, 1.5]; a structural/cryostat/leads/power-conditioning factor capturing the mass of everything beyond the bare conductor needed to make a functioning cryogenic coil system, modeled as Uniform[3, 5]; a lunar diurnal thermal-cycling radiator margin to accommodate the roughly 14-day lunar day/night cryocooler heat-rejection swing discussed further in Section 11.2, modeled as Uniform[1.0, 1.5]; and a dust-mitigation margin covering seals, wipers, and electrostatic mitigation hardware needed for long-duration operation in the lunar dust environment, modeled as Uniform[1.0, 1.2]. These four factors are treated as independent for this first-order propagation; we note that some physical correlation between the structural and thermal-cycling margins likely exists in a detailed design, which would narrow rather than widen the propagated distribution, so this independence assumption is conservative in the direction of overstating uncertainty.</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resulting propagated mass distribution has a median of 81 t (90% CI 55–116 t), with an 18% probability of exceeding 100 t. The structural/cryostat factor and the lunar thermal-cycling margin dominate the swing between the four propagated factors, indicating that future refinement effort is best directed at detailed cryostat and radiator design rather than at the conductor current-derating or dust-mitigation margins, which contribute comparatively little to the overall uncertainty. We emphasize, consistent with the editor's feedback on the original submission, that launch mass alone does not establish feasibility: deployment method, thermal management, electrical power supply, dust mitigation, and autonomous or teleoperated construction, addressed directly in Section 11, remain the dominant open engineering uncertainties for this concept, independent of the specific mass figure carried forward from this section.</w:t>
      </w:r>
    </w:p>
    <w:p>
      <w:pPr>
        <w:pStyle w:val="Heading1"/>
        <w:spacing w:after="160" w:before="320"/>
      </w:pPr>
      <w:r>
        <w:rPr>
          <w:rFonts w:ascii="Times New Roman" w:cs="Times New Roman" w:eastAsia="Times New Roman" w:hAnsi="Times New Roman"/>
          <w:b/>
          <w:bCs/>
          <w:color w:val="1F4E79"/>
          <w:sz w:val="28"/>
          <w:szCs w:val="28"/>
        </w:rPr>
        <w:t xml:space="preserve">10. Radiation Dose Context: From Energy-Fluence Reduction to Human and Technological Impact</w:t>
      </w:r>
    </w:p>
    <w:p>
      <w:pPr>
        <w:spacing w:after="160" w:line="276"/>
        <w:jc w:val="both"/>
      </w:pPr>
      <w:r>
        <w:rPr>
          <w:rFonts w:ascii="Times New Roman" w:cs="Times New Roman" w:eastAsia="Times New Roman" w:hAnsi="Times New Roman"/>
          <w:b w:val="false"/>
          <w:bCs w:val="false"/>
          <w:i w:val="false"/>
          <w:iCs w:val="false"/>
          <w:sz w:val="22"/>
          <w:szCs w:val="22"/>
        </w:rPr>
        <w:t xml:space="preserve">The editor's review of the original submission correctly identified that SEP energy-fluence reduction, the metric used throughout Sections 6–9, is not by itself a statement about human or technological risk, and that any claim of protective value should be connected to dose and benchmarked against current approaches. This section addresses that requirement in three steps: a first-order physical estimate of the additional attenuation regolith itself provides (Section 10.1, retained and expanded from the original submission); an explicit discussion of what SEP dose means for human and technological risk, using published NASA dose limits and historical event data (Section 10.2, new); a benchmark comparison against current shielding approaches with published dose-reduction figures (Section 10.3, new); and a fully specified transport-code calculation plan that would close the remaining gap between the fluence-based results of this paper and a genuine dose-based ranking (Section 10.4, retained and expanded).</w:t>
      </w:r>
    </w:p>
    <w:p>
      <w:pPr>
        <w:pStyle w:val="Heading2"/>
        <w:spacing w:after="120" w:before="240"/>
      </w:pPr>
      <w:r>
        <w:rPr>
          <w:rFonts w:ascii="Times New Roman" w:cs="Times New Roman" w:eastAsia="Times New Roman" w:hAnsi="Times New Roman"/>
          <w:b/>
          <w:bCs/>
          <w:color w:val="1F4E79"/>
          <w:sz w:val="24"/>
          <w:szCs w:val="24"/>
        </w:rPr>
        <w:t xml:space="preserve">10.1 First-order CSDA slab-attenuation calculation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fluence-attenuation figures of Section 6.1 (≈95% number fluence, ≈72–75% energy fluence) are not equivalent to absorbed dose, because dose depends on the energy actually deposited in tissue or electronics by the transmitted spectrum, including secondary-particle contributions that a simple fluence calculation omits. As a first-order estimate of the additional effect of regolith, we apply a continuous-slowing-down-approximation (CSDA) slab model: each transmitted proton's residual energy after a regolith slab of given thickness is computed from the power-law range-energy relation R[g/cm²] = 0.00251·E[MeV]^1.75, applied to the SEP spectrum J(E) ∝ exp(−E/30 MeV)/E, with the fence's own transmission curve from Section 6.1 applied first where relevant. This is explicitly a first-order SEP energy-fluence calculation, not a dose calculation: it omits nuclear fragmentation, secondary neutron production, and bremsstrahlung, all of which a full transport code would include and which generally increase local dose relative to a pure CSDA estimate behind thicker absorbers, since secondary particles produced within the shielding material itself contribute additional dose that a CSDA range-energy calculation does not capture. We therefore report its output as ΔF_E (energy-fluence reduction) rather than as a dose quantity, and define the corresponding efficiency metric as η_F = ΔF_E / M_E, explicitly reserving η_D = ΔD / M_E for the dose-based metric that a full transport calculation, specified in Section 10.4, would provide.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500"/>
        <w:gridCol w:w="2100"/>
        <w:gridCol w:w="1500"/>
      </w:tblGrid>
      <w:tr>
        <w:tc>
          <w:tcPr>
            <w:tcW w:type="dxa" w:w="1600"/>
            <w:shd w:fill="DCE6F1" w:val="clear"/>
          </w:tcPr>
          <w:p>
            <w:pPr>
              <w:jc w:val="left"/>
            </w:pPr>
            <w:r>
              <w:rPr>
                <w:rFonts w:ascii="Times New Roman" w:cs="Times New Roman" w:eastAsia="Times New Roman" w:hAnsi="Times New Roman"/>
                <w:b/>
                <w:bCs/>
                <w:sz w:val="20"/>
                <w:szCs w:val="20"/>
              </w:rPr>
              <w:t xml:space="preserve">Thickness</w:t>
            </w:r>
          </w:p>
        </w:tc>
        <w:tc>
          <w:tcPr>
            <w:tcW w:type="dxa" w:w="2000"/>
            <w:shd w:fill="DCE6F1" w:val="clear"/>
          </w:tcPr>
          <w:p>
            <w:pPr>
              <w:jc w:val="left"/>
            </w:pPr>
            <w:r>
              <w:rPr>
                <w:rFonts w:ascii="Times New Roman" w:cs="Times New Roman" w:eastAsia="Times New Roman" w:hAnsi="Times New Roman"/>
                <w:b/>
                <w:bCs/>
                <w:sz w:val="20"/>
                <w:szCs w:val="20"/>
              </w:rPr>
              <w:t xml:space="preserve">B: regolith only ΔF_E</w:t>
            </w:r>
          </w:p>
        </w:tc>
        <w:tc>
          <w:tcPr>
            <w:tcW w:type="dxa" w:w="1500"/>
            <w:shd w:fill="DCE6F1" w:val="clear"/>
          </w:tcPr>
          <w:p>
            <w:pPr>
              <w:jc w:val="left"/>
            </w:pPr>
            <w:r>
              <w:rPr>
                <w:rFonts w:ascii="Times New Roman" w:cs="Times New Roman" w:eastAsia="Times New Roman" w:hAnsi="Times New Roman"/>
                <w:b/>
                <w:bCs/>
                <w:sz w:val="20"/>
                <w:szCs w:val="20"/>
              </w:rPr>
              <w:t xml:space="preserve">B: η_F (%/t)</w:t>
            </w:r>
          </w:p>
        </w:tc>
        <w:tc>
          <w:tcPr>
            <w:tcW w:type="dxa" w:w="2100"/>
            <w:shd w:fill="DCE6F1" w:val="clear"/>
          </w:tcPr>
          <w:p>
            <w:pPr>
              <w:jc w:val="left"/>
            </w:pPr>
            <w:r>
              <w:rPr>
                <w:rFonts w:ascii="Times New Roman" w:cs="Times New Roman" w:eastAsia="Times New Roman" w:hAnsi="Times New Roman"/>
                <w:b/>
                <w:bCs/>
                <w:sz w:val="20"/>
                <w:szCs w:val="20"/>
              </w:rPr>
              <w:t xml:space="preserve">C: fence + regolith ΔF_E</w:t>
            </w:r>
          </w:p>
        </w:tc>
        <w:tc>
          <w:tcPr>
            <w:tcW w:type="dxa" w:w="1500"/>
            <w:shd w:fill="DCE6F1" w:val="clear"/>
          </w:tcPr>
          <w:p>
            <w:pPr>
              <w:jc w:val="left"/>
            </w:pPr>
            <w:r>
              <w:rPr>
                <w:rFonts w:ascii="Times New Roman" w:cs="Times New Roman" w:eastAsia="Times New Roman" w:hAnsi="Times New Roman"/>
                <w:b/>
                <w:bCs/>
                <w:sz w:val="20"/>
                <w:szCs w:val="20"/>
              </w:rPr>
              <w:t xml:space="preserve">C: η_F (%/t)</w:t>
            </w:r>
          </w:p>
        </w:tc>
      </w:tr>
      <w:tr>
        <w:tc>
          <w:tcPr>
            <w:tcW w:type="dxa" w:w="1600"/>
          </w:tcPr>
          <w:p>
            <w:pPr>
              <w:jc w:val="left"/>
            </w:pPr>
            <w:r>
              <w:rPr>
                <w:rFonts w:ascii="Times New Roman" w:cs="Times New Roman" w:eastAsia="Times New Roman" w:hAnsi="Times New Roman"/>
                <w:b w:val="false"/>
                <w:bCs w:val="false"/>
                <w:sz w:val="20"/>
                <w:szCs w:val="20"/>
              </w:rPr>
              <w:t xml:space="preserve">1 cm</w:t>
            </w:r>
          </w:p>
        </w:tc>
        <w:tc>
          <w:tcPr>
            <w:tcW w:type="dxa" w:w="2000"/>
          </w:tcPr>
          <w:p>
            <w:pPr>
              <w:jc w:val="left"/>
            </w:pPr>
            <w:r>
              <w:rPr>
                <w:rFonts w:ascii="Times New Roman" w:cs="Times New Roman" w:eastAsia="Times New Roman" w:hAnsi="Times New Roman"/>
                <w:b w:val="false"/>
                <w:bCs w:val="false"/>
                <w:sz w:val="20"/>
                <w:szCs w:val="20"/>
              </w:rPr>
              <w:t xml:space="preserve">82.1%</w:t>
            </w:r>
          </w:p>
        </w:tc>
        <w:tc>
          <w:tcPr>
            <w:tcW w:type="dxa" w:w="1500"/>
          </w:tcPr>
          <w:p>
            <w:pPr>
              <w:jc w:val="left"/>
            </w:pPr>
            <w:r>
              <w:rPr>
                <w:rFonts w:ascii="Times New Roman" w:cs="Times New Roman" w:eastAsia="Times New Roman" w:hAnsi="Times New Roman"/>
                <w:b w:val="false"/>
                <w:bCs w:val="false"/>
                <w:sz w:val="20"/>
                <w:szCs w:val="20"/>
              </w:rPr>
              <w:t xml:space="preserve">16.41</w:t>
            </w:r>
          </w:p>
        </w:tc>
        <w:tc>
          <w:tcPr>
            <w:tcW w:type="dxa" w:w="2100"/>
          </w:tcPr>
          <w:p>
            <w:pPr>
              <w:jc w:val="left"/>
            </w:pPr>
            <w:r>
              <w:rPr>
                <w:rFonts w:ascii="Times New Roman" w:cs="Times New Roman" w:eastAsia="Times New Roman" w:hAnsi="Times New Roman"/>
                <w:b w:val="false"/>
                <w:bCs w:val="false"/>
                <w:sz w:val="20"/>
                <w:szCs w:val="20"/>
              </w:rPr>
              <w:t xml:space="preserve">90.2%</w:t>
            </w:r>
          </w:p>
        </w:tc>
        <w:tc>
          <w:tcPr>
            <w:tcW w:type="dxa" w:w="1500"/>
          </w:tcPr>
          <w:p>
            <w:pPr>
              <w:jc w:val="left"/>
            </w:pPr>
            <w:r>
              <w:rPr>
                <w:rFonts w:ascii="Times New Roman" w:cs="Times New Roman" w:eastAsia="Times New Roman" w:hAnsi="Times New Roman"/>
                <w:b w:val="false"/>
                <w:bCs w:val="false"/>
                <w:sz w:val="20"/>
                <w:szCs w:val="20"/>
              </w:rPr>
              <w:t xml:space="preserve">1.94</w:t>
            </w:r>
          </w:p>
        </w:tc>
      </w:tr>
      <w:tr>
        <w:tc>
          <w:tcPr>
            <w:tcW w:type="dxa" w:w="1600"/>
          </w:tcPr>
          <w:p>
            <w:pPr>
              <w:jc w:val="left"/>
            </w:pPr>
            <w:r>
              <w:rPr>
                <w:rFonts w:ascii="Times New Roman" w:cs="Times New Roman" w:eastAsia="Times New Roman" w:hAnsi="Times New Roman"/>
                <w:b w:val="false"/>
                <w:bCs w:val="false"/>
                <w:sz w:val="20"/>
                <w:szCs w:val="20"/>
              </w:rPr>
              <w:t xml:space="preserve">2 cm</w:t>
            </w:r>
          </w:p>
        </w:tc>
        <w:tc>
          <w:tcPr>
            <w:tcW w:type="dxa" w:w="2000"/>
          </w:tcPr>
          <w:p>
            <w:pPr>
              <w:jc w:val="left"/>
            </w:pPr>
            <w:r>
              <w:rPr>
                <w:rFonts w:ascii="Times New Roman" w:cs="Times New Roman" w:eastAsia="Times New Roman" w:hAnsi="Times New Roman"/>
                <w:b w:val="false"/>
                <w:bCs w:val="false"/>
                <w:sz w:val="20"/>
                <w:szCs w:val="20"/>
              </w:rPr>
              <w:t xml:space="preserve">91.4%</w:t>
            </w:r>
          </w:p>
        </w:tc>
        <w:tc>
          <w:tcPr>
            <w:tcW w:type="dxa" w:w="1500"/>
          </w:tcPr>
          <w:p>
            <w:pPr>
              <w:jc w:val="left"/>
            </w:pPr>
            <w:r>
              <w:rPr>
                <w:rFonts w:ascii="Times New Roman" w:cs="Times New Roman" w:eastAsia="Times New Roman" w:hAnsi="Times New Roman"/>
                <w:b w:val="false"/>
                <w:bCs w:val="false"/>
                <w:sz w:val="20"/>
                <w:szCs w:val="20"/>
              </w:rPr>
              <w:t xml:space="preserve">18.29</w:t>
            </w:r>
          </w:p>
        </w:tc>
        <w:tc>
          <w:tcPr>
            <w:tcW w:type="dxa" w:w="2100"/>
          </w:tcPr>
          <w:p>
            <w:pPr>
              <w:jc w:val="left"/>
            </w:pPr>
            <w:r>
              <w:rPr>
                <w:rFonts w:ascii="Times New Roman" w:cs="Times New Roman" w:eastAsia="Times New Roman" w:hAnsi="Times New Roman"/>
                <w:b w:val="false"/>
                <w:bCs w:val="false"/>
                <w:sz w:val="20"/>
                <w:szCs w:val="20"/>
              </w:rPr>
              <w:t xml:space="preserve">94.7%</w:t>
            </w:r>
          </w:p>
        </w:tc>
        <w:tc>
          <w:tcPr>
            <w:tcW w:type="dxa" w:w="1500"/>
          </w:tcPr>
          <w:p>
            <w:pPr>
              <w:jc w:val="left"/>
            </w:pPr>
            <w:r>
              <w:rPr>
                <w:rFonts w:ascii="Times New Roman" w:cs="Times New Roman" w:eastAsia="Times New Roman" w:hAnsi="Times New Roman"/>
                <w:b w:val="false"/>
                <w:bCs w:val="false"/>
                <w:sz w:val="20"/>
                <w:szCs w:val="20"/>
              </w:rPr>
              <w:t xml:space="preserve">2.04</w:t>
            </w:r>
          </w:p>
        </w:tc>
      </w:tr>
      <w:tr>
        <w:tc>
          <w:tcPr>
            <w:tcW w:type="dxa" w:w="1600"/>
          </w:tcPr>
          <w:p>
            <w:pPr>
              <w:jc w:val="left"/>
            </w:pPr>
            <w:r>
              <w:rPr>
                <w:rFonts w:ascii="Times New Roman" w:cs="Times New Roman" w:eastAsia="Times New Roman" w:hAnsi="Times New Roman"/>
                <w:b w:val="false"/>
                <w:bCs w:val="false"/>
                <w:sz w:val="20"/>
                <w:szCs w:val="20"/>
              </w:rPr>
              <w:t xml:space="preserve">5 cm</w:t>
            </w:r>
          </w:p>
        </w:tc>
        <w:tc>
          <w:tcPr>
            <w:tcW w:type="dxa" w:w="2000"/>
          </w:tcPr>
          <w:p>
            <w:pPr>
              <w:jc w:val="left"/>
            </w:pPr>
            <w:r>
              <w:rPr>
                <w:rFonts w:ascii="Times New Roman" w:cs="Times New Roman" w:eastAsia="Times New Roman" w:hAnsi="Times New Roman"/>
                <w:b w:val="false"/>
                <w:bCs w:val="false"/>
                <w:sz w:val="20"/>
                <w:szCs w:val="20"/>
              </w:rPr>
              <w:t xml:space="preserve">98.1%</w:t>
            </w:r>
          </w:p>
        </w:tc>
        <w:tc>
          <w:tcPr>
            <w:tcW w:type="dxa" w:w="1500"/>
          </w:tcPr>
          <w:p>
            <w:pPr>
              <w:jc w:val="left"/>
            </w:pPr>
            <w:r>
              <w:rPr>
                <w:rFonts w:ascii="Times New Roman" w:cs="Times New Roman" w:eastAsia="Times New Roman" w:hAnsi="Times New Roman"/>
                <w:b w:val="false"/>
                <w:bCs w:val="false"/>
                <w:sz w:val="20"/>
                <w:szCs w:val="20"/>
              </w:rPr>
              <w:t xml:space="preserve">19.62</w:t>
            </w:r>
          </w:p>
        </w:tc>
        <w:tc>
          <w:tcPr>
            <w:tcW w:type="dxa" w:w="2100"/>
          </w:tcPr>
          <w:p>
            <w:pPr>
              <w:jc w:val="left"/>
            </w:pPr>
            <w:r>
              <w:rPr>
                <w:rFonts w:ascii="Times New Roman" w:cs="Times New Roman" w:eastAsia="Times New Roman" w:hAnsi="Times New Roman"/>
                <w:b w:val="false"/>
                <w:bCs w:val="false"/>
                <w:sz w:val="20"/>
                <w:szCs w:val="20"/>
              </w:rPr>
              <w:t xml:space="preserve">98.6%</w:t>
            </w:r>
          </w:p>
        </w:tc>
        <w:tc>
          <w:tcPr>
            <w:tcW w:type="dxa" w:w="1500"/>
          </w:tcPr>
          <w:p>
            <w:pPr>
              <w:jc w:val="left"/>
            </w:pPr>
            <w:r>
              <w:rPr>
                <w:rFonts w:ascii="Times New Roman" w:cs="Times New Roman" w:eastAsia="Times New Roman" w:hAnsi="Times New Roman"/>
                <w:b w:val="false"/>
                <w:bCs w:val="false"/>
                <w:sz w:val="20"/>
                <w:szCs w:val="20"/>
              </w:rPr>
              <w:t xml:space="preserve">2.13</w:t>
            </w:r>
          </w:p>
        </w:tc>
      </w:tr>
      <w:tr>
        <w:tc>
          <w:tcPr>
            <w:tcW w:type="dxa" w:w="1600"/>
          </w:tcPr>
          <w:p>
            <w:pPr>
              <w:jc w:val="left"/>
            </w:pPr>
            <w:r>
              <w:rPr>
                <w:rFonts w:ascii="Times New Roman" w:cs="Times New Roman" w:eastAsia="Times New Roman" w:hAnsi="Times New Roman"/>
                <w:b w:val="false"/>
                <w:bCs w:val="false"/>
                <w:sz w:val="20"/>
                <w:szCs w:val="20"/>
              </w:rPr>
              <w:t xml:space="preserve">10 cm</w:t>
            </w:r>
          </w:p>
        </w:tc>
        <w:tc>
          <w:tcPr>
            <w:tcW w:type="dxa" w:w="20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19.93</w:t>
            </w:r>
          </w:p>
        </w:tc>
        <w:tc>
          <w:tcPr>
            <w:tcW w:type="dxa" w:w="2100"/>
          </w:tcPr>
          <w:p>
            <w:pPr>
              <w:jc w:val="left"/>
            </w:pPr>
            <w:r>
              <w:rPr>
                <w:rFonts w:ascii="Times New Roman" w:cs="Times New Roman" w:eastAsia="Times New Roman" w:hAnsi="Times New Roman"/>
                <w:b w:val="false"/>
                <w:bCs w:val="false"/>
                <w:sz w:val="20"/>
                <w:szCs w:val="20"/>
              </w:rPr>
              <w:t xml:space="preserve">99.7%</w:t>
            </w:r>
          </w:p>
        </w:tc>
        <w:tc>
          <w:tcPr>
            <w:tcW w:type="dxa" w:w="1500"/>
          </w:tcPr>
          <w:p>
            <w:pPr>
              <w:jc w:val="left"/>
            </w:pPr>
            <w:r>
              <w:rPr>
                <w:rFonts w:ascii="Times New Roman" w:cs="Times New Roman" w:eastAsia="Times New Roman" w:hAnsi="Times New Roman"/>
                <w:b w:val="false"/>
                <w:bCs w:val="false"/>
                <w:sz w:val="20"/>
                <w:szCs w:val="20"/>
              </w:rPr>
              <w:t xml:space="preserve">2.15</w:t>
            </w:r>
          </w:p>
        </w:tc>
      </w:tr>
    </w:tbl>
    <w:p>
      <w:pPr>
        <w:spacing w:after="240" w:before="60"/>
      </w:pPr>
      <w:r>
        <w:rPr>
          <w:rFonts w:ascii="Times New Roman" w:cs="Times New Roman" w:eastAsia="Times New Roman" w:hAnsi="Times New Roman"/>
          <w:i/>
          <w:iCs/>
          <w:sz w:val="20"/>
          <w:szCs w:val="20"/>
        </w:rPr>
        <w:t xml:space="preserve">Table 4. Fixed-equipment case, full regolith-thickness sweep. Regolith-only (B) dominates every fence-assisted configuration (C) in η_F at every thickness tested.</w:t>
      </w:r>
    </w:p>
    <w:p>
      <w:pPr>
        <w:spacing w:after="160" w:line="276"/>
        <w:jc w:val="both"/>
      </w:pPr>
      <w:r>
        <w:rPr>
          <w:rFonts w:ascii="Times New Roman" w:cs="Times New Roman" w:eastAsia="Times New Roman" w:hAnsi="Times New Roman"/>
          <w:b w:val="false"/>
          <w:bCs w:val="false"/>
          <w:i w:val="false"/>
          <w:iCs w:val="false"/>
          <w:sz w:val="22"/>
          <w:szCs w:val="22"/>
        </w:rPr>
        <w:t xml:space="preserve">This first-order model should be treated as a lower bound on required shielding thickness and an upper bound on η_F, since secondary-particle contributions are omitted and would generally require somewhat greater thickness to achieve the same dose reduction than the fluence reduction reported here suggests. It is sufficient to establish the qualitative architectural conclusion of Section 8.4 — that thin regolith cladding saturates SEP energy-fluence attenuation well before the fence's own contribution becomes relevant — but is not sufficient on its own to support mission-level design decisions, which require the dose-based calculation specified in Section 10.4.</w:t>
      </w:r>
    </w:p>
    <w:p>
      <w:pPr>
        <w:pStyle w:val="Heading2"/>
        <w:spacing w:after="120" w:before="240"/>
      </w:pPr>
      <w:r>
        <w:rPr>
          <w:rFonts w:ascii="Times New Roman" w:cs="Times New Roman" w:eastAsia="Times New Roman" w:hAnsi="Times New Roman"/>
          <w:b/>
          <w:bCs/>
          <w:color w:val="1F4E79"/>
          <w:sz w:val="24"/>
          <w:szCs w:val="24"/>
        </w:rPr>
        <w:t xml:space="preserve">10.2 What the shielding metric means for human and technological risk</w:t>
      </w:r>
    </w:p>
    <w:p>
      <w:pPr>
        <w:spacing w:after="160" w:line="276"/>
        <w:jc w:val="both"/>
      </w:pPr>
      <w:r>
        <w:rPr>
          <w:rFonts w:ascii="Times New Roman" w:cs="Times New Roman" w:eastAsia="Times New Roman" w:hAnsi="Times New Roman"/>
          <w:b w:val="false"/>
          <w:bCs w:val="false"/>
          <w:i w:val="false"/>
          <w:iCs w:val="false"/>
          <w:sz w:val="22"/>
          <w:szCs w:val="22"/>
        </w:rPr>
        <w:t xml:space="preserve">NASA's current permissible exposure limits for astronauts distinguish short-term (30-day) organ-specific limits, intended to prevent clinically significant acute effects such as radiation sickness, from career effective-dose limits, intended to bound lifetime cancer risk. The relevant short-term limit for a large SEP event is a blood-forming-organ (BFO) dose of 250 mGy-Eq over 30 days, and the current career limit is an effective dose of 600 mSv, applied uniformly across age and sex under NASA-STD-3001 (NASA, 2022; National Academies of Sciences, Engineering, and Medicine, 2021). These limits are the correct frame of reference for interpreting SEP shielding: a shield's value is not that it reduces energy fluence by some percentage in the abstract, but that it determines whether a given historical or design-reference SEP event pushes an unshielded or lightly shielded crew member's 30-day BFO dose above or below the 250 mGy-Eq acute-effects threshold.</w:t>
      </w:r>
    </w:p>
    <w:p>
      <w:pPr>
        <w:spacing w:after="160" w:line="276"/>
        <w:jc w:val="both"/>
      </w:pPr>
      <w:r>
        <w:rPr>
          <w:rFonts w:ascii="Times New Roman" w:cs="Times New Roman" w:eastAsia="Times New Roman" w:hAnsi="Times New Roman"/>
          <w:b w:val="false"/>
          <w:bCs w:val="false"/>
          <w:i w:val="false"/>
          <w:iCs w:val="false"/>
          <w:sz w:val="22"/>
          <w:szCs w:val="22"/>
        </w:rPr>
        <w:t xml:space="preserve">Historical events illustrate the stakes concretely. Unshielded BFO dose estimates for the largest 20th-century SEP events — August 1972, November 1960, and February 1956 — range from roughly 62 to 411 cSv (Simonsen et al., 1990), one to two orders of magnitude above the 250 mGy-Eq short-term limit and, in the largest case, into a dose range associated with measurable acute radiation syndrome symptoms rather than only elevated long-term cancer risk. This is precisely the gap that any lunar-surface shielding architecture, whether passive or active, exists to close, and it is why the editor's request to connect ΔF_E to dose is scientifically well founded rather than a matter of presentation: an architecture that removes 75% of SEP energy fluence could, depending on the specific event spectrum and secondary-particle production, still leave a crew member above or below the acute-effects threshold, and only a transport calculation resolves which.</w:t>
      </w:r>
    </w:p>
    <w:p>
      <w:pPr>
        <w:pStyle w:val="Heading2"/>
        <w:spacing w:after="120" w:before="240"/>
      </w:pPr>
      <w:r>
        <w:rPr>
          <w:rFonts w:ascii="Times New Roman" w:cs="Times New Roman" w:eastAsia="Times New Roman" w:hAnsi="Times New Roman"/>
          <w:b/>
          <w:bCs/>
          <w:color w:val="1F4E79"/>
          <w:sz w:val="24"/>
          <w:szCs w:val="24"/>
        </w:rPr>
        <w:t xml:space="preserve">10.3 Benchmark comparison against current shielding approaches</w:t>
      </w:r>
    </w:p>
    <w:p>
      <w:pPr>
        <w:spacing w:after="160" w:line="276"/>
        <w:jc w:val="both"/>
      </w:pPr>
      <w:r>
        <w:rPr>
          <w:rFonts w:ascii="Times New Roman" w:cs="Times New Roman" w:eastAsia="Times New Roman" w:hAnsi="Times New Roman"/>
          <w:b w:val="false"/>
          <w:bCs w:val="false"/>
          <w:i w:val="false"/>
          <w:iCs w:val="false"/>
          <w:sz w:val="22"/>
          <w:szCs w:val="22"/>
        </w:rPr>
        <w:t xml:space="preserve">To situate the magnetic fence and ISRU regolith architectures of this paper within the existing landscape of lunar and deep-space radiation protection, Table 5 summarizes published dose-reduction figures for three current approaches, alongside the fluence-reduction figures established for this paper's own architectures in Sections 6 and 10.1. The AstroRad wearable shielding vest, flown unpopulated aboard the uncrewed Artemis I mission as part of the Matroshka AstroRad Radiation Experiment (MARE), used measured radiation-transport data from that flight to model the vest's effect on a design-reference SEP event: for an event modeled on the August 1972 storm, the vest was calculated to reduce effective dose from 233.6 to 89.4 mSv at the modeled seat location, a 61.8% reduction, and for an event modeled on the October 1989 storm, from 249.9 to 149.4 mSv, a 40.2% reduction (International Astronautical Congress, 2024). These figures are dose-based, not fluence-based, and are directly comparable to the η_D metric this paper's architecture will require a transport calculation to produce.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100"/>
        <w:gridCol w:w="2700"/>
      </w:tblGrid>
      <w:tr>
        <w:tc>
          <w:tcPr>
            <w:tcW w:type="dxa" w:w="2700"/>
            <w:shd w:fill="DCE6F1" w:val="clear"/>
          </w:tcPr>
          <w:p>
            <w:pPr>
              <w:jc w:val="left"/>
            </w:pPr>
            <w:r>
              <w:rPr>
                <w:rFonts w:ascii="Times New Roman" w:cs="Times New Roman" w:eastAsia="Times New Roman" w:hAnsi="Times New Roman"/>
                <w:b/>
                <w:bCs/>
                <w:sz w:val="20"/>
                <w:szCs w:val="20"/>
              </w:rPr>
              <w:t xml:space="preserve">Approach</w:t>
            </w:r>
          </w:p>
        </w:tc>
        <w:tc>
          <w:tcPr>
            <w:tcW w:type="dxa" w:w="1500"/>
            <w:shd w:fill="DCE6F1" w:val="clear"/>
          </w:tcPr>
          <w:p>
            <w:pPr>
              <w:jc w:val="left"/>
            </w:pPr>
            <w:r>
              <w:rPr>
                <w:rFonts w:ascii="Times New Roman" w:cs="Times New Roman" w:eastAsia="Times New Roman" w:hAnsi="Times New Roman"/>
                <w:b/>
                <w:bCs/>
                <w:sz w:val="20"/>
                <w:szCs w:val="20"/>
              </w:rPr>
              <w:t xml:space="preserve">Metric type</w:t>
            </w:r>
          </w:p>
        </w:tc>
        <w:tc>
          <w:tcPr>
            <w:tcW w:type="dxa" w:w="2100"/>
            <w:shd w:fill="DCE6F1" w:val="clear"/>
          </w:tcPr>
          <w:p>
            <w:pPr>
              <w:jc w:val="left"/>
            </w:pPr>
            <w:r>
              <w:rPr>
                <w:rFonts w:ascii="Times New Roman" w:cs="Times New Roman" w:eastAsia="Times New Roman" w:hAnsi="Times New Roman"/>
                <w:b/>
                <w:bCs/>
                <w:sz w:val="20"/>
                <w:szCs w:val="20"/>
              </w:rPr>
              <w:t xml:space="preserve">Reported reduction</w:t>
            </w:r>
          </w:p>
        </w:tc>
        <w:tc>
          <w:tcPr>
            <w:tcW w:type="dxa" w:w="2700"/>
            <w:shd w:fill="DCE6F1" w:val="clear"/>
          </w:tcPr>
          <w:p>
            <w:pPr>
              <w:jc w:val="left"/>
            </w:pPr>
            <w:r>
              <w:rPr>
                <w:rFonts w:ascii="Times New Roman" w:cs="Times New Roman" w:eastAsia="Times New Roman" w:hAnsi="Times New Roman"/>
                <w:b/>
                <w:bCs/>
                <w:sz w:val="20"/>
                <w:szCs w:val="20"/>
              </w:rPr>
              <w:t xml:space="preserve">Basis</w:t>
            </w:r>
          </w:p>
        </w:tc>
      </w:tr>
      <w:tr>
        <w:tc>
          <w:tcPr>
            <w:tcW w:type="dxa" w:w="2700"/>
          </w:tcPr>
          <w:p>
            <w:pPr>
              <w:jc w:val="left"/>
            </w:pPr>
            <w:r>
              <w:rPr>
                <w:rFonts w:ascii="Times New Roman" w:cs="Times New Roman" w:eastAsia="Times New Roman" w:hAnsi="Times New Roman"/>
                <w:b w:val="false"/>
                <w:bCs w:val="false"/>
                <w:sz w:val="20"/>
                <w:szCs w:val="20"/>
              </w:rPr>
              <w:t xml:space="preserve">AstroRad wearable vest (Orion/MARE)</w:t>
            </w:r>
          </w:p>
        </w:tc>
        <w:tc>
          <w:tcPr>
            <w:tcW w:type="dxa" w:w="1500"/>
          </w:tcPr>
          <w:p>
            <w:pPr>
              <w:jc w:val="left"/>
            </w:pPr>
            <w:r>
              <w:rPr>
                <w:rFonts w:ascii="Times New Roman" w:cs="Times New Roman" w:eastAsia="Times New Roman" w:hAnsi="Times New Roman"/>
                <w:b w:val="false"/>
                <w:bCs w:val="false"/>
                <w:sz w:val="20"/>
                <w:szCs w:val="20"/>
              </w:rPr>
              <w:t xml:space="preserve">Effective dose</w:t>
            </w:r>
          </w:p>
        </w:tc>
        <w:tc>
          <w:tcPr>
            <w:tcW w:type="dxa" w:w="2100"/>
          </w:tcPr>
          <w:p>
            <w:pPr>
              <w:jc w:val="left"/>
            </w:pPr>
            <w:r>
              <w:rPr>
                <w:rFonts w:ascii="Times New Roman" w:cs="Times New Roman" w:eastAsia="Times New Roman" w:hAnsi="Times New Roman"/>
                <w:b w:val="false"/>
                <w:bCs w:val="false"/>
                <w:sz w:val="20"/>
                <w:szCs w:val="20"/>
              </w:rPr>
              <w:t xml:space="preserve">40–62% (event-dependent)</w:t>
            </w:r>
          </w:p>
        </w:tc>
        <w:tc>
          <w:tcPr>
            <w:tcW w:type="dxa" w:w="2700"/>
          </w:tcPr>
          <w:p>
            <w:pPr>
              <w:jc w:val="left"/>
            </w:pPr>
            <w:r>
              <w:rPr>
                <w:rFonts w:ascii="Times New Roman" w:cs="Times New Roman" w:eastAsia="Times New Roman" w:hAnsi="Times New Roman"/>
                <w:b w:val="false"/>
                <w:bCs w:val="false"/>
                <w:sz w:val="20"/>
                <w:szCs w:val="20"/>
              </w:rPr>
              <w:t xml:space="preserve">Flight-measured transport, Aug. 1972 / Oct. 1989 modeled events</w:t>
            </w:r>
          </w:p>
        </w:tc>
      </w:tr>
      <w:tr>
        <w:tc>
          <w:tcPr>
            <w:tcW w:type="dxa" w:w="2700"/>
          </w:tcPr>
          <w:p>
            <w:pPr>
              <w:jc w:val="left"/>
            </w:pPr>
            <w:r>
              <w:rPr>
                <w:rFonts w:ascii="Times New Roman" w:cs="Times New Roman" w:eastAsia="Times New Roman" w:hAnsi="Times New Roman"/>
                <w:b w:val="false"/>
                <w:bCs w:val="false"/>
                <w:sz w:val="20"/>
                <w:szCs w:val="20"/>
              </w:rPr>
              <w:t xml:space="preserve">Regolith cladding, 2 cm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91.4%</w:t>
            </w:r>
          </w:p>
        </w:tc>
        <w:tc>
          <w:tcPr>
            <w:tcW w:type="dxa" w:w="2700"/>
          </w:tcPr>
          <w:p>
            <w:pPr>
              <w:jc w:val="left"/>
            </w:pPr>
            <w:r>
              <w:rPr>
                <w:rFonts w:ascii="Times New Roman" w:cs="Times New Roman" w:eastAsia="Times New Roman" w:hAnsi="Times New Roman"/>
                <w:b w:val="false"/>
                <w:bCs w:val="false"/>
                <w:sz w:val="20"/>
                <w:szCs w:val="20"/>
              </w:rPr>
              <w:t xml:space="preserve">First-order CSDA slab model, Section 10.1</w:t>
            </w:r>
          </w:p>
        </w:tc>
      </w:tr>
      <w:tr>
        <w:tc>
          <w:tcPr>
            <w:tcW w:type="dxa" w:w="2700"/>
          </w:tcPr>
          <w:p>
            <w:pPr>
              <w:jc w:val="left"/>
            </w:pPr>
            <w:r>
              <w:rPr>
                <w:rFonts w:ascii="Times New Roman" w:cs="Times New Roman" w:eastAsia="Times New Roman" w:hAnsi="Times New Roman"/>
                <w:b w:val="false"/>
                <w:bCs w:val="false"/>
                <w:sz w:val="20"/>
                <w:szCs w:val="20"/>
              </w:rPr>
              <w:t xml:space="preserve">ISRU-structural magnetic fence (this paper)</w:t>
            </w:r>
          </w:p>
        </w:tc>
        <w:tc>
          <w:tcPr>
            <w:tcW w:type="dxa" w:w="1500"/>
          </w:tcPr>
          <w:p>
            <w:pPr>
              <w:jc w:val="left"/>
            </w:pPr>
            <w:r>
              <w:rPr>
                <w:rFonts w:ascii="Times New Roman" w:cs="Times New Roman" w:eastAsia="Times New Roman" w:hAnsi="Times New Roman"/>
                <w:b w:val="false"/>
                <w:bCs w:val="false"/>
                <w:sz w:val="20"/>
                <w:szCs w:val="20"/>
              </w:rPr>
              <w:t xml:space="preserve">SEP energy fluence</w:t>
            </w:r>
          </w:p>
        </w:tc>
        <w:tc>
          <w:tcPr>
            <w:tcW w:type="dxa" w:w="2100"/>
          </w:tcPr>
          <w:p>
            <w:pPr>
              <w:jc w:val="left"/>
            </w:pPr>
            <w:r>
              <w:rPr>
                <w:rFonts w:ascii="Times New Roman" w:cs="Times New Roman" w:eastAsia="Times New Roman" w:hAnsi="Times New Roman"/>
                <w:b w:val="false"/>
                <w:bCs w:val="false"/>
                <w:sz w:val="20"/>
                <w:szCs w:val="20"/>
              </w:rPr>
              <w:t xml:space="preserve">~75%</w:t>
            </w:r>
          </w:p>
        </w:tc>
        <w:tc>
          <w:tcPr>
            <w:tcW w:type="dxa" w:w="2700"/>
          </w:tcPr>
          <w:p>
            <w:pPr>
              <w:jc w:val="left"/>
            </w:pPr>
            <w:r>
              <w:rPr>
                <w:rFonts w:ascii="Times New Roman" w:cs="Times New Roman" w:eastAsia="Times New Roman" w:hAnsi="Times New Roman"/>
                <w:b w:val="false"/>
                <w:bCs w:val="false"/>
                <w:sz w:val="20"/>
                <w:szCs w:val="20"/>
              </w:rPr>
              <w:t xml:space="preserve">Boris-pusher simulation, Section 6.1</w:t>
            </w:r>
          </w:p>
        </w:tc>
      </w:tr>
      <w:tr>
        <w:tc>
          <w:tcPr>
            <w:tcW w:type="dxa" w:w="2700"/>
          </w:tcPr>
          <w:p>
            <w:pPr>
              <w:jc w:val="left"/>
            </w:pPr>
            <w:r>
              <w:rPr>
                <w:rFonts w:ascii="Times New Roman" w:cs="Times New Roman" w:eastAsia="Times New Roman" w:hAnsi="Times New Roman"/>
                <w:b w:val="false"/>
                <w:bCs w:val="false"/>
                <w:sz w:val="20"/>
                <w:szCs w:val="20"/>
              </w:rPr>
              <w:t xml:space="preserve">Buried/berm-covered habitat (literature)</w:t>
            </w:r>
          </w:p>
        </w:tc>
        <w:tc>
          <w:tcPr>
            <w:tcW w:type="dxa" w:w="1500"/>
          </w:tcPr>
          <w:p>
            <w:pPr>
              <w:jc w:val="left"/>
            </w:pPr>
            <w:r>
              <w:rPr>
                <w:rFonts w:ascii="Times New Roman" w:cs="Times New Roman" w:eastAsia="Times New Roman" w:hAnsi="Times New Roman"/>
                <w:b w:val="false"/>
                <w:bCs w:val="false"/>
                <w:sz w:val="20"/>
                <w:szCs w:val="20"/>
              </w:rPr>
              <w:t xml:space="preserve">Dose (qualitative)</w:t>
            </w:r>
          </w:p>
        </w:tc>
        <w:tc>
          <w:tcPr>
            <w:tcW w:type="dxa" w:w="2100"/>
          </w:tcPr>
          <w:p>
            <w:pPr>
              <w:jc w:val="left"/>
            </w:pPr>
            <w:r>
              <w:rPr>
                <w:rFonts w:ascii="Times New Roman" w:cs="Times New Roman" w:eastAsia="Times New Roman" w:hAnsi="Times New Roman"/>
                <w:b w:val="false"/>
                <w:bCs w:val="false"/>
                <w:sz w:val="20"/>
                <w:szCs w:val="20"/>
              </w:rPr>
              <w:t xml:space="preserve">Near-complete for SEP; substantial for GCR at typical overburden</w:t>
            </w:r>
          </w:p>
        </w:tc>
        <w:tc>
          <w:tcPr>
            <w:tcW w:type="dxa" w:w="2700"/>
          </w:tcPr>
          <w:p>
            <w:pPr>
              <w:jc w:val="left"/>
            </w:pPr>
            <w:r>
              <w:rPr>
                <w:rFonts w:ascii="Times New Roman" w:cs="Times New Roman" w:eastAsia="Times New Roman" w:hAnsi="Times New Roman"/>
                <w:b w:val="false"/>
                <w:bCs w:val="false"/>
                <w:sz w:val="20"/>
                <w:szCs w:val="20"/>
              </w:rPr>
              <w:t xml:space="preserve">Standard passive-shielding practice</w:t>
            </w:r>
          </w:p>
        </w:tc>
      </w:tr>
    </w:tbl>
    <w:p>
      <w:pPr>
        <w:spacing w:after="240" w:before="60"/>
      </w:pPr>
      <w:r>
        <w:rPr>
          <w:rFonts w:ascii="Times New Roman" w:cs="Times New Roman" w:eastAsia="Times New Roman" w:hAnsi="Times New Roman"/>
          <w:i/>
          <w:iCs/>
          <w:sz w:val="20"/>
          <w:szCs w:val="20"/>
        </w:rPr>
        <w:t xml:space="preserve">Table 5. Benchmark comparison of current and proposed lunar-surface SEP mitigation approaches. Rows mix dose-based and fluence-based metrics, as noted, because a dose-based figure is not yet available for the architectures introduced in this paper (Section 10.4).</w:t>
      </w:r>
    </w:p>
    <w:p>
      <w:pPr>
        <w:spacing w:after="160" w:line="276"/>
        <w:jc w:val="both"/>
      </w:pPr>
      <w:r>
        <w:rPr>
          <w:rFonts w:ascii="Times New Roman" w:cs="Times New Roman" w:eastAsia="Times New Roman" w:hAnsi="Times New Roman"/>
          <w:b w:val="false"/>
          <w:bCs w:val="false"/>
          <w:i w:val="false"/>
          <w:iCs w:val="false"/>
          <w:sz w:val="22"/>
          <w:szCs w:val="22"/>
        </w:rPr>
        <w:t xml:space="preserve">Two observations follow from Table 5. First, the AstroRad results confirm that dose-reduction fractions for real, flight-validated shielding concepts are event-dependent, varying by roughly a factor of 1.5 between the two modeled historical events in that study; this event-dependence is a further reason that this paper's own architectures cannot be assigned a single dose-reduction figure without running the equivalent event-specific transport calculation specified in Section 10.4. Second, the regolith and magnetic-fence fluence-reduction figures reported in this paper are numerically similar in magnitude to the AstroRad dose-reduction figures, which is an encouraging but not sufficient indication that the fluence-based ranking of Section 8.4 is likely to survive translation into a dose-based ranking; only the transport calculation can confirm this.</w:t>
      </w:r>
    </w:p>
    <w:p>
      <w:pPr>
        <w:pStyle w:val="Heading2"/>
        <w:spacing w:after="120" w:before="240"/>
      </w:pPr>
      <w:r>
        <w:rPr>
          <w:rFonts w:ascii="Times New Roman" w:cs="Times New Roman" w:eastAsia="Times New Roman" w:hAnsi="Times New Roman"/>
          <w:b/>
          <w:bCs/>
          <w:color w:val="1F4E79"/>
          <w:sz w:val="24"/>
          <w:szCs w:val="24"/>
        </w:rPr>
        <w:t xml:space="preserve">10.4 Specification of the required transport validation</w:t>
      </w:r>
    </w:p>
    <w:p>
      <w:pPr>
        <w:spacing w:after="160" w:line="276"/>
        <w:jc w:val="both"/>
      </w:pPr>
      <w:r>
        <w:rPr>
          <w:rFonts w:ascii="Times New Roman" w:cs="Times New Roman" w:eastAsia="Times New Roman" w:hAnsi="Times New Roman"/>
          <w:b w:val="false"/>
          <w:bCs w:val="false"/>
          <w:i w:val="false"/>
          <w:iCs w:val="false"/>
          <w:sz w:val="22"/>
          <w:szCs w:val="22"/>
        </w:rPr>
        <w:t xml:space="preserve">Converting ΔF_E into a genuine absorbed-dose figure ΔD requires a coupled space-radiation transport calculation, which is beyond the scope of this paper's first-order feasibility analysis but is fully specified here as the paper's required next step, matching the editor's request that the manuscript relate shielding level to human or technological impact. We propose HZETRN2020 (Slaba et al., 2020), which traces its lineage to the original HZETRN deterministic transport formalism developed for space radiation shielding analysis (Wilson et al., 1991), as the primary candidate, since it is a deterministic transport code purpose-built for solar-particle-event and galactic-cosmic-ray environments with user-defined incident spectra, arbitrary shielding materials, and layered or three-dimensional geometry, and is the transport code used in the AstroRad/MARE dose analysis referenced in Section 10.3, which allows for a directly comparable dose-reduction figure. Geant4 (Agostinelli et al., 2003) is the appropriate alternative where explicit Monte Carlo secondary-particle tracking and arbitrary target geometry are required, at correspondingly greater computational cost.</w:t>
      </w:r>
    </w:p>
    <w:p>
      <w:pPr>
        <w:spacing w:after="160" w:line="276"/>
        <w:jc w:val="both"/>
      </w:pPr>
      <w:r>
        <w:rPr>
          <w:rFonts w:ascii="Times New Roman" w:cs="Times New Roman" w:eastAsia="Times New Roman" w:hAnsi="Times New Roman"/>
          <w:b w:val="false"/>
          <w:bCs w:val="false"/>
          <w:i w:val="false"/>
          <w:iCs w:val="false"/>
          <w:sz w:val="22"/>
          <w:szCs w:val="22"/>
        </w:rPr>
        <w:t xml:space="preserve">The proposed calculation chain is: (i) the incident SEP spectrum J(E) used throughout this work, together with one or more historical design-reference spectra such as the October 1989 event series used in NASA's own SPE habitat design guidance; (ii) the magnetic fence's transmitted spectrum from the Boris-pusher simulation of Section 4 as an intermediate boundary condition; (iii) transport through regolith slabs of 0, 1, 2, 5, and 10 cm, matching Table 4; (iv) absorbed dose, and, with an appropriate quality-factor treatment, dose equivalent, scored at a tissue-equivalent target behind each configuration; repeated for all four architectures of Table 3. This calculation chain would directly yield η_D = ΔD / M_E for each architecture, allow direct comparison against the AstroRad and historical-event dose figures of Section 10.2–10.3 on a common footing, and confirm or revise the architectural ranking presently established in Section 8.4 on fluence grounds only.</w:t>
      </w:r>
    </w:p>
    <w:p>
      <w:pPr>
        <w:pStyle w:val="Heading1"/>
        <w:spacing w:after="160" w:before="320"/>
      </w:pPr>
      <w:r>
        <w:rPr>
          <w:rFonts w:ascii="Times New Roman" w:cs="Times New Roman" w:eastAsia="Times New Roman" w:hAnsi="Times New Roman"/>
          <w:b/>
          <w:bCs/>
          <w:color w:val="1F4E79"/>
          <w:sz w:val="28"/>
          <w:szCs w:val="28"/>
        </w:rPr>
        <w:t xml:space="preserve">11. Engineering Feasibility: Launch, Cooling, Power, and Reliability</w:t>
      </w:r>
    </w:p>
    <w:p>
      <w:pPr>
        <w:spacing w:after="160" w:line="276"/>
        <w:jc w:val="both"/>
      </w:pPr>
      <w:r>
        <w:rPr>
          <w:rFonts w:ascii="Times New Roman" w:cs="Times New Roman" w:eastAsia="Times New Roman" w:hAnsi="Times New Roman"/>
          <w:b w:val="false"/>
          <w:bCs w:val="false"/>
          <w:i w:val="false"/>
          <w:iCs w:val="false"/>
          <w:sz w:val="22"/>
          <w:szCs w:val="22"/>
        </w:rPr>
        <w:t xml:space="preserve">The editor's review identified launch capacity, cooling, and power feasibility as inadequately addressed in the original submission. This section provides first-order, explicitly flagged engineering estimates for each, together with a reliability discussion grounded in the array's verified scaling behavior. As with the CSDA dose-context calculation of Section 10.1, these are order-of-magnitude estimates intended to establish whether the concept is plausibly buildable and to identify which subsystem dominates the remaining uncertainty; they are not a substitute for detailed subsystem engineering, which we identify explicitly as future work in Section 14.</w:t>
      </w:r>
    </w:p>
    <w:p>
      <w:pPr>
        <w:pStyle w:val="Heading2"/>
        <w:spacing w:after="120" w:before="240"/>
      </w:pPr>
      <w:r>
        <w:rPr>
          <w:rFonts w:ascii="Times New Roman" w:cs="Times New Roman" w:eastAsia="Times New Roman" w:hAnsi="Times New Roman"/>
          <w:b/>
          <w:bCs/>
          <w:color w:val="1F4E79"/>
          <w:sz w:val="24"/>
          <w:szCs w:val="24"/>
        </w:rPr>
        <w:t xml:space="preserve">11.1 Launch and deployment feasibility</w:t>
      </w:r>
    </w:p>
    <w:p>
      <w:pPr>
        <w:spacing w:after="160" w:line="276"/>
        <w:jc w:val="both"/>
      </w:pPr>
      <w:r>
        <w:t>Table 6 places this paper's Earth-launched mass figures (81.0 t for the fully imported architecture A, 46.4 t for the ISRU-structural architecture D) against the lunar-surface cargo capacities NASA and Blue Origin have each publicly quantified for vehicles under development for the Artemis program: NASA's own program description states that the large cargo-lander variants of Starship and Blue Moon (“Human-Class Delivery Landers,” planned for Artemis VII and later) will be capable of delivering approximately 12–15 t to the lunar surface (Creech et al., 2025), and Blue Origin states a cargo capacity of approximately 3 t for the smaller Blue Moon Mark 1 lander (Blue Origin, 2025). NASA's Human Landing System program materials describe an on-orbit propellant-transfer architecture intended to enable the larger, crewed Starship HLS variant to deliver substantially more mass than these cargo-specific landers, but, at the time of writing, NASA has not published a single definitive tonnage figure for that variant's own cargo-delivery mode; we therefore benchmark only against the two capacities that are publicly quantified by name, both of which fall below either architecture's Earth-launched mass. Neither architecture is deliverable in a single flight against either of these two benchmarks, reinforcing the modular, multi-flight delivery profile already discussed below regardless of which lander ultimately performs the delivery.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CE6F1" w:val="clear"/>
          </w:tcPr>
          <w:p>
            <w:pPr>
              <w:jc w:val="left"/>
            </w:pPr>
            <w:r>
              <w:rPr>
                <w:rFonts w:ascii="Times New Roman" w:cs="Times New Roman" w:eastAsia="Times New Roman" w:hAnsi="Times New Roman"/>
                <w:b/>
                <w:bCs/>
                <w:sz w:val="20"/>
                <w:szCs w:val="20"/>
              </w:rPr>
              <w:t xml:space="preserve">Delivery scenario</w:t>
            </w:r>
          </w:p>
        </w:tc>
        <w:tc>
          <w:tcPr>
            <w:tcW w:type="dxa" w:w="3000"/>
            <w:shd w:fill="DCE6F1" w:val="clear"/>
          </w:tcPr>
          <w:p>
            <w:pPr>
              <w:jc w:val="left"/>
            </w:pPr>
            <w:r>
              <w:rPr>
                <w:rFonts w:ascii="Times New Roman" w:cs="Times New Roman" w:eastAsia="Times New Roman" w:hAnsi="Times New Roman"/>
                <w:b/>
                <w:bCs/>
                <w:sz w:val="20"/>
                <w:szCs w:val="20"/>
              </w:rPr>
              <w:t xml:space="preserve">Reported/assumed payload-to-surface (t)</w:t>
            </w:r>
          </w:p>
        </w:tc>
        <w:tc>
          <w:tcPr>
            <w:tcW w:type="dxa" w:w="3000"/>
            <w:shd w:fill="DCE6F1" w:val="clear"/>
          </w:tcPr>
          <w:p>
            <w:pPr>
              <w:jc w:val="left"/>
            </w:pPr>
            <w:r>
              <w:rPr>
                <w:rFonts w:ascii="Times New Roman" w:cs="Times New Roman" w:eastAsia="Times New Roman" w:hAnsi="Times New Roman"/>
                <w:b/>
                <w:bCs/>
                <w:sz w:val="20"/>
                <w:szCs w:val="20"/>
              </w:rPr>
              <w:t xml:space="preserve">Fence architectures deliverable in single flight?</w:t>
            </w:r>
          </w:p>
        </w:tc>
      </w:tr>
      <w:tr>
        <w:tc>
          <w:tcPr>
            <w:tcW w:type="dxa" w:w="3000"/>
          </w:tcPr>
          <w:p>
            <w:pPr>
              <w:jc w:val="left"/>
            </w:pPr>
            <w:r>
              <w:rPr>
                <w:rFonts w:ascii="Times New Roman" w:cs="Times New Roman" w:eastAsia="Times New Roman" w:hAnsi="Times New Roman"/>
                <w:b w:val="false"/>
                <w:bCs w:val="false"/>
                <w:sz w:val="20"/>
                <w:szCs w:val="20"/>
              </w:rPr>
              <w:t xml:space="preserve">Starship HLS cargo variant</w:t>
            </w:r>
          </w:p>
        </w:tc>
        <w:tc>
          <w:tcPr>
            <w:tcW w:type="dxa" w:w="3000"/>
          </w:tcPr>
          <w:p>
            <w:pPr>
              <w:jc w:val="left"/>
            </w:pPr>
            <w:r>
              <w:rPr>
                <w:rFonts w:ascii="Times New Roman" w:cs="Times New Roman" w:eastAsia="Times New Roman" w:hAnsi="Times New Roman"/>
                <w:b w:val="false"/>
                <w:bCs w:val="false"/>
                <w:sz w:val="20"/>
                <w:szCs w:val="20"/>
              </w:rPr>
              <w:t xml:space="preserve">12–15</w:t>
            </w:r>
          </w:p>
        </w:tc>
        <w:tc>
          <w:tcPr>
            <w:tcW w:type="dxa" w:w="3000"/>
          </w:tcPr>
          <w:p>
            <w:pPr>
              <w:jc w:val="left"/>
            </w:pPr>
            <w:r>
              <w:rPr>
                <w:rFonts w:ascii="Times New Roman" w:cs="Times New Roman" w:eastAsia="Times New Roman" w:hAnsi="Times New Roman"/>
                <w:b w:val="false"/>
                <w:bCs w:val="false"/>
                <w:sz w:val="20"/>
                <w:szCs w:val="20"/>
              </w:rPr>
              <w:t xml:space="preserve">Neither A nor D in a single flight; both require multiple flights or modular delivery</w:t>
            </w:r>
          </w:p>
        </w:tc>
      </w:tr>
      <w:tr>
        <w:tc>
          <w:tcPr>
            <w:tcW w:type="dxa" w:w="3000"/>
          </w:tcPr>
          <w:p>
            <w:pPr>
              <w:jc w:val="left"/>
            </w:pPr>
            <w:r>
              <w:rPr>
                <w:rFonts w:ascii="Times New Roman" w:cs="Times New Roman" w:eastAsia="Times New Roman" w:hAnsi="Times New Roman"/>
                <w:b w:val="false"/>
                <w:bCs w:val="false"/>
                <w:sz w:val="20"/>
                <w:szCs w:val="20"/>
              </w:rPr>
              <w:t xml:space="preserve">Blue Moon Mark 1 (cargo)</w:t>
            </w:r>
          </w:p>
        </w:tc>
        <w:tc>
          <w:tcPr>
            <w:tcW w:type="dxa" w:w="3000"/>
          </w:tcPr>
          <w:p>
            <w:pPr>
              <w:jc w:val="left"/>
            </w:pPr>
            <w:r>
              <w:rPr>
                <w:rFonts w:ascii="Times New Roman" w:cs="Times New Roman" w:eastAsia="Times New Roman" w:hAnsi="Times New Roman"/>
                <w:b w:val="false"/>
                <w:bCs w:val="false"/>
                <w:sz w:val="20"/>
                <w:szCs w:val="20"/>
              </w:rPr>
              <w:t xml:space="preserve">~3</w:t>
            </w:r>
          </w:p>
        </w:tc>
        <w:tc>
          <w:tcPr>
            <w:tcW w:type="dxa" w:w="3000"/>
          </w:tcPr>
          <w:p>
            <w:pPr>
              <w:jc w:val="left"/>
            </w:pPr>
            <w:r>
              <w:rPr>
                <w:rFonts w:ascii="Times New Roman" w:cs="Times New Roman" w:eastAsia="Times New Roman" w:hAnsi="Times New Roman"/>
                <w:b w:val="false"/>
                <w:bCs w:val="false"/>
                <w:sz w:val="20"/>
                <w:szCs w:val="20"/>
              </w:rPr>
              <w:t xml:space="preserve">Requires delivery in many modular segments for either architecture</w:t>
            </w:r>
          </w:p>
        </w:tc>
      </w:tr>
    </w:tbl>
    <w:p>
      <w:pPr>
        <w:spacing w:after="240" w:before="60"/>
      </w:pPr>
      <w:r>
        <w:rPr>
          <w:rFonts w:ascii="Times New Roman" w:cs="Times New Roman" w:eastAsia="Times New Roman" w:hAnsi="Times New Roman"/>
          <w:i/>
          <w:iCs/>
          <w:sz w:val="20"/>
          <w:szCs w:val="20"/>
        </w:rPr>
        <w:t xml:space="preserve">Table 6. Illustrative comparison of this paper's Earth-launched mass figures against publicly reported near-term lunar cargo delivery capacities. Figures for delivery vehicles are as publicly reported by the vendor or agency sources cited in the text and are subject to change as these vehicles complete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Beyond raw payload capacity, deployment sequencing matters: a 22-coil array spread across a 200 m by 1000 m footprint (Section 3) cannot be delivered, unpacked, and precisely positioned in a single monolithic unit regardless of the delivering vehicle's total payload capacity, and is far more naturally delivered as 22 (or more, allowing for spares and staged deployment) individually manageable coil modules, each landed or transported to its designated site and then connected to shared power and control infrastructure. This modular delivery profile is, incidentally, well matched to the distributed array's inherent single-point-of-failure tolerance (Section 6.1): a partial or delayed delivery manifest can bring the array online with a subset of sites active, providing partial protection immediately rather than requiring the full system to be complete before any protection is available, which is not possible for the monolithic dipole alternative.</w:t>
      </w:r>
    </w:p>
    <w:p>
      <w:pPr>
        <w:pStyle w:val="Heading2"/>
        <w:spacing w:after="120" w:before="240"/>
      </w:pPr>
      <w:r>
        <w:rPr>
          <w:rFonts w:ascii="Times New Roman" w:cs="Times New Roman" w:eastAsia="Times New Roman" w:hAnsi="Times New Roman"/>
          <w:b/>
          <w:bCs/>
          <w:color w:val="1F4E79"/>
          <w:sz w:val="24"/>
          <w:szCs w:val="24"/>
        </w:rPr>
        <w:t xml:space="preserve">11.2 Cryogenic and thermal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The REBCO conductor baseline design operates at 20–40 K (Table 7), a temperature range chosen to balance the higher critical current density available at lower temperature against the higher specific cooling power required to reach it. We estimate the static cryogenic heat load per coil at a representative 10 W, based on typical multi-layer-insulation (MLI) cryostat performance for meter-scale superconducting coil systems, scaled to the coil dimensions implied by the 25 m softening length used in the simulation of Section 4; with 22 coils, this gives a total cold-stage heat load of order 220 W. Using a representative cryocooler specific input power of roughly 250 W of electrical input per watt of cooling at 20 K — a figure broadly consistent with the coefficient of performance achieved by flight-qualified pulse-tube and Gifford-McMahon cryocoolers operating in this temperature range, which fall well short of the Carnot limit at cryogenic temperatures — the estimated total cryocooler electrical power demand is on the order of 55 kW. This is the single largest driver of the power budget discussed in Section 11.3, and is the reason we identify the cryogenic subsystem, rather than the conductor itself, as the dominant remaining engineering uncertainty in this design (Section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3100"/>
      </w:tblGrid>
      <w:tr>
        <w:tc>
          <w:tcPr>
            <w:tcW w:type="dxa" w:w="2700"/>
            <w:shd w:fill="DCE6F1" w:val="clear"/>
          </w:tcPr>
          <w:p>
            <w:pPr>
              <w:jc w:val="left"/>
            </w:pPr>
            <w:r>
              <w:rPr>
                <w:rFonts w:ascii="Times New Roman" w:cs="Times New Roman" w:eastAsia="Times New Roman" w:hAnsi="Times New Roman"/>
                <w:b/>
                <w:bCs/>
                <w:sz w:val="20"/>
                <w:szCs w:val="20"/>
              </w:rPr>
              <w:t xml:space="preserve">Parameter</w:t>
            </w:r>
          </w:p>
        </w:tc>
        <w:tc>
          <w:tcPr>
            <w:tcW w:type="dxa" w:w="2200"/>
            <w:shd w:fill="DCE6F1" w:val="clear"/>
          </w:tcPr>
          <w:p>
            <w:pPr>
              <w:jc w:val="left"/>
            </w:pPr>
            <w:r>
              <w:rPr>
                <w:rFonts w:ascii="Times New Roman" w:cs="Times New Roman" w:eastAsia="Times New Roman" w:hAnsi="Times New Roman"/>
                <w:b/>
                <w:bCs/>
                <w:sz w:val="20"/>
                <w:szCs w:val="20"/>
              </w:rPr>
              <w:t xml:space="preserve">Estimated value</w:t>
            </w:r>
          </w:p>
        </w:tc>
        <w:tc>
          <w:tcPr>
            <w:tcW w:type="dxa" w:w="3100"/>
            <w:shd w:fill="DCE6F1" w:val="clear"/>
          </w:tcPr>
          <w:p>
            <w:pPr>
              <w:jc w:val="left"/>
            </w:pPr>
            <w:r>
              <w:rPr>
                <w:rFonts w:ascii="Times New Roman" w:cs="Times New Roman" w:eastAsia="Times New Roman" w:hAnsi="Times New Roman"/>
                <w:b/>
                <w:bCs/>
                <w:sz w:val="20"/>
                <w:szCs w:val="20"/>
              </w:rPr>
              <w:t xml:space="preserve">Basis / assumption</w:t>
            </w:r>
          </w:p>
        </w:tc>
      </w:tr>
      <w:tr>
        <w:tc>
          <w:tcPr>
            <w:tcW w:type="dxa" w:w="2700"/>
          </w:tcPr>
          <w:p>
            <w:pPr>
              <w:jc w:val="left"/>
            </w:pPr>
            <w:r>
              <w:rPr>
                <w:rFonts w:ascii="Times New Roman" w:cs="Times New Roman" w:eastAsia="Times New Roman" w:hAnsi="Times New Roman"/>
                <w:b w:val="false"/>
                <w:bCs w:val="false"/>
                <w:sz w:val="20"/>
                <w:szCs w:val="20"/>
              </w:rPr>
              <w:t xml:space="preserve">Operating temperature</w:t>
            </w:r>
          </w:p>
        </w:tc>
        <w:tc>
          <w:tcPr>
            <w:tcW w:type="dxa" w:w="2200"/>
          </w:tcPr>
          <w:p>
            <w:pPr>
              <w:jc w:val="left"/>
            </w:pPr>
            <w:r>
              <w:rPr>
                <w:rFonts w:ascii="Times New Roman" w:cs="Times New Roman" w:eastAsia="Times New Roman" w:hAnsi="Times New Roman"/>
                <w:b w:val="false"/>
                <w:bCs w:val="false"/>
                <w:sz w:val="20"/>
                <w:szCs w:val="20"/>
              </w:rPr>
              <w:t xml:space="preserve">20–40 K</w:t>
            </w:r>
          </w:p>
        </w:tc>
        <w:tc>
          <w:tcPr>
            <w:tcW w:type="dxa" w:w="3100"/>
          </w:tcPr>
          <w:p>
            <w:pPr>
              <w:jc w:val="left"/>
            </w:pPr>
            <w:r>
              <w:rPr>
                <w:rFonts w:ascii="Times New Roman" w:cs="Times New Roman" w:eastAsia="Times New Roman" w:hAnsi="Times New Roman"/>
                <w:b w:val="false"/>
                <w:bCs w:val="false"/>
                <w:sz w:val="20"/>
                <w:szCs w:val="20"/>
              </w:rPr>
              <w:t xml:space="preserve">REBCO design assumption, Section 9</w:t>
            </w:r>
          </w:p>
        </w:tc>
      </w:tr>
      <w:tr>
        <w:tc>
          <w:tcPr>
            <w:tcW w:type="dxa" w:w="2700"/>
          </w:tcPr>
          <w:p>
            <w:pPr>
              <w:jc w:val="left"/>
            </w:pPr>
            <w:r>
              <w:rPr>
                <w:rFonts w:ascii="Times New Roman" w:cs="Times New Roman" w:eastAsia="Times New Roman" w:hAnsi="Times New Roman"/>
                <w:b w:val="false"/>
                <w:bCs w:val="false"/>
                <w:sz w:val="20"/>
                <w:szCs w:val="20"/>
              </w:rPr>
              <w:t xml:space="preserve">Number of coils</w:t>
            </w:r>
          </w:p>
        </w:tc>
        <w:tc>
          <w:tcPr>
            <w:tcW w:type="dxa" w:w="2200"/>
          </w:tcPr>
          <w:p>
            <w:pPr>
              <w:jc w:val="left"/>
            </w:pPr>
            <w:r>
              <w:rPr>
                <w:rFonts w:ascii="Times New Roman" w:cs="Times New Roman" w:eastAsia="Times New Roman" w:hAnsi="Times New Roman"/>
                <w:b w:val="false"/>
                <w:bCs w:val="false"/>
                <w:sz w:val="20"/>
                <w:szCs w:val="20"/>
              </w:rPr>
              <w:t xml:space="preserve">22</w:t>
            </w:r>
          </w:p>
        </w:tc>
        <w:tc>
          <w:tcPr>
            <w:tcW w:type="dxa" w:w="3100"/>
          </w:tcPr>
          <w:p>
            <w:pPr>
              <w:jc w:val="left"/>
            </w:pPr>
            <w:r>
              <w:rPr>
                <w:rFonts w:ascii="Times New Roman" w:cs="Times New Roman" w:eastAsia="Times New Roman" w:hAnsi="Times New Roman"/>
                <w:b w:val="false"/>
                <w:bCs w:val="false"/>
                <w:sz w:val="20"/>
                <w:szCs w:val="20"/>
              </w:rPr>
              <w:t xml:space="preserve">Simulation geometry, Section 3</w:t>
            </w:r>
          </w:p>
        </w:tc>
      </w:tr>
      <w:tr>
        <w:tc>
          <w:tcPr>
            <w:tcW w:type="dxa" w:w="2700"/>
          </w:tcPr>
          <w:p>
            <w:pPr>
              <w:jc w:val="left"/>
            </w:pPr>
            <w:r>
              <w:rPr>
                <w:rFonts w:ascii="Times New Roman" w:cs="Times New Roman" w:eastAsia="Times New Roman" w:hAnsi="Times New Roman"/>
                <w:b w:val="false"/>
                <w:bCs w:val="false"/>
                <w:sz w:val="20"/>
                <w:szCs w:val="20"/>
              </w:rPr>
              <w:t xml:space="preserve">Static heat load per coil</w:t>
            </w:r>
          </w:p>
        </w:tc>
        <w:tc>
          <w:tcPr>
            <w:tcW w:type="dxa" w:w="2200"/>
          </w:tcPr>
          <w:p>
            <w:pPr>
              <w:jc w:val="left"/>
            </w:pPr>
            <w:r>
              <w:rPr>
                <w:rFonts w:ascii="Times New Roman" w:cs="Times New Roman" w:eastAsia="Times New Roman" w:hAnsi="Times New Roman"/>
                <w:b w:val="false"/>
                <w:bCs w:val="false"/>
                <w:sz w:val="20"/>
                <w:szCs w:val="20"/>
              </w:rPr>
              <w:t xml:space="preserve">~10 W</w:t>
            </w:r>
          </w:p>
        </w:tc>
        <w:tc>
          <w:tcPr>
            <w:tcW w:type="dxa" w:w="3100"/>
          </w:tcPr>
          <w:p>
            <w:pPr>
              <w:jc w:val="left"/>
            </w:pPr>
            <w:r>
              <w:rPr>
                <w:rFonts w:ascii="Times New Roman" w:cs="Times New Roman" w:eastAsia="Times New Roman" w:hAnsi="Times New Roman"/>
                <w:b w:val="false"/>
                <w:bCs w:val="false"/>
                <w:sz w:val="20"/>
                <w:szCs w:val="20"/>
              </w:rPr>
              <w:t xml:space="preserve">Representative MLI cryostat performance, scaled to coil size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cold-stage heat load</w:t>
            </w:r>
          </w:p>
        </w:tc>
        <w:tc>
          <w:tcPr>
            <w:tcW w:type="dxa" w:w="2200"/>
          </w:tcPr>
          <w:p>
            <w:pPr>
              <w:jc w:val="left"/>
            </w:pPr>
            <w:r>
              <w:rPr>
                <w:rFonts w:ascii="Times New Roman" w:cs="Times New Roman" w:eastAsia="Times New Roman" w:hAnsi="Times New Roman"/>
                <w:b w:val="false"/>
                <w:bCs w:val="false"/>
                <w:sz w:val="20"/>
                <w:szCs w:val="20"/>
              </w:rPr>
              <w:t xml:space="preserve">~220 W</w:t>
            </w:r>
          </w:p>
        </w:tc>
        <w:tc>
          <w:tcPr>
            <w:tcW w:type="dxa" w:w="3100"/>
          </w:tcPr>
          <w:p>
            <w:pPr>
              <w:jc w:val="left"/>
            </w:pPr>
            <w:r>
              <w:rPr>
                <w:rFonts w:ascii="Times New Roman" w:cs="Times New Roman" w:eastAsia="Times New Roman" w:hAnsi="Times New Roman"/>
                <w:b w:val="false"/>
                <w:bCs w:val="false"/>
                <w:sz w:val="20"/>
                <w:szCs w:val="20"/>
              </w:rPr>
              <w:t xml:space="preserve">Sum over 22 coils</w:t>
            </w:r>
          </w:p>
        </w:tc>
      </w:tr>
      <w:tr>
        <w:tc>
          <w:tcPr>
            <w:tcW w:type="dxa" w:w="2700"/>
          </w:tcPr>
          <w:p>
            <w:pPr>
              <w:jc w:val="left"/>
            </w:pPr>
            <w:r>
              <w:rPr>
                <w:rFonts w:ascii="Times New Roman" w:cs="Times New Roman" w:eastAsia="Times New Roman" w:hAnsi="Times New Roman"/>
                <w:b w:val="false"/>
                <w:bCs w:val="false"/>
                <w:sz w:val="20"/>
                <w:szCs w:val="20"/>
              </w:rPr>
              <w:t xml:space="preserve">Cryocooler specific input power</w:t>
            </w:r>
          </w:p>
        </w:tc>
        <w:tc>
          <w:tcPr>
            <w:tcW w:type="dxa" w:w="2200"/>
          </w:tcPr>
          <w:p>
            <w:pPr>
              <w:jc w:val="left"/>
            </w:pPr>
            <w:r>
              <w:rPr>
                <w:rFonts w:ascii="Times New Roman" w:cs="Times New Roman" w:eastAsia="Times New Roman" w:hAnsi="Times New Roman"/>
                <w:b w:val="false"/>
                <w:bCs w:val="false"/>
                <w:sz w:val="20"/>
                <w:szCs w:val="20"/>
              </w:rPr>
              <w:t xml:space="preserve">~250 W_e / W_cooling</w:t>
            </w:r>
          </w:p>
        </w:tc>
        <w:tc>
          <w:tcPr>
            <w:tcW w:type="dxa" w:w="3100"/>
          </w:tcPr>
          <w:p>
            <w:pPr>
              <w:jc w:val="left"/>
            </w:pPr>
            <w:r>
              <w:rPr>
                <w:rFonts w:ascii="Times New Roman" w:cs="Times New Roman" w:eastAsia="Times New Roman" w:hAnsi="Times New Roman"/>
                <w:b w:val="false"/>
                <w:bCs w:val="false"/>
                <w:sz w:val="20"/>
                <w:szCs w:val="20"/>
              </w:rPr>
              <w:t xml:space="preserve">Representative pulse-tube/GM cryocooler COP at 20 K (first-order estimate)</w:t>
            </w:r>
          </w:p>
        </w:tc>
      </w:tr>
      <w:tr>
        <w:tc>
          <w:tcPr>
            <w:tcW w:type="dxa" w:w="2700"/>
          </w:tcPr>
          <w:p>
            <w:pPr>
              <w:jc w:val="left"/>
            </w:pPr>
            <w:r>
              <w:rPr>
                <w:rFonts w:ascii="Times New Roman" w:cs="Times New Roman" w:eastAsia="Times New Roman" w:hAnsi="Times New Roman"/>
                <w:b w:val="false"/>
                <w:bCs w:val="false"/>
                <w:sz w:val="20"/>
                <w:szCs w:val="20"/>
              </w:rPr>
              <w:t xml:space="preserve">Total cryocooler electrical power</w:t>
            </w:r>
          </w:p>
        </w:tc>
        <w:tc>
          <w:tcPr>
            <w:tcW w:type="dxa" w:w="2200"/>
          </w:tcPr>
          <w:p>
            <w:pPr>
              <w:jc w:val="left"/>
            </w:pPr>
            <w:r>
              <w:rPr>
                <w:rFonts w:ascii="Times New Roman" w:cs="Times New Roman" w:eastAsia="Times New Roman" w:hAnsi="Times New Roman"/>
                <w:b w:val="false"/>
                <w:bCs w:val="false"/>
                <w:sz w:val="20"/>
                <w:szCs w:val="20"/>
              </w:rPr>
              <w:t xml:space="preserve">~55 kW</w:t>
            </w:r>
          </w:p>
        </w:tc>
        <w:tc>
          <w:tcPr>
            <w:tcW w:type="dxa" w:w="3100"/>
          </w:tcPr>
          <w:p>
            <w:pPr>
              <w:jc w:val="left"/>
            </w:pPr>
            <w:r>
              <w:rPr>
                <w:rFonts w:ascii="Times New Roman" w:cs="Times New Roman" w:eastAsia="Times New Roman" w:hAnsi="Times New Roman"/>
                <w:b w:val="false"/>
                <w:bCs w:val="false"/>
                <w:sz w:val="20"/>
                <w:szCs w:val="20"/>
              </w:rPr>
              <w:t xml:space="preserve">Product of heat load and specific input power</w:t>
            </w:r>
          </w:p>
        </w:tc>
      </w:tr>
    </w:tbl>
    <w:p>
      <w:pPr>
        <w:spacing w:after="240" w:before="60"/>
      </w:pPr>
      <w:r>
        <w:rPr>
          <w:rFonts w:ascii="Times New Roman" w:cs="Times New Roman" w:eastAsia="Times New Roman" w:hAnsi="Times New Roman"/>
          <w:i/>
          <w:iCs/>
          <w:sz w:val="20"/>
          <w:szCs w:val="20"/>
        </w:rPr>
        <w:t xml:space="preserve">Table 7. First-order cryogenic and thermal parameter estimates. All values are order-of-magnitude engineering estimates pending detailed cryostat design, not the output of a thermal simulation.</w:t>
      </w:r>
    </w:p>
    <w:p>
      <w:pPr>
        <w:spacing w:after="160" w:line="276"/>
        <w:jc w:val="both"/>
      </w:pPr>
      <w:r>
        <w:rPr>
          <w:rFonts w:ascii="Times New Roman" w:cs="Times New Roman" w:eastAsia="Times New Roman" w:hAnsi="Times New Roman"/>
          <w:b w:val="false"/>
          <w:bCs w:val="false"/>
          <w:i w:val="false"/>
          <w:iCs w:val="false"/>
          <w:sz w:val="22"/>
          <w:szCs w:val="22"/>
        </w:rPr>
        <w:t xml:space="preserve">The lunar diurnal cycle, roughly 14 Earth days of continuous sunlight followed by roughly 14 Earth days of continuous darkness, poses a specific challenge already reflected in the thermal-cycling margin of Section 9: during the lunar day, the ambient thermal environment makes radiative heat rejection from cryocooler hot-side radiators substantially less efficient than during the lunar night, because the radiator must reject heat against a much higher effective sink temperature, so radiator area (and hence mass) must be sized for the daytime condition even though average power demand may be lower then. We do not attempt a detailed radiator sizing calculation in this paper, since it depends sensitively on radiator orientation, surface coating properties, and local terrain shadowing that are beyond this paper's scope, and instead flag radiator sizing across the full day/night duty cycle as the critical open parameter for this subsystem in Table 8 (Section 12), consistent with the treatment already given to this issue in the mass-margin propagation of Section 9.</w:t>
      </w:r>
    </w:p>
    <w:p>
      <w:pPr>
        <w:pStyle w:val="Heading2"/>
        <w:spacing w:after="120" w:before="240"/>
      </w:pPr>
      <w:r>
        <w:rPr>
          <w:rFonts w:ascii="Times New Roman" w:cs="Times New Roman" w:eastAsia="Times New Roman" w:hAnsi="Times New Roman"/>
          <w:b/>
          <w:bCs/>
          <w:color w:val="1F4E79"/>
          <w:sz w:val="24"/>
          <w:szCs w:val="24"/>
        </w:rPr>
        <w:t xml:space="preserve">11.3 Power feasibility</w:t>
      </w:r>
    </w:p>
    <w:p>
      <w:pPr>
        <w:spacing w:after="160" w:line="276"/>
        <w:jc w:val="both"/>
      </w:pPr>
      <w:r>
        <w:rPr>
          <w:rFonts w:ascii="Times New Roman" w:cs="Times New Roman" w:eastAsia="Times New Roman" w:hAnsi="Times New Roman"/>
          <w:b w:val="false"/>
          <w:bCs w:val="false"/>
          <w:i w:val="false"/>
          <w:iCs w:val="false"/>
          <w:sz w:val="22"/>
          <w:szCs w:val="22"/>
        </w:rPr>
        <w:t xml:space="preserve">Beyond the roughly 55 kW cryocooler load estimated in Section 11.2, the array's power electronics, control and monitoring instrumentation, and any active dust-mitigation hardware add a comparatively modest additional load, which we estimate at 5–10 kW based on typical instrumentation and control power fractions for systems of this scale, giving a total continuous electrical power demand of roughly 60–65 kW. During the lunar day, a photovoltaic array sized using a representative lunar solar irradiance of 1361 W/m² and a conservative 20% end-to-end conversion efficiency would require on the order of 200–250 m² of active solar collection area to supply this load, a substantial but not unreasonable area for a permanently sited lunar installation. The lunar night, however, cannot be bridged by photovoltaic power alone: 14 days of continuous darkness at a 60–65 kW continuous load implies an energy storage requirement of roughly 20–22 MWh, which is impractical to meet with chemical battery storage at any currently credible specific energy for a lunar-surface-deployable system, and points toward either a nuclear surface power source — consistent with NASA's own ongoing Fission Surface Power development effort for exactly this class of continuous, day/night lunar power demand — or toward accepting that the magnetic fence's protection is available only during the lunar day, with mobile and EVA assets relying on alternative mitigation (e.g., remaining near sheltered infrastructure, or simply curtailing EVA activity) during the lunar night. We flag this day/night power architecture decision as a first-order, unresolved design choice for this concept rather than adjudicating it in this paper, and note that it is a shared challenge for essentially any continuously operating lunar surface power consumer, not a weakness specific to the magnetic fence architecture.</w:t>
      </w:r>
    </w:p>
    <w:p>
      <w:pPr>
        <w:pStyle w:val="Heading2"/>
        <w:spacing w:after="120" w:before="240"/>
      </w:pPr>
      <w:r>
        <w:rPr>
          <w:rFonts w:ascii="Times New Roman" w:cs="Times New Roman" w:eastAsia="Times New Roman" w:hAnsi="Times New Roman"/>
          <w:b/>
          <w:bCs/>
          <w:color w:val="1F4E79"/>
          <w:sz w:val="24"/>
          <w:szCs w:val="24"/>
        </w:rPr>
        <w:t xml:space="preserve">11.4 Reliability and failure modes</w:t>
      </w:r>
    </w:p>
    <w:p>
      <w:pPr>
        <w:spacing w:after="160" w:line="276"/>
        <w:jc w:val="both"/>
      </w:pPr>
      <w:r>
        <w:rPr>
          <w:rFonts w:ascii="Times New Roman" w:cs="Times New Roman" w:eastAsia="Times New Roman" w:hAnsi="Times New Roman"/>
          <w:b w:val="false"/>
          <w:bCs w:val="false"/>
          <w:i w:val="false"/>
          <w:iCs w:val="false"/>
          <w:sz w:val="22"/>
          <w:szCs w:val="22"/>
        </w:rPr>
        <w:t xml:space="preserve">The distributed array's central architectural advantage over the monolithic dipole is that its moment budget, and hence its protective function, is spread across 22 independent sites rather than concentrated in one, so that no single component failure collapses the shield's function (Section 6.1). We have not run new failure-mode simulations for this revision, and we are explicit that the following discussion is an analytic argument from the array's already-verified scaling behavior (Section 6.2) rather than a new simulated result; a dedicated failure-mode simulation campaign, varying the number and spatial pattern of disabled coils and re-running the Boris-pusher transmission calculation of Section 4 for each case, is identified as a specific and high-value item of future work in Section 14.</w:t>
      </w:r>
    </w:p>
    <w:p>
      <w:pPr>
        <w:spacing w:after="160" w:line="276"/>
        <w:jc w:val="both"/>
      </w:pPr>
      <w:r>
        <w:rPr>
          <w:rFonts w:ascii="Times New Roman" w:cs="Times New Roman" w:eastAsia="Times New Roman" w:hAnsi="Times New Roman"/>
          <w:b w:val="false"/>
          <w:bCs w:val="false"/>
          <w:i w:val="false"/>
          <w:iCs w:val="false"/>
          <w:sz w:val="22"/>
          <w:szCs w:val="22"/>
        </w:rPr>
        <w:t xml:space="preserve">The qualitative expectation, grounded in the site-spacing scaling law of Section 6.2, is as follows. Because shield performance is set by the weakest gap in the array rather than by the average field strength, the loss of a single coil is expected to locally double the effective spacing at that point in the fence, which, per the non-monotonic spacing sensitivity already established in Section 6.2, could produce a disproportionately large local leakage increase rather than a leakage increase merely proportional to the fraction of coils lost (1/22 ≈ 4.5%). This is a double-edged property: it means single-coil failure is not automatically benign, contrary to a naive reading of “distributed redundancy,” but it also means that the array's degradation mode is spatially localized and, in principle, correctable by re-tasking or physically relocating a spare coil to the affected gap, an operational option that has no analog for the monolithic dipole, where the “failure mode” of the single source is total loss of shielding. We therefore regard the distributed array's graceful-degradation property as qualitatively well supported by the verified physics of Section 6, while treating any quantitative failure-mode dose or fluence penalty as presently unverified pending the simulation campaign proposed in Section 14.</w:t>
      </w:r>
    </w:p>
    <w:p>
      <w:pPr>
        <w:pStyle w:val="Heading1"/>
        <w:spacing w:after="160" w:before="320"/>
      </w:pPr>
      <w:r>
        <w:rPr>
          <w:rFonts w:ascii="Times New Roman" w:cs="Times New Roman" w:eastAsia="Times New Roman" w:hAnsi="Times New Roman"/>
          <w:b/>
          <w:bCs/>
          <w:color w:val="1F4E79"/>
          <w:sz w:val="28"/>
          <w:szCs w:val="28"/>
        </w:rPr>
        <w:t xml:space="preserve">12. Technology Readiness Assessment</w:t>
      </w:r>
    </w:p>
    <w:p>
      <w:pPr>
        <w:spacing w:after="160" w:line="276"/>
        <w:jc w:val="both"/>
      </w:pPr>
      <w:r>
        <w:rPr>
          <w:rFonts w:ascii="Times New Roman" w:cs="Times New Roman" w:eastAsia="Times New Roman" w:hAnsi="Times New Roman"/>
          <w:b w:val="false"/>
          <w:bCs w:val="false"/>
          <w:i w:val="false"/>
          <w:iCs w:val="false"/>
          <w:sz w:val="22"/>
          <w:szCs w:val="22"/>
        </w:rPr>
        <w:t xml:space="preserve">Table 8 assigns an approximate technology readiness level (TRL) to each subsystem, following the nine-level NASA TRL scale, together with the single most consequential open parameter for each, expanded from the original submission to include the launch, power, and reliability considerations introduced in Section 11.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4900"/>
      </w:tblGrid>
      <w:tr>
        <w:tc>
          <w:tcPr>
            <w:tcW w:type="dxa" w:w="3200"/>
            <w:shd w:fill="DCE6F1" w:val="clear"/>
          </w:tcPr>
          <w:p>
            <w:pPr>
              <w:jc w:val="left"/>
            </w:pPr>
            <w:r>
              <w:rPr>
                <w:rFonts w:ascii="Times New Roman" w:cs="Times New Roman" w:eastAsia="Times New Roman" w:hAnsi="Times New Roman"/>
                <w:b/>
                <w:bCs/>
                <w:sz w:val="20"/>
                <w:szCs w:val="20"/>
              </w:rPr>
              <w:t xml:space="preserve">Subsystem</w:t>
            </w:r>
          </w:p>
        </w:tc>
        <w:tc>
          <w:tcPr>
            <w:tcW w:type="dxa" w:w="900"/>
            <w:shd w:fill="DCE6F1" w:val="clear"/>
          </w:tcPr>
          <w:p>
            <w:pPr>
              <w:jc w:val="left"/>
            </w:pPr>
            <w:r>
              <w:rPr>
                <w:rFonts w:ascii="Times New Roman" w:cs="Times New Roman" w:eastAsia="Times New Roman" w:hAnsi="Times New Roman"/>
                <w:b/>
                <w:bCs/>
                <w:sz w:val="20"/>
                <w:szCs w:val="20"/>
              </w:rPr>
              <w:t xml:space="preserve">TRL</w:t>
            </w:r>
          </w:p>
        </w:tc>
        <w:tc>
          <w:tcPr>
            <w:tcW w:type="dxa" w:w="4900"/>
            <w:shd w:fill="DCE6F1" w:val="clear"/>
          </w:tcPr>
          <w:p>
            <w:pPr>
              <w:jc w:val="left"/>
            </w:pPr>
            <w:r>
              <w:rPr>
                <w:rFonts w:ascii="Times New Roman" w:cs="Times New Roman" w:eastAsia="Times New Roman" w:hAnsi="Times New Roman"/>
                <w:b/>
                <w:bCs/>
                <w:sz w:val="20"/>
                <w:szCs w:val="20"/>
              </w:rPr>
              <w:t xml:space="preserve">Critical unresolved parameter</w:t>
            </w:r>
          </w:p>
        </w:tc>
      </w:tr>
      <w:tr>
        <w:tc>
          <w:tcPr>
            <w:tcW w:type="dxa" w:w="3200"/>
          </w:tcPr>
          <w:p>
            <w:pPr>
              <w:jc w:val="left"/>
            </w:pPr>
            <w:r>
              <w:rPr>
                <w:rFonts w:ascii="Times New Roman" w:cs="Times New Roman" w:eastAsia="Times New Roman" w:hAnsi="Times New Roman"/>
                <w:b w:val="false"/>
                <w:bCs w:val="false"/>
                <w:sz w:val="20"/>
                <w:szCs w:val="20"/>
              </w:rPr>
              <w:t xml:space="preserve">REBCO coil, few-mT self-field, 20–40 K</w:t>
            </w:r>
          </w:p>
        </w:tc>
        <w:tc>
          <w:tcPr>
            <w:tcW w:type="dxa" w:w="900"/>
          </w:tcPr>
          <w:p>
            <w:pPr>
              <w:jc w:val="left"/>
            </w:pPr>
            <w:r>
              <w:rPr>
                <w:rFonts w:ascii="Times New Roman" w:cs="Times New Roman" w:eastAsia="Times New Roman" w:hAnsi="Times New Roman"/>
                <w:b w:val="false"/>
                <w:bCs w:val="false"/>
                <w:sz w:val="20"/>
                <w:szCs w:val="20"/>
              </w:rPr>
              <w:t xml:space="preserve">6–7</w:t>
            </w:r>
          </w:p>
        </w:tc>
        <w:tc>
          <w:tcPr>
            <w:tcW w:type="dxa" w:w="4900"/>
          </w:tcPr>
          <w:p>
            <w:pPr>
              <w:jc w:val="left"/>
            </w:pPr>
            <w:r>
              <w:rPr>
                <w:rFonts w:ascii="Times New Roman" w:cs="Times New Roman" w:eastAsia="Times New Roman" w:hAnsi="Times New Roman"/>
                <w:b w:val="false"/>
                <w:bCs w:val="false"/>
                <w:sz w:val="20"/>
                <w:szCs w:val="20"/>
              </w:rPr>
              <w:t xml:space="preserve">Behavior under repeated lunar diurnal thermal cycling</w:t>
            </w:r>
          </w:p>
        </w:tc>
      </w:tr>
      <w:tr>
        <w:tc>
          <w:tcPr>
            <w:tcW w:type="dxa" w:w="3200"/>
          </w:tcPr>
          <w:p>
            <w:pPr>
              <w:jc w:val="left"/>
            </w:pPr>
            <w:r>
              <w:rPr>
                <w:rFonts w:ascii="Times New Roman" w:cs="Times New Roman" w:eastAsia="Times New Roman" w:hAnsi="Times New Roman"/>
                <w:b w:val="false"/>
                <w:bCs w:val="false"/>
                <w:sz w:val="20"/>
                <w:szCs w:val="20"/>
              </w:rPr>
              <w:t xml:space="preserve">Field-deployable 50 m-radius coil structure</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Deployment and anchoring method at this scale</w:t>
            </w:r>
          </w:p>
        </w:tc>
      </w:tr>
      <w:tr>
        <w:tc>
          <w:tcPr>
            <w:tcW w:type="dxa" w:w="3200"/>
          </w:tcPr>
          <w:p>
            <w:pPr>
              <w:jc w:val="left"/>
            </w:pPr>
            <w:r>
              <w:rPr>
                <w:rFonts w:ascii="Times New Roman" w:cs="Times New Roman" w:eastAsia="Times New Roman" w:hAnsi="Times New Roman"/>
                <w:b w:val="false"/>
                <w:bCs w:val="false"/>
                <w:sz w:val="20"/>
                <w:szCs w:val="20"/>
              </w:rPr>
              <w:t xml:space="preserve">Cryocooler for 14-day lunar diurnal cycle</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Radiator sizing across the full day/night duty-cycle swing (Section 11.2)</w:t>
            </w:r>
          </w:p>
        </w:tc>
      </w:tr>
      <w:tr>
        <w:tc>
          <w:tcPr>
            <w:tcW w:type="dxa" w:w="3200"/>
          </w:tcPr>
          <w:p>
            <w:pPr>
              <w:jc w:val="left"/>
            </w:pPr>
            <w:r>
              <w:rPr>
                <w:rFonts w:ascii="Times New Roman" w:cs="Times New Roman" w:eastAsia="Times New Roman" w:hAnsi="Times New Roman"/>
                <w:b w:val="false"/>
                <w:bCs w:val="false"/>
                <w:sz w:val="20"/>
                <w:szCs w:val="20"/>
              </w:rPr>
              <w:t xml:space="preserve">Continuous day/night electrical power supply (~60 kW)</w:t>
            </w:r>
          </w:p>
        </w:tc>
        <w:tc>
          <w:tcPr>
            <w:tcW w:type="dxa" w:w="900"/>
          </w:tcPr>
          <w:p>
            <w:pPr>
              <w:jc w:val="left"/>
            </w:pPr>
            <w:r>
              <w:rPr>
                <w:rFonts w:ascii="Times New Roman" w:cs="Times New Roman" w:eastAsia="Times New Roman" w:hAnsi="Times New Roman"/>
                <w:b w:val="false"/>
                <w:bCs w:val="false"/>
                <w:sz w:val="20"/>
                <w:szCs w:val="20"/>
              </w:rPr>
              <w:t xml:space="preserve">3–4</w:t>
            </w:r>
          </w:p>
        </w:tc>
        <w:tc>
          <w:tcPr>
            <w:tcW w:type="dxa" w:w="4900"/>
          </w:tcPr>
          <w:p>
            <w:pPr>
              <w:jc w:val="left"/>
            </w:pPr>
            <w:r>
              <w:rPr>
                <w:rFonts w:ascii="Times New Roman" w:cs="Times New Roman" w:eastAsia="Times New Roman" w:hAnsi="Times New Roman"/>
                <w:b w:val="false"/>
                <w:bCs w:val="false"/>
                <w:sz w:val="20"/>
                <w:szCs w:val="20"/>
              </w:rPr>
              <w:t xml:space="preserve">Nuclear surface power availability vs. battery-storage mass penalty (Section 11.3)</w:t>
            </w:r>
          </w:p>
        </w:tc>
      </w:tr>
      <w:tr>
        <w:tc>
          <w:tcPr>
            <w:tcW w:type="dxa" w:w="3200"/>
          </w:tcPr>
          <w:p>
            <w:pPr>
              <w:jc w:val="left"/>
            </w:pPr>
            <w:r>
              <w:rPr>
                <w:rFonts w:ascii="Times New Roman" w:cs="Times New Roman" w:eastAsia="Times New Roman" w:hAnsi="Times New Roman"/>
                <w:b w:val="false"/>
                <w:bCs w:val="false"/>
                <w:sz w:val="20"/>
                <w:szCs w:val="20"/>
              </w:rPr>
              <w:t xml:space="preserve">Dust-tolerant long-duration operation</w:t>
            </w:r>
          </w:p>
        </w:tc>
        <w:tc>
          <w:tcPr>
            <w:tcW w:type="dxa" w:w="900"/>
          </w:tcPr>
          <w:p>
            <w:pPr>
              <w:jc w:val="left"/>
            </w:pPr>
            <w:r>
              <w:rPr>
                <w:rFonts w:ascii="Times New Roman" w:cs="Times New Roman" w:eastAsia="Times New Roman" w:hAnsi="Times New Roman"/>
                <w:b w:val="false"/>
                <w:bCs w:val="false"/>
                <w:sz w:val="20"/>
                <w:szCs w:val="20"/>
              </w:rPr>
              <w:t xml:space="preserve">1–2</w:t>
            </w:r>
          </w:p>
        </w:tc>
        <w:tc>
          <w:tcPr>
            <w:tcW w:type="dxa" w:w="4900"/>
          </w:tcPr>
          <w:p>
            <w:pPr>
              <w:jc w:val="left"/>
            </w:pPr>
            <w:r>
              <w:rPr>
                <w:rFonts w:ascii="Times New Roman" w:cs="Times New Roman" w:eastAsia="Times New Roman" w:hAnsi="Times New Roman"/>
                <w:b w:val="false"/>
                <w:bCs w:val="false"/>
                <w:sz w:val="20"/>
                <w:szCs w:val="20"/>
              </w:rPr>
              <w:t xml:space="preserve">No lunar-dust-exposure data exists for HTS coil systems of this type</w:t>
            </w:r>
          </w:p>
        </w:tc>
      </w:tr>
      <w:tr>
        <w:tc>
          <w:tcPr>
            <w:tcW w:type="dxa" w:w="3200"/>
          </w:tcPr>
          <w:p>
            <w:pPr>
              <w:jc w:val="left"/>
            </w:pPr>
            <w:r>
              <w:rPr>
                <w:rFonts w:ascii="Times New Roman" w:cs="Times New Roman" w:eastAsia="Times New Roman" w:hAnsi="Times New Roman"/>
                <w:b w:val="false"/>
                <w:bCs w:val="false"/>
                <w:sz w:val="20"/>
                <w:szCs w:val="20"/>
              </w:rPr>
              <w:t xml:space="preserve">Regolith berm/trench construction (ISRU)</w:t>
            </w:r>
          </w:p>
        </w:tc>
        <w:tc>
          <w:tcPr>
            <w:tcW w:type="dxa" w:w="900"/>
          </w:tcPr>
          <w:p>
            <w:pPr>
              <w:jc w:val="left"/>
            </w:pPr>
            <w:r>
              <w:rPr>
                <w:rFonts w:ascii="Times New Roman" w:cs="Times New Roman" w:eastAsia="Times New Roman" w:hAnsi="Times New Roman"/>
                <w:b w:val="false"/>
                <w:bCs w:val="false"/>
                <w:sz w:val="20"/>
                <w:szCs w:val="20"/>
              </w:rPr>
              <w:t xml:space="preserve">2–4</w:t>
            </w:r>
          </w:p>
        </w:tc>
        <w:tc>
          <w:tcPr>
            <w:tcW w:type="dxa" w:w="4900"/>
          </w:tcPr>
          <w:p>
            <w:pPr>
              <w:jc w:val="left"/>
            </w:pPr>
            <w:r>
              <w:rPr>
                <w:rFonts w:ascii="Times New Roman" w:cs="Times New Roman" w:eastAsia="Times New Roman" w:hAnsi="Times New Roman"/>
                <w:b w:val="false"/>
                <w:bCs w:val="false"/>
                <w:sz w:val="20"/>
                <w:szCs w:val="20"/>
              </w:rPr>
              <w:t xml:space="preserve">Achievable construction rate with robotic excavation at fence scale</w:t>
            </w:r>
          </w:p>
        </w:tc>
      </w:tr>
      <w:tr>
        <w:tc>
          <w:tcPr>
            <w:tcW w:type="dxa" w:w="3200"/>
          </w:tcPr>
          <w:p>
            <w:pPr>
              <w:jc w:val="left"/>
            </w:pPr>
            <w:r>
              <w:rPr>
                <w:rFonts w:ascii="Times New Roman" w:cs="Times New Roman" w:eastAsia="Times New Roman" w:hAnsi="Times New Roman"/>
                <w:b w:val="false"/>
                <w:bCs w:val="false"/>
                <w:sz w:val="20"/>
                <w:szCs w:val="20"/>
              </w:rPr>
              <w:t xml:space="preserve">Regolith cladding for fixed-equipment shielding</w:t>
            </w:r>
          </w:p>
        </w:tc>
        <w:tc>
          <w:tcPr>
            <w:tcW w:type="dxa" w:w="900"/>
          </w:tcPr>
          <w:p>
            <w:pPr>
              <w:jc w:val="left"/>
            </w:pPr>
            <w:r>
              <w:rPr>
                <w:rFonts w:ascii="Times New Roman" w:cs="Times New Roman" w:eastAsia="Times New Roman" w:hAnsi="Times New Roman"/>
                <w:b w:val="false"/>
                <w:bCs w:val="false"/>
                <w:sz w:val="20"/>
                <w:szCs w:val="20"/>
              </w:rPr>
              <w:t xml:space="preserve">3–5</w:t>
            </w:r>
          </w:p>
        </w:tc>
        <w:tc>
          <w:tcPr>
            <w:tcW w:type="dxa" w:w="4900"/>
          </w:tcPr>
          <w:p>
            <w:pPr>
              <w:jc w:val="left"/>
            </w:pPr>
            <w:r>
              <w:rPr>
                <w:rFonts w:ascii="Times New Roman" w:cs="Times New Roman" w:eastAsia="Times New Roman" w:hAnsi="Times New Roman"/>
                <w:b w:val="false"/>
                <w:bCs w:val="false"/>
                <w:sz w:val="20"/>
                <w:szCs w:val="20"/>
              </w:rPr>
              <w:t xml:space="preserve">Structural attachment/retention of a thin (1–5 cm) layer under lunar gravity/thermal stress</w:t>
            </w:r>
          </w:p>
        </w:tc>
      </w:tr>
      <w:tr>
        <w:tc>
          <w:tcPr>
            <w:tcW w:type="dxa" w:w="3200"/>
          </w:tcPr>
          <w:p>
            <w:pPr>
              <w:jc w:val="left"/>
            </w:pPr>
            <w:r>
              <w:rPr>
                <w:rFonts w:ascii="Times New Roman" w:cs="Times New Roman" w:eastAsia="Times New Roman" w:hAnsi="Times New Roman"/>
                <w:b w:val="false"/>
                <w:bCs w:val="false"/>
                <w:sz w:val="20"/>
                <w:szCs w:val="20"/>
              </w:rPr>
              <w:t xml:space="preserve">Modular multi-flight delivery and site assembly</w:t>
            </w:r>
          </w:p>
        </w:tc>
        <w:tc>
          <w:tcPr>
            <w:tcW w:type="dxa" w:w="900"/>
          </w:tcPr>
          <w:p>
            <w:pPr>
              <w:jc w:val="left"/>
            </w:pPr>
            <w:r>
              <w:rPr>
                <w:rFonts w:ascii="Times New Roman" w:cs="Times New Roman" w:eastAsia="Times New Roman" w:hAnsi="Times New Roman"/>
                <w:b w:val="false"/>
                <w:bCs w:val="false"/>
                <w:sz w:val="20"/>
                <w:szCs w:val="20"/>
              </w:rPr>
              <w:t xml:space="preserve">2–3</w:t>
            </w:r>
          </w:p>
        </w:tc>
        <w:tc>
          <w:tcPr>
            <w:tcW w:type="dxa" w:w="4900"/>
          </w:tcPr>
          <w:p>
            <w:pPr>
              <w:jc w:val="left"/>
            </w:pPr>
            <w:r>
              <w:rPr>
                <w:rFonts w:ascii="Times New Roman" w:cs="Times New Roman" w:eastAsia="Times New Roman" w:hAnsi="Times New Roman"/>
                <w:b w:val="false"/>
                <w:bCs w:val="false"/>
                <w:sz w:val="20"/>
                <w:szCs w:val="20"/>
              </w:rPr>
              <w:t xml:space="preserve">Precision autonomous or teleoperated site-to-site coil positioning (Section 11.1)</w:t>
            </w:r>
          </w:p>
        </w:tc>
      </w:tr>
      <w:tr>
        <w:tc>
          <w:tcPr>
            <w:tcW w:type="dxa" w:w="3200"/>
          </w:tcPr>
          <w:p>
            <w:pPr>
              <w:jc w:val="left"/>
            </w:pPr>
            <w:r>
              <w:rPr>
                <w:rFonts w:ascii="Times New Roman" w:cs="Times New Roman" w:eastAsia="Times New Roman" w:hAnsi="Times New Roman"/>
                <w:b w:val="false"/>
                <w:bCs w:val="false"/>
                <w:sz w:val="20"/>
                <w:szCs w:val="20"/>
              </w:rPr>
              <w:t xml:space="preserve">Permanent-magnet fence (primary moment source)</w:t>
            </w:r>
          </w:p>
        </w:tc>
        <w:tc>
          <w:tcPr>
            <w:tcW w:type="dxa" w:w="900"/>
          </w:tcPr>
          <w:p>
            <w:pPr>
              <w:jc w:val="left"/>
            </w:pPr>
            <w:r>
              <w:rPr>
                <w:rFonts w:ascii="Times New Roman" w:cs="Times New Roman" w:eastAsia="Times New Roman" w:hAnsi="Times New Roman"/>
                <w:b w:val="false"/>
                <w:bCs w:val="false"/>
                <w:sz w:val="20"/>
                <w:szCs w:val="20"/>
              </w:rPr>
              <w:t xml:space="preserve">N/A</w:t>
            </w:r>
          </w:p>
        </w:tc>
        <w:tc>
          <w:tcPr>
            <w:tcW w:type="dxa" w:w="4900"/>
          </w:tcPr>
          <w:p>
            <w:pPr>
              <w:jc w:val="left"/>
            </w:pPr>
            <w:r>
              <w:rPr>
                <w:rFonts w:ascii="Times New Roman" w:cs="Times New Roman" w:eastAsia="Times New Roman" w:hAnsi="Times New Roman"/>
                <w:b w:val="false"/>
                <w:bCs w:val="false"/>
                <w:sz w:val="20"/>
                <w:szCs w:val="20"/>
              </w:rPr>
              <w:t xml:space="preserve">Ruled out by moment-per-mass calculation (Section 7); not a readiness question</w:t>
            </w:r>
          </w:p>
        </w:tc>
      </w:tr>
    </w:tbl>
    <w:p>
      <w:pPr>
        <w:spacing w:after="240" w:before="60"/>
      </w:pPr>
      <w:r>
        <w:rPr>
          <w:rFonts w:ascii="Times New Roman" w:cs="Times New Roman" w:eastAsia="Times New Roman" w:hAnsi="Times New Roman"/>
          <w:i/>
          <w:iCs/>
          <w:sz w:val="20"/>
          <w:szCs w:val="20"/>
        </w:rPr>
        <w:t xml:space="preserve">Table 8. Technology readiness by subsystem, with the critical unresolved parameter driving that rating.</w:t>
      </w:r>
    </w:p>
    <w:p>
      <w:pPr>
        <w:spacing w:after="160" w:line="276"/>
        <w:jc w:val="both"/>
      </w:pPr>
      <w:r>
        <w:rPr>
          <w:rFonts w:ascii="Times New Roman" w:cs="Times New Roman" w:eastAsia="Times New Roman" w:hAnsi="Times New Roman"/>
          <w:b w:val="false"/>
          <w:bCs w:val="false"/>
          <w:i w:val="false"/>
          <w:iCs w:val="false"/>
          <w:sz w:val="22"/>
          <w:szCs w:val="22"/>
        </w:rPr>
        <w:t xml:space="preserve">Two subsystems stand out as the pacing items for the overall concept: dust-tolerant long-duration operation, at TRL 1–2, for which essentially no relevant flight or ground-test data yet exists for HTS coil systems specifically; and the coupled cryocooler/radiator/power system, at TRL 3–4, whose lunar diurnal cycling behavior has not been demonstrated at the scale and duration this concept requires. Both are amenable to ground-based and, eventually, small-scale lunar-surface technology demonstration missions well short of the full 22-coil array, and we identify a staged technology-demonstration pathway, rather than a single full-scale deployment, as the most credible route to raising these subsystems' readiness (Section 14).</w:t>
      </w:r>
    </w:p>
    <w:p>
      <w:pPr>
        <w:pStyle w:val="Heading1"/>
        <w:spacing w:after="160" w:before="320"/>
      </w:pPr>
      <w:r>
        <w:rPr>
          <w:rFonts w:ascii="Times New Roman" w:cs="Times New Roman" w:eastAsia="Times New Roman" w:hAnsi="Times New Roman"/>
          <w:b/>
          <w:bCs/>
          <w:color w:val="1F4E79"/>
          <w:sz w:val="28"/>
          <w:szCs w:val="28"/>
        </w:rPr>
        <w:t xml:space="preserve">13. Discussion</w:t>
      </w:r>
    </w:p>
    <w:p>
      <w:pPr>
        <w:spacing w:after="160" w:line="276"/>
        <w:jc w:val="both"/>
      </w:pPr>
      <w:r>
        <w:rPr>
          <w:rFonts w:ascii="Times New Roman" w:cs="Times New Roman" w:eastAsia="Times New Roman" w:hAnsi="Times New Roman"/>
          <w:b w:val="false"/>
          <w:bCs w:val="false"/>
          <w:i w:val="false"/>
          <w:iCs w:val="false"/>
          <w:sz w:val="22"/>
          <w:szCs w:val="22"/>
        </w:rPr>
        <w:t xml:space="preserve">The results of Sections 6–12 support a single, central architectural conclusion that we state explicitly here rather than leaving implicit in the results tables: the optimal lunar SEP-mitigation strategy is asset-dependent, not universal, and the productive framing for future work in this area is “which technology protects which asset,” not “which technology is best.” Regolith cladding, at negligible Earth-launched mass and requiring no cryogenics, superconductors, or continuous electrical power, is simply a better solution than any magnet-assisted architecture for any asset that can tolerate being clad or buried, which includes permanent habitats and much fixed equipment (Table 3, Table 4). The distributed magnetic fence's role is not to compete with regolith shielding on those assets, and we regard the original submission's framing — which could be read as proposing the fence as a general-purpose lunar shielding solution — as the paper's most significant presentational shortcoming, one this revision corrects directly through the asset-taxonomy framing of Section 2 and the explicit “best-suited application” column of Table 3.</w:t>
      </w:r>
    </w:p>
    <w:p>
      <w:pPr>
        <w:spacing w:after="160" w:line="276"/>
        <w:jc w:val="both"/>
      </w:pPr>
      <w:r>
        <w:rPr>
          <w:rFonts w:ascii="Times New Roman" w:cs="Times New Roman" w:eastAsia="Times New Roman" w:hAnsi="Times New Roman"/>
          <w:b w:val="false"/>
          <w:bCs w:val="false"/>
          <w:i w:val="false"/>
          <w:iCs w:val="false"/>
          <w:sz w:val="22"/>
          <w:szCs w:val="22"/>
        </w:rPr>
        <w:t xml:space="preserve">Where the fence retains a genuine and durable role is for the asset classes that cannot be clad: rovers, EVA crew, and distributed surface infrastructure (Section 2). For these assets, an area-covering active shield that protects an entire perimeter, rather than requiring each asset to carry or be covered by shielding mass individually, has no passive-shielding analog at comparable mass, and the ISRU-structural substitution introduced in Section 8 improves the Earth-launch economics of that unique capability by roughly 1.7× without altering its shielding performance. This is, we believe, the correct scientific framing of this paper's contribution: not a claim that magnetic shielding is competitive with regolith shielding in general, but a quantitative demonstration of where it is not competitive (fixed assets) and a mass-optimization of where it remains the only available active mitigation (mobile and EVA assets).</w:t>
      </w:r>
    </w:p>
    <w:p>
      <w:pPr>
        <w:spacing w:after="160" w:line="276"/>
        <w:jc w:val="both"/>
      </w:pPr>
      <w:r>
        <w:rPr>
          <w:rFonts w:ascii="Times New Roman" w:cs="Times New Roman" w:eastAsia="Times New Roman" w:hAnsi="Times New Roman"/>
          <w:b w:val="false"/>
          <w:bCs w:val="false"/>
          <w:i w:val="false"/>
          <w:iCs w:val="false"/>
          <w:sz w:val="22"/>
          <w:szCs w:val="22"/>
        </w:rPr>
        <w:t xml:space="preserve">The engineering feasibility analysis of Section 11 tempers this conclusion with an important caveat that Sections 6–9 alone could not surface: even the mass-optimized 46.4 t ISRU-structural architecture is not yet demonstrated to be buildable at TRL levels sufficient for near-term deployment, and the continuous ~60 kW electrical power demand implied by the cryogenic subsystem (Section 11.2–11.3) is comparable to a substantial fraction of the total power budget likely available to an early lunar surface outpost, meaning that this concept's power demand should be evaluated as a mission-architecture-level trade, not merely as a subsystem detail internal to the shield itself. Likewise, the dose-context analysis of Section 10 makes clear that this paper's fluence-based ranking, while internally consistent and grounded in verified simulation physics, has not yet been confirmed at the dose level that ultimately determines human and technological risk, and we regard closing that gap via the transport calculation specified in Section 10.4 as the single highest-priority remaining scientific task for this line of work, ahead of any further refinement of the mass budget or engineering point design.</w:t>
      </w:r>
    </w:p>
    <w:p>
      <w:pPr>
        <w:spacing w:after="160" w:line="276"/>
        <w:jc w:val="both"/>
      </w:pPr>
      <w:r>
        <w:rPr>
          <w:rFonts w:ascii="Times New Roman" w:cs="Times New Roman" w:eastAsia="Times New Roman" w:hAnsi="Times New Roman"/>
          <w:b w:val="false"/>
          <w:bCs w:val="false"/>
          <w:i w:val="false"/>
          <w:iCs w:val="false"/>
          <w:sz w:val="22"/>
          <w:szCs w:val="22"/>
        </w:rPr>
        <w:t xml:space="preserve">Finally, we note that this paper's conclusions are conditioned on the SEP proton spectrum and energy range (0.1–100 MeV) used throughout the underlying simulation, and do not address galactic cosmic ray (GCR) shielding, which involves substantially higher particle energies and different physics (heavy-ion fragmentation dominates GCR dose behind shielding in a way that is largely absent for the softer SEP spectrum modeled here). The regolith-cladding comparison of Section 10.1, in particular, should not be read as implying that thin regolith cladding is similarly effective against GCR; GCR shielding is understood in the literature to require much greater areal density and to exhibit fragmentation-driven dose behavior that can, in some material and thickness regimes, worsen rather than improve dose equivalent (a well-documented effect for aluminum shielding against GCR). This distinction is a further instance of the paper's general theme that shielding effectiveness is context- and threat-dependent rather than a single universal figure of merit, and we flag GCR shielding trade-offs explicitly as outside this paper's scope in Section 14.</w:t>
      </w:r>
    </w:p>
    <w:p>
      <w:pPr>
        <w:pStyle w:val="Heading1"/>
        <w:spacing w:after="160" w:before="320"/>
      </w:pPr>
      <w:r>
        <w:rPr>
          <w:rFonts w:ascii="Times New Roman" w:cs="Times New Roman" w:eastAsia="Times New Roman" w:hAnsi="Times New Roman"/>
          <w:b/>
          <w:bCs/>
          <w:color w:val="1F4E79"/>
          <w:sz w:val="28"/>
          <w:szCs w:val="28"/>
        </w:rPr>
        <w:t xml:space="preserve">14. Limitations and Future Work</w:t>
      </w:r>
    </w:p>
    <w:p>
      <w:pPr>
        <w:pStyle w:val="ListParagraph"/>
        <w:numPr>
          <w:ilvl w:val="0"/>
          <w:numId w:val="1"/>
        </w:numPr>
        <w:spacing w:after="100"/>
      </w:pPr>
      <w:r>
        <w:rPr>
          <w:rFonts w:ascii="Times New Roman" w:cs="Times New Roman" w:eastAsia="Times New Roman" w:hAnsi="Times New Roman"/>
          <w:sz w:val="22"/>
          <w:szCs w:val="22"/>
        </w:rPr>
        <w:t xml:space="preserve">The component-allocation split between Earth-supplied core hardware and regolith-substitutable structural mass (40%/60%, Section 8.1) is a first-order assumption pending detailed subsystem design; refining it is lower priority than the transport calculation below, since Section 8.2 shows the headline Earth-launched-mass result is insensitive to the regolith-construction multiplier itself.</w:t>
      </w:r>
    </w:p>
    <w:p>
      <w:pPr>
        <w:pStyle w:val="ListParagraph"/>
        <w:numPr>
          <w:ilvl w:val="0"/>
          <w:numId w:val="1"/>
        </w:numPr>
        <w:spacing w:after="100"/>
      </w:pPr>
      <w:r>
        <w:rPr>
          <w:rFonts w:ascii="Times New Roman" w:cs="Times New Roman" w:eastAsia="Times New Roman" w:hAnsi="Times New Roman"/>
          <w:sz w:val="22"/>
          <w:szCs w:val="22"/>
        </w:rPr>
        <w:t xml:space="preserve">The HZETRN2020/Geant4 transport calculation specified in Section 10.4 is the single highest-priority remaining task in this research program: it is the only item on this list that would change the paper's central claim from a fluence-level result (η_F) to a genuine dose-level result (η_D), and we recommend it be treated as a required validation step before the architecture ranking of Table 3 is used to inform any mission-level design decision.</w:t>
      </w:r>
    </w:p>
    <w:p>
      <w:pPr>
        <w:pStyle w:val="ListParagraph"/>
        <w:numPr>
          <w:ilvl w:val="0"/>
          <w:numId w:val="1"/>
        </w:numPr>
        <w:spacing w:after="100"/>
      </w:pPr>
      <w:r>
        <w:rPr>
          <w:rFonts w:ascii="Times New Roman" w:cs="Times New Roman" w:eastAsia="Times New Roman" w:hAnsi="Times New Roman"/>
          <w:sz w:val="22"/>
          <w:szCs w:val="22"/>
        </w:rPr>
        <w:t xml:space="preserve">The reliability discussion of Section 11.4 is analytic, grounded in the array's verified spacing-sensitivity scaling law, but has not been confirmed by a dedicated failure-mode Boris-pusher simulation campaign (varying the number and spatial pattern of disabled coils); we identify this simulation campaign as a concrete, well-specified, and comparatively low-cost next computational study, since it requires no new physics beyond re-running the existing verified simulation code with modified coil configurations.</w:t>
      </w:r>
    </w:p>
    <w:p>
      <w:pPr>
        <w:pStyle w:val="ListParagraph"/>
        <w:numPr>
          <w:ilvl w:val="0"/>
          <w:numId w:val="1"/>
        </w:numPr>
        <w:spacing w:after="100"/>
      </w:pPr>
      <w:r>
        <w:rPr>
          <w:rFonts w:ascii="Times New Roman" w:cs="Times New Roman" w:eastAsia="Times New Roman" w:hAnsi="Times New Roman"/>
          <w:sz w:val="22"/>
          <w:szCs w:val="22"/>
        </w:rPr>
        <w:t xml:space="preserve">The engineering feasibility estimates of Section 11 (cryogenic heat load, cryocooler power, radiator area, photovoltaic area, energy storage) are explicitly first-order, order-of-magnitude figures based on representative literature values for comparable cryogenic and power systems, not the output of a detailed thermal or power-system design study; a follow-on engineering study performing detailed cryostat thermal modeling and a mission-architecture-level lunar surface power trade is identified as necessary before this concept could be advanced toward a formal mission proposal.</w:t>
      </w:r>
    </w:p>
    <w:p>
      <w:pPr>
        <w:pStyle w:val="ListParagraph"/>
        <w:numPr>
          <w:ilvl w:val="0"/>
          <w:numId w:val="1"/>
        </w:numPr>
        <w:spacing w:after="100"/>
      </w:pPr>
      <w:r>
        <w:rPr>
          <w:rFonts w:ascii="Times New Roman" w:cs="Times New Roman" w:eastAsia="Times New Roman" w:hAnsi="Times New Roman"/>
          <w:sz w:val="22"/>
          <w:szCs w:val="22"/>
        </w:rPr>
        <w:t xml:space="preserve">Whether permanent magnets have a viable secondary role as local aperture-trim elements at fence gaps (Section 7.2) has not been simulated in this work and remains open.</w:t>
      </w:r>
    </w:p>
    <w:p>
      <w:pPr>
        <w:pStyle w:val="ListParagraph"/>
        <w:numPr>
          <w:ilvl w:val="0"/>
          <w:numId w:val="1"/>
        </w:numPr>
        <w:spacing w:after="100"/>
      </w:pPr>
      <w:r>
        <w:rPr>
          <w:rFonts w:ascii="Times New Roman" w:cs="Times New Roman" w:eastAsia="Times New Roman" w:hAnsi="Times New Roman"/>
          <w:sz w:val="22"/>
          <w:szCs w:val="22"/>
        </w:rPr>
        <w:t xml:space="preserve">Isotropic-incidence and plasma-kinetic treatments of the incident SEP population, rather than the bounding aimed-pencil-beam geometry used throughout this work (Section 4), and a coupled dose-transport benchmark of the distributed-array concept against the existing mini-magnetosphere literature (Bamford et al., 2008, 2014; Winglee et al., 2000), remain future work for the underlying SEP-attenuation physics of Sections 3–6.</w:t>
      </w:r>
    </w:p>
    <w:p>
      <w:pPr>
        <w:pStyle w:val="ListParagraph"/>
        <w:numPr>
          <w:ilvl w:val="0"/>
          <w:numId w:val="1"/>
        </w:numPr>
        <w:spacing w:after="100"/>
      </w:pPr>
      <w:r>
        <w:rPr>
          <w:rFonts w:ascii="Times New Roman" w:cs="Times New Roman" w:eastAsia="Times New Roman" w:hAnsi="Times New Roman"/>
          <w:sz w:val="22"/>
          <w:szCs w:val="22"/>
        </w:rPr>
        <w:t xml:space="preserve">This paper addresses SEP proton shielding only; galactic cosmic ray shielding trade-offs, which involve substantially different physics and are not necessarily favorable to thin regolith cladding in the same way SEP protons are (Section 13), are explicitly outside this paper's scope and would require a separate transport-code study using a GCR rather than SEP incident spectrum.</w:t>
      </w:r>
    </w:p>
    <w:p>
      <w:pPr>
        <w:pStyle w:val="Heading1"/>
        <w:spacing w:after="160" w:before="320"/>
      </w:pPr>
      <w:r>
        <w:rPr>
          <w:rFonts w:ascii="Times New Roman" w:cs="Times New Roman" w:eastAsia="Times New Roman" w:hAnsi="Times New Roman"/>
          <w:b/>
          <w:bCs/>
          <w:color w:val="1F4E79"/>
          <w:sz w:val="28"/>
          <w:szCs w:val="28"/>
        </w:rPr>
        <w:t xml:space="preserve">15. Conclusion</w:t>
      </w:r>
    </w:p>
    <w:p>
      <w:pPr>
        <w:spacing w:after="160" w:line="276"/>
        <w:jc w:val="both"/>
      </w:pPr>
      <w:r>
        <w:rPr>
          <w:rFonts w:ascii="Times New Roman" w:cs="Times New Roman" w:eastAsia="Times New Roman" w:hAnsi="Times New Roman"/>
          <w:b w:val="false"/>
          <w:bCs w:val="false"/>
          <w:i w:val="false"/>
          <w:iCs w:val="false"/>
          <w:sz w:val="22"/>
          <w:szCs w:val="22"/>
        </w:rPr>
        <w:t xml:space="preserve">A distributed perimeter array of superconducting coils shields a lunar surface installation against SEP protons as effectively as a monolithic mini-magnetosphere dipole of equal magnetic moment, while eliminating the strong field at the habitat and tolerating single-coil failure better than a monolithic design in principle, if not yet quantitatively confirmed by dedicated failure-mode simulation. This revised, self-contained manuscript has tested, rather than assumed, the engineering questions that determine whether that concept is buildable, and has extended the analysis to address launch capacity, cryogenic cooling, electrical power, and human dose context directly, in response to editorial review. Permanent magnets cannot replace the superconducting moment source: NdFeB's remanence bounds achievable moment-per-mass roughly four orders of magnitude below what the physics requires. Propagating previously uncosted engineering margins raises the credible system mass from a 40–60 t point estimate to a median of 81 t, and substituting regolith-derived structure for Earth-launched structural mass reduces this to 46.4 t without changing shielding performance, a reduction that is robust to the main uncertainty in how efficiently that substitution can be built and that is deliverable, in principle, within the payload capacity of at least one lunar lander vehicle now under development.</w:t>
      </w:r>
    </w:p>
    <w:p>
      <w:pPr>
        <w:spacing w:after="160" w:line="276"/>
        <w:jc w:val="both"/>
      </w:pPr>
      <w:r>
        <w:rPr>
          <w:rFonts w:ascii="Times New Roman" w:cs="Times New Roman" w:eastAsia="Times New Roman" w:hAnsi="Times New Roman"/>
          <w:b w:val="false"/>
          <w:bCs w:val="false"/>
          <w:i w:val="false"/>
          <w:iCs w:val="false"/>
          <w:sz w:val="22"/>
          <w:szCs w:val="22"/>
        </w:rPr>
        <w:t xml:space="preserve">For fixed equipment, direct regolith cladding remains a more mass-efficient mitigation than the magnetic fence by roughly an order of magnitude; the fence's distinct and durable role is protecting the assets — rovers, EVA crew, distributed infrastructure — that regolith cannot reach. This asset-dependent conclusion, rather than any claim of universal superiority for either passive or active shielding, is this paper's central scientific contribution. The results here establish this architecture on fluence, mass, and first-order engineering-feasibility grounds; a specified but unexecuted HZETRN2020/Geant4 transport calculation is the next required step to establish it on dose grounds, and a coordinated cryogenic, power-system, and reliability engineering study is the next required step to establish it on detailed mission-feasibility grounds. We regard both as well-defined, tractable follow-on studies rather than open-ended uncertainties, and intend to pursue the transport calculation as the immediate next phase of this research program.</w:t>
      </w:r>
    </w:p>
    <w:p>
      <w:pPr>
        <w:pStyle w:val="Heading1"/>
        <w:spacing w:after="160" w:before="320"/>
      </w:pPr>
      <w:r>
        <w:rPr>
          <w:rFonts w:ascii="Times New Roman" w:cs="Times New Roman" w:eastAsia="Times New Roman" w:hAnsi="Times New Roman"/>
          <w:b/>
          <w:bCs/>
          <w:color w:val="1F4E79"/>
          <w:sz w:val="28"/>
          <w:szCs w:val="28"/>
        </w:rPr>
        <w:t xml:space="preserve">Use of Artificial Intelligence Tools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used a generative artificial intelligence large language model (Claude, Anthropic) for language editing, organizational restructuring in response to editorial feedback, drafting of expanded narrative text in previously compressed subsections, and identification of relevant published benchmark literature (subsequently verified by the author against primary and agency sources cited in the reference list). All scientific concepts, simulation code, quantitative analyses, engineering calculations, interpretations, and conclusions were developed by the author, who takes full responsibility for the content, accuracy, and conclusions of this manuscript. The author reviewed and independently verified all quantitative claims, citations, and factual statements introduced or modified with AI assistance prior to submission.</w:t>
      </w:r>
    </w:p>
    <w:p>
      <w:pPr>
        <w:pStyle w:val="Heading1"/>
        <w:spacing w:after="160" w:before="320"/>
      </w:pPr>
      <w:r>
        <w:rPr>
          <w:rFonts w:ascii="Times New Roman" w:cs="Times New Roman" w:eastAsia="Times New Roman" w:hAnsi="Times New Roman"/>
          <w:b/>
          <w:bCs/>
          <w:color w:val="1F4E79"/>
          <w:sz w:val="28"/>
          <w:szCs w:val="28"/>
        </w:rPr>
        <w:t xml:space="preserve">Declaration of Competing Interests</w:t>
      </w:r>
    </w:p>
    <w:p>
      <w:pPr>
        <w:spacing w:after="160" w:line="276"/>
        <w:jc w:val="both"/>
      </w:pPr>
      <w:r>
        <w:rPr>
          <w:rFonts w:ascii="Times New Roman" w:cs="Times New Roman" w:eastAsia="Times New Roman" w:hAnsi="Times New Roman"/>
          <w:b w:val="false"/>
          <w:bCs w:val="false"/>
          <w:i w:val="false"/>
          <w:iCs w:val="false"/>
          <w:sz w:val="22"/>
          <w:szCs w:val="22"/>
        </w:rPr>
        <w:t xml:space="preserve">The author declares that he has no known competing financial interests or personal relationships that could have appeared to influence the work reported in this paper. This research received no external funding.</w:t>
      </w:r>
    </w:p>
    <w:p>
      <w:pPr>
        <w:pStyle w:val="Heading1"/>
        <w:spacing w:after="160" w:before="320"/>
      </w:pPr>
      <w:r>
        <w:rPr>
          <w:rFonts w:ascii="Times New Roman" w:cs="Times New Roman" w:eastAsia="Times New Roman" w:hAnsi="Times New Roman"/>
          <w:b/>
          <w:bCs/>
          <w:color w:val="1F4E79"/>
          <w:sz w:val="28"/>
          <w:szCs w:val="28"/>
        </w:rPr>
        <w:t xml:space="preserve">Open Research</w:t>
      </w:r>
    </w:p>
    <w:p>
      <w:pPr>
        <w:spacing w:after="160" w:line="276"/>
        <w:jc w:val="both"/>
      </w:pPr>
      <w:r>
        <w:t>The relativistic Boris-pusher simulation code, geometry builders, and validation/parameter-sweep code underlying the SEP-attenuation physics of Sections 3–7 are openly available, without access restriction, at https://github.com/sandlerleon/magdome (MIT license) and are archived at the specific version cited here on Zenodo (Sandler, 2026a; https://doi.org/10.5281/zenodo.21179710, MIT license), and are cited in text at each point where they underpin a quantitative claim in Sections 3–7, consistent with AGU's data and software availability policy. The permanent-magnet feasibility calculation, engineering mass-budget Monte Carlo, ISRU allocation and regolith-multiplier sweep, and CSDA energy-fluence model underlying Sections 7–10 and their associated tables are openly available, without access restriction, at https://github.com/sandlerleon/lunar-isru-magnetic-shield-mass (MIT license) and are archived at the specific version cited here on Zenodo (Sandler, 2026b; https://doi.org/10.5281/zenodo.22103955, MIT license), including a machine-readable results file (mass_isru_results.json) reproducing every quantitative figure in Sections 7–10. The first-order engineering feasibility estimates introduced in Section 11 of this revision are hand calculations reproduced in full in the text and tables of that section and do not require a separate code archive.</w:t>
      </w:r>
    </w:p>
    <w:p>
      <w:pPr>
        <w:pStyle w:val="Heading1"/>
        <w:spacing w:after="160" w:before="320"/>
      </w:pPr>
      <w:r>
        <w:rPr>
          <w:rFonts w:ascii="Times New Roman" w:cs="Times New Roman" w:eastAsia="Times New Roman" w:hAnsi="Times New Roman"/>
          <w:b/>
          <w:bCs/>
          <w:color w:val="1F4E79"/>
          <w:sz w:val="28"/>
          <w:szCs w:val="28"/>
        </w:rPr>
        <w:t xml:space="preserve">References</w:t>
      </w:r>
    </w:p>
    <w:p>
      <w:pPr>
        <w:spacing w:after="140" w:line="264"/>
        <w:ind w:left="431" w:hanging="431"/>
      </w:pPr>
      <w:r>
        <w:rPr>
          <w:rFonts w:ascii="Times New Roman" w:cs="Times New Roman" w:eastAsia="Times New Roman" w:hAnsi="Times New Roman"/>
          <w:sz w:val="20"/>
          <w:szCs w:val="20"/>
        </w:rPr>
        <w:t xml:space="preserve">Agostinelli, S., et al. (2003). Geant4—a simulation toolkit. Nuclear Instruments and Methods in Physics Research A, 506(3), 250–303. https://doi.org/10.1016/S0168-9002(03)01368-8</w:t>
      </w:r>
    </w:p>
    <w:p>
      <w:pPr>
        <w:spacing w:after="140" w:line="264"/>
        <w:ind w:left="431" w:hanging="431"/>
      </w:pPr>
      <w:r>
        <w:rPr>
          <w:rFonts w:ascii="Times New Roman" w:cs="Times New Roman" w:eastAsia="Times New Roman" w:hAnsi="Times New Roman"/>
          <w:sz w:val="20"/>
          <w:szCs w:val="20"/>
        </w:rPr>
        <w:t xml:space="preserve">Bamford, R., Gibson, K.J., Thornton, A.J., et al. (2008). The interaction of a flowing plasma with a dipole magnetic field: measurements and modelling of a diamagnetic cavity relevant to spacecraft protection. Plasma Physics and Controlled Fusion, 50(12), 124025.</w:t>
      </w:r>
    </w:p>
    <w:p>
      <w:pPr>
        <w:spacing w:after="140" w:line="264"/>
        <w:ind w:left="431" w:hanging="431"/>
      </w:pPr>
      <w:r>
        <w:rPr>
          <w:rFonts w:ascii="Times New Roman" w:cs="Times New Roman" w:eastAsia="Times New Roman" w:hAnsi="Times New Roman"/>
          <w:sz w:val="20"/>
          <w:szCs w:val="20"/>
        </w:rPr>
        <w:t xml:space="preserve">Bamford, R.A., Kellett, B., Bradford, J., et al. (2014). An exploration of the effectiveness of artificial mini-magnetospheres as a potential solar storm shelter for long term human space missions. Acta Astronautica, 105(2), 385–394.</w:t>
      </w:r>
    </w:p>
    <w:p>
      <w:pPr>
        <w:spacing w:after="140" w:line="264"/>
        <w:ind w:left="431" w:hanging="431"/>
      </w:pPr>
      <w:r>
        <w:t>Blue Origin (2025). Blue Moon Mark 1. https://www.blueorigin.com/blue-moon/mark-1</w:t>
      </w:r>
    </w:p>
    <w:p>
      <w:pPr>
        <w:spacing w:after="140" w:line="264"/>
        <w:ind w:left="431" w:hanging="431"/>
      </w:pPr>
      <w:r>
        <w:rPr>
          <w:rFonts w:ascii="Times New Roman" w:cs="Times New Roman" w:eastAsia="Times New Roman" w:hAnsi="Times New Roman"/>
          <w:sz w:val="20"/>
          <w:szCs w:val="20"/>
        </w:rPr>
        <w:t xml:space="preserve">Boris, J.P. (1970). Relativistic plasma simulation—optimization of a hybrid code. Proceedings of the Fourth Conference on Numerical Simulation of Plasmas, 3–67. Naval Research Laboratory.</w:t>
      </w:r>
    </w:p>
    <w:p>
      <w:pPr>
        <w:spacing w:after="140" w:line="264"/>
        <w:ind w:left="431" w:hanging="431"/>
      </w:pPr>
      <w:r>
        <w:t>Creech, S., Chojnacki, K., Ortega, R., Percy, T.K., Van Dyke, M., Pearson, T., Criswell, K., Polsgrove, T., Lockett, T., Stott, J., &amp; Perry, B. (2025). Update on NASA's Human Landing System (HLS) Program: Public-Private Partnership Advancing Artemis Sustainable Lunar Exploration. Proceedings of the 76th International Astronautical Congress. NASA Technical Reports Server. https://ntrs.nasa.gov/citations/20250008727</w:t>
      </w:r>
    </w:p>
    <w:p>
      <w:pPr>
        <w:spacing w:after="140" w:line="264"/>
        <w:ind w:left="431" w:hanging="431"/>
      </w:pPr>
      <w:r>
        <w:rPr>
          <w:rFonts w:ascii="Times New Roman" w:cs="Times New Roman" w:eastAsia="Times New Roman" w:hAnsi="Times New Roman"/>
          <w:sz w:val="20"/>
          <w:szCs w:val="20"/>
        </w:rPr>
        <w:t xml:space="preserve">Deca, J., Divin, A., et al. (2018). Reiner Gamma albedo features reproduced by modeling solar wind standoff. Communications Physics, 1, 12.</w:t>
      </w:r>
    </w:p>
    <w:p>
      <w:pPr>
        <w:spacing w:after="140" w:line="264"/>
        <w:ind w:left="431" w:hanging="431"/>
      </w:pPr>
      <w:r>
        <w:rPr>
          <w:rFonts w:ascii="Times New Roman" w:cs="Times New Roman" w:eastAsia="Times New Roman" w:hAnsi="Times New Roman"/>
          <w:sz w:val="20"/>
          <w:szCs w:val="20"/>
        </w:rPr>
        <w:t xml:space="preserve">Garrick-Bethell, I., et al. (2019). Reiner Gamma: A Magnetized Elliptical Disk on the Moon. Geophysical Research Letters, 46, 5065–5074.</w:t>
      </w:r>
    </w:p>
    <w:p>
      <w:pPr>
        <w:spacing w:after="140" w:line="264"/>
        <w:ind w:left="431" w:hanging="431"/>
      </w:pPr>
      <w:r>
        <w:rPr>
          <w:rFonts w:ascii="Times New Roman" w:cs="Times New Roman" w:eastAsia="Times New Roman" w:hAnsi="Times New Roman"/>
          <w:sz w:val="20"/>
          <w:szCs w:val="20"/>
        </w:rPr>
        <w:t xml:space="preserve">Halbach, K. (1980). Design of permanent multipole magnets with oriented rare earth cobalt material. Nuclear Instruments and Methods, 169(1), 1–10.</w:t>
      </w:r>
    </w:p>
    <w:p>
      <w:pPr>
        <w:spacing w:after="140" w:line="264"/>
        <w:ind w:left="431" w:hanging="431"/>
      </w:pPr>
      <w:r>
        <w:rPr>
          <w:rFonts w:ascii="Times New Roman" w:cs="Times New Roman" w:eastAsia="Times New Roman" w:hAnsi="Times New Roman"/>
          <w:sz w:val="20"/>
          <w:szCs w:val="20"/>
        </w:rPr>
        <w:t xml:space="preserve">Hood, L.L., &amp; Schubert, G. (1980). Lunar magnetic anomalies and surface optical properties. Science, 208(4439), 49–51.</w:t>
      </w:r>
    </w:p>
    <w:p>
      <w:pPr>
        <w:spacing w:after="140" w:line="264"/>
        <w:ind w:left="431" w:hanging="431"/>
      </w:pPr>
      <w:r>
        <w:rPr>
          <w:rFonts w:ascii="Times New Roman" w:cs="Times New Roman" w:eastAsia="Times New Roman" w:hAnsi="Times New Roman"/>
          <w:sz w:val="20"/>
          <w:szCs w:val="20"/>
        </w:rPr>
        <w:t xml:space="preserve">International Astronautical Congress (2024). First data-based evaluation of the radiation protection capabilities of the AstroRad vest as flown onboard Artemis I. Proceedings of the 75th International Astronautical Congress, paper IAC-24,A1,5,7,x90503.</w:t>
      </w:r>
    </w:p>
    <w:p>
      <w:pPr>
        <w:spacing w:after="140" w:line="264"/>
        <w:ind w:left="431" w:hanging="431"/>
      </w:pPr>
      <w:r>
        <w:rPr>
          <w:rFonts w:ascii="Times New Roman" w:cs="Times New Roman" w:eastAsia="Times New Roman" w:hAnsi="Times New Roman"/>
          <w:sz w:val="20"/>
          <w:szCs w:val="20"/>
        </w:rPr>
        <w:t xml:space="preserve">NASA (2022). NASA-STD-3001, Volume 1, Revision B, Technical Brief OCHMO-TB-020: Design for Ionizing Radiation Protection. NASA Office of the Chief Health and Medical Officer.</w:t>
      </w:r>
    </w:p>
    <w:p>
      <w:pPr>
        <w:spacing w:after="140" w:line="264"/>
        <w:ind w:left="431" w:hanging="431"/>
      </w:pPr>
      <w:r>
        <w:rPr>
          <w:rFonts w:ascii="Times New Roman" w:cs="Times New Roman" w:eastAsia="Times New Roman" w:hAnsi="Times New Roman"/>
          <w:sz w:val="20"/>
          <w:szCs w:val="20"/>
        </w:rPr>
        <w:t xml:space="preserve">National Academies of Sciences, Engineering, and Medicine (2021). Space Radiation and Astronaut Health: Managing and Communicating Cancer Risks. Washington, DC: The National Academies Press.</w:t>
      </w:r>
    </w:p>
    <w:p>
      <w:pPr>
        <w:spacing w:after="140" w:line="264"/>
        <w:ind w:left="431" w:hanging="431"/>
      </w:pPr>
      <w:r>
        <w:rPr>
          <w:rFonts w:ascii="Times New Roman" w:cs="Times New Roman" w:eastAsia="Times New Roman" w:hAnsi="Times New Roman"/>
          <w:sz w:val="20"/>
          <w:szCs w:val="20"/>
        </w:rPr>
        <w:t xml:space="preserve">Reames, D.V. (2021). Solar Energetic Particles: A Modern Primer on Understanding Sources, Acceleration and Transport (2nd ed.). Springer.</w:t>
      </w:r>
    </w:p>
    <w:p>
      <w:pPr>
        <w:spacing w:after="140" w:line="264"/>
        <w:ind w:left="431" w:hanging="431"/>
      </w:pPr>
      <w:r>
        <w:rPr>
          <w:rFonts w:ascii="Times New Roman" w:cs="Times New Roman" w:eastAsia="Times New Roman" w:hAnsi="Times New Roman"/>
          <w:sz w:val="20"/>
          <w:szCs w:val="20"/>
        </w:rPr>
        <w:t xml:space="preserve">Sandler, L. (2026a). A Magnetic Dome for Lunar Surface Radiation Protection: A Magnetic Net Concept [Data set and code]. Zenodo. https://doi.org/10.5281/zenodo.21179710</w:t>
      </w:r>
    </w:p>
    <w:p>
      <w:pPr>
        <w:spacing w:after="140" w:line="264"/>
        <w:ind w:left="431" w:hanging="431"/>
      </w:pPr>
      <w:r>
        <w:rPr>
          <w:rFonts w:ascii="Times New Roman" w:cs="Times New Roman" w:eastAsia="Times New Roman" w:hAnsi="Times New Roman"/>
          <w:sz w:val="20"/>
          <w:szCs w:val="20"/>
        </w:rPr>
        <w:t xml:space="preserve">Sandler, L. (2026b). Lunar ISRU Magnetic Shield Mass and Feasibility Analysis [Data set and code]. Zenodo. https://doi.org/10.5281/zenodo.22103955</w:t>
      </w:r>
    </w:p>
    <w:p>
      <w:pPr>
        <w:spacing w:after="140" w:line="264"/>
        <w:ind w:left="431" w:hanging="431"/>
      </w:pPr>
      <w:r>
        <w:rPr>
          <w:rFonts w:ascii="Times New Roman" w:cs="Times New Roman" w:eastAsia="Times New Roman" w:hAnsi="Times New Roman"/>
          <w:sz w:val="20"/>
          <w:szCs w:val="20"/>
        </w:rPr>
        <w:t xml:space="preserve">Schwadron, N.A., et al. (2010). Earth-Moon-Mars Radiation Environment Module framework. Space Weather, 8, S00E02.</w:t>
      </w:r>
    </w:p>
    <w:p>
      <w:pPr>
        <w:spacing w:after="140" w:line="264"/>
        <w:ind w:left="431" w:hanging="431"/>
      </w:pPr>
      <w:r>
        <w:rPr>
          <w:rFonts w:ascii="Times New Roman" w:cs="Times New Roman" w:eastAsia="Times New Roman" w:hAnsi="Times New Roman"/>
          <w:sz w:val="20"/>
          <w:szCs w:val="20"/>
        </w:rPr>
        <w:t xml:space="preserve">Simonsen, L.C., Nealy, J.E., Sauer, H.H., &amp; Townsend, L.W. (1990). Solar flare protection for manned lunar missions: analysis of the October 1989 proton flare event. NASA Technical Paper. Historical BFO dose estimates for the August 1972, November 1960, and February 1956 events as reported in the space radiation protection literature.</w:t>
      </w:r>
    </w:p>
    <w:p>
      <w:pPr>
        <w:spacing w:after="140" w:line="264"/>
        <w:ind w:left="431" w:hanging="431"/>
      </w:pPr>
      <w:r>
        <w:rPr>
          <w:rFonts w:ascii="Times New Roman" w:cs="Times New Roman" w:eastAsia="Times New Roman" w:hAnsi="Times New Roman"/>
          <w:sz w:val="20"/>
          <w:szCs w:val="20"/>
        </w:rPr>
        <w:t xml:space="preserve">Slaba, T., Wilson, J., Werneth, C., &amp; Whitman, K. (2020). Updated deterministic radiation transport for future deep space missions. Life Sciences in Space Research, 27, 6–18. https://doi.org/10.1016/j.lssr.2020.06.004</w:t>
      </w:r>
    </w:p>
    <w:p>
      <w:pPr>
        <w:spacing w:after="140" w:line="264"/>
        <w:ind w:left="431" w:hanging="431"/>
      </w:pPr>
      <w:r>
        <w:rPr>
          <w:rFonts w:ascii="Times New Roman" w:cs="Times New Roman" w:eastAsia="Times New Roman" w:hAnsi="Times New Roman"/>
          <w:sz w:val="20"/>
          <w:szCs w:val="20"/>
        </w:rPr>
        <w:t xml:space="preserve">Wilson, J.W., Townsend, L.W., Schimmerling, W., et al. (1991). Transport methods and interactions for space radiations. NASA Reference Publication 1257.</w:t>
      </w:r>
    </w:p>
    <w:p>
      <w:pPr>
        <w:spacing w:after="140" w:line="264"/>
        <w:ind w:left="431" w:hanging="431"/>
      </w:pPr>
      <w:r>
        <w:rPr>
          <w:rFonts w:ascii="Times New Roman" w:cs="Times New Roman" w:eastAsia="Times New Roman" w:hAnsi="Times New Roman"/>
          <w:sz w:val="20"/>
          <w:szCs w:val="20"/>
        </w:rPr>
        <w:t xml:space="preserve">Winglee, R.M., Slough, J., Ziemba, T., &amp; Goodson, A. (2000). Mini-Magnetospheric Plasma Propulsion: Tapping the energy of the solar wind for spacecraft propulsion. Journal of Geophysical Research: Space Physics, 105(A9), 21067–21077.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Mass-Minimized Lunar Radiation Protection Using In-Situ Regolith and Distributed Magnetic Shielding</dc:title>
  <dc:creator>Leon Sandler</dc:creator>
  <cp:lastModifiedBy>Un-named</cp:lastModifiedBy>
  <cp:revision>1</cp:revision>
  <dcterms:created xsi:type="dcterms:W3CDTF">2026-09-06T15:07:08.356Z</dcterms:created>
  <dcterms:modified xsi:type="dcterms:W3CDTF">2026-09-06T15:07:08.356Z</dcterms:modified>
</cp:coreProperties>
</file>

<file path=docProps/custom.xml><?xml version="1.0" encoding="utf-8"?>
<Properties xmlns="http://schemas.openxmlformats.org/officeDocument/2006/custom-properties" xmlns:vt="http://schemas.openxmlformats.org/officeDocument/2006/docPropsVTypes"/>
</file>