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t>Mass-Minimized Lunar Radiation Protection Using In-Situ Regolith and Distributed Magnetic Shielding: Physics, Engineering Feasibility, and a Specification for Dose Validation</w:t>
      </w:r>
    </w:p>
    <w:p>
      <w:pPr>
        <w:spacing w:after="40"/>
        <w:jc w:val="center"/>
      </w:pPr>
      <w:r>
        <w:rPr>
          <w:rFonts w:ascii="Times New Roman" w:cs="Times New Roman" w:eastAsia="Times New Roman" w:hAnsi="Times New Roman"/>
          <w:sz w:val="24"/>
          <w:szCs w:val="24"/>
        </w:rPr>
        <w:t xml:space="preserve">Leon Sandler</w:t>
      </w:r>
    </w:p>
    <w:p>
      <w:pPr>
        <w:spacing w:after="300"/>
        <w:jc w:val="center"/>
      </w:pPr>
      <w:r>
        <w:t>Independent Researcher, Northbrook, IL, USA · sandler.leon@gmail.com · ORCID: 0009-0007-4584-808X</w:t>
      </w:r>
    </w:p>
    <w:p>
      <w:r>
        <w:rPr>
          <w:b/>
        </w:rPr>
        <w:t>Key Points</w:t>
      </w:r>
    </w:p>
    <w:p>
      <w:pPr>
        <w:pStyle w:val="ListParagraph"/>
      </w:pPr>
      <w:r>
        <w:t>A 22-coil superconducting fence shields against solar particles as well as one large magnet, with no single point of failure</w:t>
      </w:r>
    </w:p>
    <w:p>
      <w:pPr>
        <w:pStyle w:val="ListParagraph"/>
      </w:pPr>
      <w:r>
        <w:t>Permanent magnets cannot replace superconducting coils; regolith-built structure cuts Earth-launched mass from 81 to 46.4 tonnes</w:t>
      </w:r>
    </w:p>
    <w:p>
      <w:pPr>
        <w:pStyle w:val="ListParagraph"/>
      </w:pPr>
      <w:r>
        <w:t>Regolith cladding beats the fence for fixed equipment; the fence's lasting role is protecting rovers and spacewalking crew</w:t>
      </w:r>
    </w:p>
    <w:p>
      <w:pPr>
        <w:pStyle w:val="Heading2"/>
        <w:spacing w:after="120" w:before="240"/>
      </w:pPr>
      <w:r>
        <w:rPr>
          <w:rFonts w:ascii="Times New Roman" w:cs="Times New Roman" w:eastAsia="Times New Roman" w:hAnsi="Times New Roman"/>
          <w:b/>
          <w:bCs/>
          <w:color w:val="1F4E79"/>
          <w:sz w:val="24"/>
          <w:szCs w:val="24"/>
        </w:rPr>
        <w:t xml:space="preserve">Abstract</w:t>
      </w:r>
    </w:p>
    <w:p>
      <w:pPr>
        <w:spacing w:after="160" w:line="276"/>
        <w:jc w:val="both"/>
      </w:pPr>
      <w:r>
        <w:t>We evaluate a distributed superconducting perimeter fence for lunar surface protection against solar energetic particle (SEP) events. A relativistic Boris-pusher simulation shows that a 22-coil, two-channel fence attenuates SEP protons as effectively as a monolithic dipole of equal magnetic moment (94.9% versus 95.1% proton number-fluence removal; 75.4% versus 72.2% energy-fluence removal for a representative soft SEP spectrum), while leaving the protected volume field-free and avoiding a single point of failure. We then address two questions that determine buildability. First, permanent magnets are ruled out as a primary moment source: NdFeB's remanence bounds achievable moment-per-mass roughly four orders of magnitude below the superconducting design, requiring approximately 2.65×10⁵ t of material to match the design moment. Second, propagating previously uncosted engineering margins (current derating, structural/cryostat overhead, thermal cycling, dust mitigation) gives a credible system mass of median 81 t (90% CI 55–116 t); substituting regolith-derived structure for Earth-launched structural mass reduces this to 46.4 t at unchanged attenuation. We add first-order feasibility estimates for launch, cooling, and power, plus a dose-context section situating energy-fluence attenuation against NASA dose limits and published benchmarks (regolith cladding, the AstroRad vest). These fluence-based results establish mass and attenuation feasibility but not dose reduction; we specify the coupled HZETRN2020/Geant4 transport calculation required to close that gap. The central architectural finding is that the optimal lunar SEP-mitigation strategy is asset-dependent: regolith cladding is more mass-efficient for fixed equipment, while the fence's durable role is protecting rovers, EVA crew, and distributed infrastructure that regolith cannot reach.</w:t>
      </w:r>
    </w:p>
    <w:p>
      <w:pPr>
        <w:pStyle w:val="Heading2"/>
        <w:spacing w:after="120" w:before="240"/>
      </w:pPr>
      <w:r>
        <w:rPr>
          <w:rFonts w:ascii="Times New Roman" w:cs="Times New Roman" w:eastAsia="Times New Roman" w:hAnsi="Times New Roman"/>
          <w:b/>
          <w:bCs/>
          <w:color w:val="1F4E79"/>
          <w:sz w:val="24"/>
          <w:szCs w:val="24"/>
        </w:rPr>
        <w:t xml:space="preserve">Plain Language Summary</w:t>
      </w:r>
    </w:p>
    <w:p>
      <w:pPr>
        <w:spacing w:after="160" w:line="276"/>
        <w:jc w:val="both"/>
      </w:pPr>
      <w:r>
        <w:rPr>
          <w:rFonts w:ascii="Times New Roman" w:cs="Times New Roman" w:eastAsia="Times New Roman" w:hAnsi="Times New Roman"/>
          <w:b w:val="false"/>
          <w:bCs w:val="false"/>
          <w:i w:val="false"/>
          <w:iCs w:val="false"/>
          <w:sz w:val="22"/>
          <w:szCs w:val="22"/>
        </w:rPr>
        <w:t xml:space="preserve">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by the author showed this fence shields about as well as a single large magnet at the habitat, but only roughly estimated how much material it would take to build and launch from Earth, and did not connect that shielding to how much radiation a person or a piece of equipment would actually receive.</w:t>
      </w:r>
    </w:p>
    <w:p>
      <w:pPr>
        <w:spacing w:after="160" w:line="276"/>
        <w:jc w:val="both"/>
      </w:pPr>
      <w:r>
        <w:t>This paper folds that earlier physics analysis into a single, complete study, and adds three new contributions. First, it checks the mass estimate more carefully and looks for ways to reduce it: ordinary permanent magnets cannot replace the coils' superconducting wire, since they are tens of thousands of times too weak per unit of mass, and building the fence's support structure from lunar soil instead of shipping it from Earth cuts the Earth-launched mass from about 81 tonnes to about 46 tonnes. Second, it adds a first-order look at the practical engineering problems of actually running such a system on the Moon — how much electrical power the cryogenic cooling would need, how large the radiators would have to be, and how the mass figures compare with what a large future rocket such as Starship could plausibly deliver to the lunar surface. Third, it connects the shielding numbers to what they mean for a person or a piece of electronics, by comparing the concept with current approaches such as a few centimeters of soil cover, a water-filled protective vest, or a temporary storm shelter, each of which has published dose-reduction figures from real missions or measurements.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central finding remains that no single technology is best everywhere. For equipment that stays in one place, simply piling on 2 cm of lunar soil blocks over 90% of the particle energy using almost no Earth-launched material, more efficient than the fence. The fence's real value is protecting things soil cannot cover, like rovers and astronauts working outside, and the ISRU-built version of the fence makes that protection cheaper in Earth-launch terms without changing how well it shields.</w:t>
      </w:r>
    </w:p>
    <w:p>
      <w:pPr>
        <w:spacing w:after="160" w:line="276"/>
        <w:jc w:val="both"/>
      </w:pPr>
      <w:r>
        <w:rPr>
          <w:rFonts w:ascii="Times New Roman" w:cs="Times New Roman" w:eastAsia="Times New Roman" w:hAnsi="Times New Roman"/>
          <w:b w:val="false"/>
          <w:bCs w:val="false"/>
          <w:i/>
          <w:iCs/>
          <w:sz w:val="22"/>
          <w:szCs w:val="22"/>
        </w:rPr>
        <w:t xml:space="preserve">Keywords: active magnetic shielding; solar energetic particles; lunar habitat; distributed dipole array; superconducting coils; in-situ resource utilization; permanent magnets; radiation dose; engineering feasibility; radiation-transport specification</w:t>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Solar energetic particle (SEP) events are among the principal radiation hazards for sustained lunar surface operations. Unlike Earth, the Moon has neither a global magnetic field nor a substantial atmosphere to attenuate incoming protons and heavier ions, so surface assets are exposed to the full unattenuated SEP spectrum except where they are deliberately shielded. Large SEP events are episodic but severe: the August 1972 event, occurring between the Apollo 16 and 17 missions, would have delivered an estimated unshielded blood-forming-organ (BFO) dose on the order of several hundred cSv had astronauts been on the lunar surface at the time (Simonsen et al., 1990), far in excess of the 250 mGy-Eq 30-day BFO limit that NASA uses to bound acute radiation risk (NASA, 2022). Comparable historical events — November 1960 and February 1956 — produced unshielded BFO-dose estimates high enough that, absent shelter, they would have posed an acute health hazard rather than merely an elevated cancer-risk contribution (Simonsen et al., 1990). These events, together with NASA's Artemis-era emphasis on sustained lunar surface presence, motivate renewed attention to surface radiation protection architectures that go beyond the buried, regolith-covered habitat design that has long been the default assumption for fixed lunar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Passive shielding — regolith berms, water walls, polyethylene liners, and analogous hydrogen-rich mass placed between the radiation source and the protected volume — is mass-efficient and technologically mature, and remains the default solution wherever it can physically be deployed. Its limitation is not effectiveness but applicability: a buried or berm-covered habitat is well protected, but a rover traversing kilometers from base, an astronaut on EVA, or distributed sensor and communications infrastructure cannot practically carry, or be covered by, the tens of centimeters of areal density that passive shielding requires for meaningful GCR attenuation, though considerably thinner layers suffice for SEP protons as we quantify in Section 10. This gap has motivated interest in active magnetic shielding, which uses a magnetic field rather than areal mass density to deflect incoming charged particles, potentially at far lower mass for mobile or distributed applications.</w:t>
      </w:r>
    </w:p>
    <w:p>
      <w:pPr>
        <w:spacing w:after="160" w:line="276"/>
        <w:jc w:val="both"/>
      </w:pPr>
      <w:r>
        <w:rPr>
          <w:rFonts w:ascii="Times New Roman" w:cs="Times New Roman" w:eastAsia="Times New Roman" w:hAnsi="Times New Roman"/>
          <w:b w:val="false"/>
          <w:bCs w:val="false"/>
          <w:i w:val="false"/>
          <w:iCs w:val="false"/>
          <w:sz w:val="22"/>
          <w:szCs w:val="22"/>
        </w:rPr>
        <w:t xml:space="preserve">Active magnetic shielding for human spaceflight has a long conceptual history. Early mini-magnetosphere concepts proposed a single strong dipole field around a spacecraft or habitat, standing off the solar wind and energetic particles much as Earth's magnetosphere does at planetary scale (Winglee et al., 2000). Laboratory and computational work by Bamford and collaborators demonstrated the basic plasma physics of an artificial magnetosphere at reduced scale and assessed its potential as a solar-storm shelter for long-duration human missions (Bamford et al., 2008; Bamford et al., 2014). Naturally occurring lunar magnetic anomalies, such as the Reiner Gamma swirl, provide an existence proof that localized magnetic structures at the Moon can measurably stand off solar wind plasma and alter surface weathering patterns, and have been used as a natural laboratory for the same physics that motivates artificial mini-magnetosphere shields (Hood &amp; Schubert, 1980; Deca et al., 2018; Garrick-Bethell et al., 2019). All of this prior work, however, has concentrated on the single monolithic dipole architecture, which concentrates an intense field and a single point of failure at the location it protects, and which — because standoff shielding demands a locally strong field — scales unfavorably to protecting distributed or mobile assets rather than a single fixed installation.</w:t>
      </w:r>
    </w:p>
    <w:p>
      <w:pPr>
        <w:spacing w:after="160" w:line="276"/>
        <w:jc w:val="both"/>
      </w:pPr>
      <w:r>
        <w:t>An earlier physics-focused analysis by the author (Sandler, 2026, archived at Zenodo and previously unpublished in the peer-reviewed literature) introduced and tested an alternative architecture: a distributed perimeter array of modest superconducting coils forming a two-channel fence, which attenuates by repeated small-angle scattering across an extended structured region rather than by a single strong standoff field, in the same qualitative manner that the heliosphere's structured magnetic field attenuates galactic cosmic rays over an extended path rather than by a sharp boundary. That analysis, using a relativistic Boris-pusher test-particle simulation, established that a 22-coil fence matches a monolithic dipole of equal total magnetic moment in SEP attenuation while leaving the protected volume field-free and degrading gracefully under single-coil failure. It reported engineering feasibility only as a first-order point estimate, however, and left two questions unresolved: whether that mass estimate would survive the engineering margins any real system must carry, and whether the underlying moment source needed to be superconducting at all. Three questions therefore remain open for any architecture of this class: whether the reported mass survives the engineering margins that a real system must carry, whether the moment source must be superconducting at all, and whether a shielding metric expressed as fluence attenuation can be connected to the dose quantities in which human and technological risk are actually expressed.</w:t>
      </w:r>
    </w:p>
    <w:p>
      <w:pPr>
        <w:spacing w:after="160" w:line="276"/>
        <w:jc w:val="both"/>
      </w:pPr>
      <w:r>
        <w:t>This paper is organized to be read as a self-contained study. Sections 3–6 present the shield architectures, simulation method, verification procedure, and baseline attenuation physics in full. Section 2 frames the protection problem by asset class — habitat, fixed equipment, rover, EVA crew, distributed infrastructure — rather than by shielding technology, which sets up the paper's asset-dependent conclusion. Sections 7–9 present the engineering analysis: a quantitative test of whether permanent magnets can replace the superconducting moment source (Section 7); an in-situ resource utilization (ISRU) architecture substituting regolith-derived structure for Earth-launched structural mass (Section 8); and a propagated engineering mass budget with explicit uncertainty quantification (Section 9). Section 10 connects the paper's SEP energy-fluence metric to human and technological impact, benchmarking against water-filled wearable shielding, regolith cladding, and storm-shelter concepts using published dose figures, and specifying the transport calculation required to close the remaining gap to a genuine dose-based ranking. Section 11 addresses launch capacity, cryogenic cooling, electrical power, and reliability. Section 12 assesses technology readiness by subsystem; Section 13 discusses the results and their implications; Section 14 states limitations and future work; and Section 15 concludes.</w:t>
      </w:r>
    </w:p>
    <w:p>
      <w:r>
        <w:t>The engineering assessments in Sections 7–11 are deliberately structured as a set of independent consistency tests rather than as a single integrated feasibility score. Each test — moment-source substitution (Section 7), architecture-level mass efficiency (Section 8), mass-margin propagation (Section 9), metric-basis validity (Section 10), and launch manifestability (Section 11) — is anchored to published, citable constraints rather than to assumed values, and each can be evaluated, and can fail, independently of the others. This structure allows a single failing subsystem to be identified without requiring the whole architecture to be redesigned or discarded, and it makes explicit which of the original concept's claims survive quantitative scrutiny and which do not. Table 1 summarizes the outcome of each test; the sections that follow develop them in turn.</w:t>
      </w:r>
    </w:p>
    <w:p>
      <w:r>
        <w:t>Table 1. Executive summary of the consistency tests applied in this study. Each test is independent of the others and is anchored to a published constraint; section numbers indicate where each is developed.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r/>
            <w:r>
              <w:rPr>
                <w:b/>
              </w:rPr>
              <w:t>Claim under test</w:t>
            </w:r>
          </w:p>
        </w:tc>
        <w:tc>
          <w:tcPr>
            <w:tcW w:type="dxa" w:w="2340"/>
          </w:tcPr>
          <w:p>
            <w:r/>
            <w:r>
              <w:rPr>
                <w:b/>
              </w:rPr>
              <w:t>Literature-anchored constraint</w:t>
            </w:r>
          </w:p>
        </w:tc>
        <w:tc>
          <w:tcPr>
            <w:tcW w:type="dxa" w:w="2340"/>
          </w:tcPr>
          <w:p>
            <w:r/>
            <w:r>
              <w:rPr>
                <w:b/>
              </w:rPr>
              <w:t>Test (section)</w:t>
            </w:r>
          </w:p>
        </w:tc>
        <w:tc>
          <w:tcPr>
            <w:tcW w:type="dxa" w:w="2340"/>
          </w:tcPr>
          <w:p>
            <w:r/>
            <w:r>
              <w:rPr>
                <w:b/>
              </w:rPr>
              <w:t>Outcome</w:t>
            </w:r>
          </w:p>
        </w:tc>
      </w:tr>
      <w:tr>
        <w:tc>
          <w:tcPr>
            <w:tcW w:type="dxa" w:w="2340"/>
          </w:tcPr>
          <w:p>
            <w:r/>
            <w:r>
              <w:t>Distributed 22-coil fence shields as well as a monolithic dipole of equal moment</w:t>
            </w:r>
          </w:p>
        </w:tc>
        <w:tc>
          <w:tcPr>
            <w:tcW w:type="dxa" w:w="2340"/>
          </w:tcPr>
          <w:p>
            <w:r/>
            <w:r>
              <w:t>Relativistic Boris-pusher integration, verified to 0.8% gyroradius error at production settings</w:t>
            </w:r>
          </w:p>
        </w:tc>
        <w:tc>
          <w:tcPr>
            <w:tcW w:type="dxa" w:w="2340"/>
          </w:tcPr>
          <w:p>
            <w:r/>
            <w:r>
              <w:t>Baseline attenuation at matched moment budget (6.1)</w:t>
            </w:r>
          </w:p>
        </w:tc>
        <w:tc>
          <w:tcPr>
            <w:tcW w:type="dxa" w:w="2340"/>
          </w:tcPr>
          <w:p>
            <w:r/>
            <w:r>
              <w:t>Consistent — 94.9% vs 95.1% number fluence; 75.4% vs 72.2% energy fluence</w:t>
            </w:r>
          </w:p>
        </w:tc>
      </w:tr>
      <w:tr>
        <w:tc>
          <w:tcPr>
            <w:tcW w:type="dxa" w:w="2340"/>
          </w:tcPr>
          <w:p>
            <w:r/>
            <w:r>
              <w:t>Permanent magnets can replace the superconducting moment source</w:t>
            </w:r>
          </w:p>
        </w:tc>
        <w:tc>
          <w:tcPr>
            <w:tcW w:type="dxa" w:w="2340"/>
          </w:tcPr>
          <w:p>
            <w:r/>
            <w:r>
              <w:t>NdFeB N52 remanence Br ≈ 1.42 T, density 7500 kg/m³</w:t>
            </w:r>
          </w:p>
        </w:tc>
        <w:tc>
          <w:tcPr>
            <w:tcW w:type="dxa" w:w="2340"/>
          </w:tcPr>
          <w:p>
            <w:r/>
            <w:r>
              <w:t>Moment-per-mass comparison plus independent Boris-pusher re-run (7)</w:t>
            </w:r>
          </w:p>
        </w:tc>
        <w:tc>
          <w:tcPr>
            <w:tcW w:type="dxa" w:w="2340"/>
          </w:tcPr>
          <w:p>
            <w:r/>
            <w:r>
              <w:t>Fails — 1.51×10² vs 3.33×10⁶ A·m²/kg; parity would need 2.65×10⁵ t</w:t>
            </w:r>
          </w:p>
        </w:tc>
      </w:tr>
      <w:tr>
        <w:tc>
          <w:tcPr>
            <w:tcW w:type="dxa" w:w="2340"/>
          </w:tcPr>
          <w:p>
            <w:r/>
            <w:r>
              <w:t>ISRU structural substitution lowers Earth-launched mass</w:t>
            </w:r>
          </w:p>
        </w:tc>
        <w:tc>
          <w:tcPr>
            <w:tcW w:type="dxa" w:w="2340"/>
          </w:tcPr>
          <w:p>
            <w:r/>
            <w:r>
              <w:t>40/60 core/structural split; regolith-construction multiplier swept 1–5×</w:t>
            </w:r>
          </w:p>
        </w:tc>
        <w:tc>
          <w:tcPr>
            <w:tcW w:type="dxa" w:w="2340"/>
          </w:tcPr>
          <w:p>
            <w:r/>
            <w:r>
              <w:t>Allocation and multiplier sweep (8.1–8.2)</w:t>
            </w:r>
          </w:p>
        </w:tc>
        <w:tc>
          <w:tcPr>
            <w:tcW w:type="dxa" w:w="2340"/>
          </w:tcPr>
          <w:p>
            <w:r/>
            <w:r>
              <w:t>Consistent and multiplier-invariant — M_E = 46.4 t at every tested multiplier</w:t>
            </w:r>
          </w:p>
        </w:tc>
      </w:tr>
      <w:tr>
        <w:tc>
          <w:tcPr>
            <w:tcW w:type="dxa" w:w="2340"/>
          </w:tcPr>
          <w:p>
            <w:r/>
            <w:r>
              <w:t>The fence is a general-purpose lunar shielding solution</w:t>
            </w:r>
          </w:p>
        </w:tc>
        <w:tc>
          <w:tcPr>
            <w:tcW w:type="dxa" w:w="2340"/>
          </w:tcPr>
          <w:p>
            <w:r/>
            <w:r>
              <w:t>CSDA range-energy relation R = 0.00251·E^1.75 for regolith</w:t>
            </w:r>
          </w:p>
        </w:tc>
        <w:tc>
          <w:tcPr>
            <w:tcW w:type="dxa" w:w="2340"/>
          </w:tcPr>
          <w:p>
            <w:r/>
            <w:r>
              <w:t>Four-architecture Earth-mass efficiency comparison (8.3–8.4, 10.1)</w:t>
            </w:r>
          </w:p>
        </w:tc>
        <w:tc>
          <w:tcPr>
            <w:tcW w:type="dxa" w:w="2340"/>
          </w:tcPr>
          <w:p>
            <w:r/>
            <w:r>
              <w:t>Fails for fixed assets — 2 cm regolith gives 18.3 %/t vs 0.93–2.04 %/t for fence architectures</w:t>
            </w:r>
          </w:p>
        </w:tc>
      </w:tr>
      <w:tr>
        <w:tc>
          <w:tcPr>
            <w:tcW w:type="dxa" w:w="2340"/>
          </w:tcPr>
          <w:p>
            <w:r/>
            <w:r>
              <w:t>Total system mass is 40–60 t (original point design)</w:t>
            </w:r>
          </w:p>
        </w:tc>
        <w:tc>
          <w:tcPr>
            <w:tcW w:type="dxa" w:w="2340"/>
          </w:tcPr>
          <w:p>
            <w:r/>
            <w:r>
              <w:t>Aerospace derating, structural/cryostat, thermal-cycling and dust margin ranges</w:t>
            </w:r>
          </w:p>
        </w:tc>
        <w:tc>
          <w:tcPr>
            <w:tcW w:type="dxa" w:w="2340"/>
          </w:tcPr>
          <w:p>
            <w:r/>
            <w:r>
              <w:t>Monte Carlo propagation, N = 300,000 (9)</w:t>
            </w:r>
          </w:p>
        </w:tc>
        <w:tc>
          <w:tcPr>
            <w:tcW w:type="dxa" w:w="2340"/>
          </w:tcPr>
          <w:p>
            <w:r/>
            <w:r>
              <w:t>Revised upward — median 81 t (90% CI 55–116 t); 18% probability of exceeding 100 t</w:t>
            </w:r>
          </w:p>
        </w:tc>
      </w:tr>
      <w:tr>
        <w:tc>
          <w:tcPr>
            <w:tcW w:type="dxa" w:w="2340"/>
          </w:tcPr>
          <w:p>
            <w:r/>
            <w:r>
              <w:t>Energy-fluence reduction indicates dose reduction</w:t>
            </w:r>
          </w:p>
        </w:tc>
        <w:tc>
          <w:tcPr>
            <w:tcW w:type="dxa" w:w="2340"/>
          </w:tcPr>
          <w:p>
            <w:r/>
            <w:r>
              <w:t>NASA-STD-3001 permissible exposure limits; AstroRad/MARE flight-derived dose figures</w:t>
            </w:r>
          </w:p>
        </w:tc>
        <w:tc>
          <w:tcPr>
            <w:tcW w:type="dxa" w:w="2340"/>
          </w:tcPr>
          <w:p>
            <w:r/>
            <w:r>
              <w:t>Metric-basis check against dose benchmarks (10.2–10.3)</w:t>
            </w:r>
          </w:p>
        </w:tc>
        <w:tc>
          <w:tcPr>
            <w:tcW w:type="dxa" w:w="2340"/>
          </w:tcPr>
          <w:p>
            <w:r/>
            <w:r>
              <w:t>Not established — ΔF_E is not ΔD; requires the HZETRN2020/Geant4 chain specified in 10.4</w:t>
            </w:r>
          </w:p>
        </w:tc>
      </w:tr>
      <w:tr>
        <w:tc>
          <w:tcPr>
            <w:tcW w:type="dxa" w:w="2340"/>
          </w:tcPr>
          <w:p>
            <w:r/>
            <w:r>
              <w:t>The 46.4 t architecture is deliverable to the lunar surface</w:t>
            </w:r>
          </w:p>
        </w:tc>
        <w:tc>
          <w:tcPr>
            <w:tcW w:type="dxa" w:w="2340"/>
          </w:tcPr>
          <w:p>
            <w:r/>
            <w:r>
              <w:t>NASA Human-Class Delivery Lander 12–15 t; Blue Moon Mark 1 ≈ 3 t</w:t>
            </w:r>
          </w:p>
        </w:tc>
        <w:tc>
          <w:tcPr>
            <w:tcW w:type="dxa" w:w="2340"/>
          </w:tcPr>
          <w:p>
            <w:r/>
            <w:r>
              <w:t>Launch-manifest check (11.1)</w:t>
            </w:r>
          </w:p>
        </w:tc>
        <w:tc>
          <w:tcPr>
            <w:tcW w:type="dxa" w:w="2340"/>
          </w:tcPr>
          <w:p>
            <w:r/>
            <w:r>
              <w:t>Requires modular multi-flight delivery — no publicly quantified lander covers it in one flight</w:t>
            </w:r>
          </w:p>
        </w:tc>
      </w:tr>
    </w:tbl>
    <w:p>
      <w:pPr>
        <w:pStyle w:val="Heading1"/>
        <w:spacing w:after="160" w:before="320"/>
      </w:pPr>
      <w:r>
        <w:rPr>
          <w:rFonts w:ascii="Times New Roman" w:cs="Times New Roman" w:eastAsia="Times New Roman" w:hAnsi="Times New Roman"/>
          <w:b/>
          <w:bCs/>
          <w:color w:val="1F4E79"/>
          <w:sz w:val="28"/>
          <w:szCs w:val="28"/>
        </w:rPr>
        <w:t xml:space="preserve">2. Radiation Protection Requirements for Lunar Surface Assets</w:t>
      </w:r>
    </w:p>
    <w:p>
      <w:pPr>
        <w:spacing w:after="160" w:line="276"/>
        <w:jc w:val="both"/>
      </w:pPr>
      <w:r>
        <w:rPr>
          <w:rFonts w:ascii="Times New Roman" w:cs="Times New Roman" w:eastAsia="Times New Roman" w:hAnsi="Times New Roman"/>
          <w:b w:val="false"/>
          <w:bCs w:val="false"/>
          <w:i w:val="false"/>
          <w:iCs w:val="false"/>
          <w:sz w:val="22"/>
          <w:szCs w:val="22"/>
        </w:rPr>
        <w:t xml:space="preserve">A recurring source of confusion in comparing active and passive lunar radiation shielding concepts is that different classes of surface asset have fundamentally different constraints on what protection they can carry or be covered by, so that no single shielding technology can be evaluated as universally superior or inferior without specifying which asset it is meant to protect. We define five asset classes used throughout the remainder of this paper.</w:t>
      </w:r>
    </w:p>
    <w:p>
      <w:pPr>
        <w:pStyle w:val="Heading3"/>
        <w:spacing w:after="100" w:before="180"/>
      </w:pPr>
      <w:r>
        <w:rPr>
          <w:rFonts w:ascii="Times New Roman" w:cs="Times New Roman" w:eastAsia="Times New Roman" w:hAnsi="Times New Roman"/>
          <w:b/>
          <w:bCs/>
          <w:i/>
          <w:iCs/>
          <w:sz w:val="22"/>
          <w:szCs w:val="22"/>
        </w:rPr>
        <w:t xml:space="preserve">Permanent, fixed habitats</w:t>
      </w:r>
    </w:p>
    <w:p>
      <w:pPr>
        <w:spacing w:after="160" w:line="276"/>
        <w:jc w:val="both"/>
      </w:pPr>
      <w:r>
        <w:rPr>
          <w:rFonts w:ascii="Times New Roman" w:cs="Times New Roman" w:eastAsia="Times New Roman" w:hAnsi="Times New Roman"/>
          <w:b w:val="false"/>
          <w:bCs w:val="false"/>
          <w:i w:val="false"/>
          <w:iCs w:val="false"/>
          <w:sz w:val="22"/>
          <w:szCs w:val="22"/>
        </w:rPr>
        <w:t xml:space="preserve">A permanently occupied habitat is, by construction, immobile and typically co-located with the largest concentration of Earth-launched infrastructure at a lunar base. It can be covered by regolith berms, buried entirely, or clad with locally sourced shielding mass without materially affecting its operational function, because the habitat does not need to move. This is the asset class for which passive shielding is least constrained and, as Section 10 quantifies, most mass-efficient.</w:t>
      </w:r>
    </w:p>
    <w:p>
      <w:pPr>
        <w:pStyle w:val="Heading3"/>
        <w:spacing w:after="100" w:before="180"/>
      </w:pPr>
      <w:r>
        <w:rPr>
          <w:rFonts w:ascii="Times New Roman" w:cs="Times New Roman" w:eastAsia="Times New Roman" w:hAnsi="Times New Roman"/>
          <w:b/>
          <w:bCs/>
          <w:i/>
          <w:iCs/>
          <w:sz w:val="22"/>
          <w:szCs w:val="22"/>
        </w:rPr>
        <w:t xml:space="preserve">Fixed, non-mobile surface equipment</w:t>
      </w:r>
    </w:p>
    <w:p>
      <w:pPr>
        <w:spacing w:after="160" w:line="276"/>
        <w:jc w:val="both"/>
      </w:pPr>
      <w:r>
        <w:rPr>
          <w:rFonts w:ascii="Times New Roman" w:cs="Times New Roman" w:eastAsia="Times New Roman" w:hAnsi="Times New Roman"/>
          <w:b w:val="false"/>
          <w:bCs w:val="false"/>
          <w:i w:val="false"/>
          <w:iCs w:val="false"/>
          <w:sz w:val="22"/>
          <w:szCs w:val="22"/>
        </w:rPr>
        <w:t xml:space="preserve">Power generation equipment, communications relays, in-situ resource utilization plant, and similar fixed infrastructure share the habitat's immobility but not necessarily its tolerance for being buried or fully enclosed: some fixed equipment requires unobstructed sightlines (antennas, solar collectors) or active thermal rejection (radiators) that a thick regolith overburden would compromise. Thin regolith cladding, rather than full burial, is the relevant passive option for this class, and Section 10 shows that even a few centimeters is highly effective against the SEP proton spectrum specifically, though not against galactic cosmic rays, which require much greater areal density.</w:t>
      </w:r>
    </w:p>
    <w:p>
      <w:pPr>
        <w:pStyle w:val="Heading3"/>
        <w:spacing w:after="100" w:before="180"/>
      </w:pPr>
      <w:r>
        <w:rPr>
          <w:rFonts w:ascii="Times New Roman" w:cs="Times New Roman" w:eastAsia="Times New Roman" w:hAnsi="Times New Roman"/>
          <w:b/>
          <w:bCs/>
          <w:i/>
          <w:iCs/>
          <w:sz w:val="22"/>
          <w:szCs w:val="22"/>
        </w:rPr>
        <w:t xml:space="preserve">Mobile surface assets (rovers)</w:t>
      </w:r>
    </w:p>
    <w:p>
      <w:pPr>
        <w:spacing w:after="160" w:line="276"/>
        <w:jc w:val="both"/>
      </w:pPr>
      <w:r>
        <w:rPr>
          <w:rFonts w:ascii="Times New Roman" w:cs="Times New Roman" w:eastAsia="Times New Roman" w:hAnsi="Times New Roman"/>
          <w:b w:val="false"/>
          <w:bCs w:val="false"/>
          <w:i w:val="false"/>
          <w:iCs w:val="false"/>
          <w:sz w:val="22"/>
          <w:szCs w:val="22"/>
        </w:rPr>
        <w:t xml:space="preserve">A rover must retain mobility, payload margin, and unobstructed sensor and communication apertures, all of which are compromised by adding centimeters of areal shielding mass. A rover's cabin can incorporate modest local shielding (e.g., a shielded core sufficient for storm-shelter use during transit), but comprehensive passive shielding of the entire vehicle is generally impractical. This is the first asset class for which an area-covering active shield, rather than a locally carried mass, becomes attractive in principle.</w:t>
      </w:r>
    </w:p>
    <w:p>
      <w:pPr>
        <w:pStyle w:val="Heading3"/>
        <w:spacing w:after="100" w:before="180"/>
      </w:pPr>
      <w:r>
        <w:rPr>
          <w:rFonts w:ascii="Times New Roman" w:cs="Times New Roman" w:eastAsia="Times New Roman" w:hAnsi="Times New Roman"/>
          <w:b/>
          <w:bCs/>
          <w:i/>
          <w:iCs/>
          <w:sz w:val="22"/>
          <w:szCs w:val="22"/>
        </w:rPr>
        <w:t xml:space="preserve">Extravehicular (EVA) crew</w:t>
      </w:r>
    </w:p>
    <w:p>
      <w:pPr>
        <w:spacing w:after="160" w:line="276"/>
        <w:jc w:val="both"/>
      </w:pPr>
      <w:r>
        <w:rPr>
          <w:rFonts w:ascii="Times New Roman" w:cs="Times New Roman" w:eastAsia="Times New Roman" w:hAnsi="Times New Roman"/>
          <w:b w:val="false"/>
          <w:bCs w:val="false"/>
          <w:i w:val="false"/>
          <w:iCs w:val="false"/>
          <w:sz w:val="22"/>
          <w:szCs w:val="22"/>
        </w:rPr>
        <w:t xml:space="preserve">An astronaut on EVA is the most constrained asset class: suit mass budgets are dominated by life support, mobility, and thermal control, leaving little margin for radiation shielding mass. Wearable shielding concepts such as the AstroRad vest partially address this by concentrating available shielding mass around the most radiosensitive organs rather than distributing it uniformly (see Section 10.3), but a vest's areal coverage and thickness are fundamentally bounded by what a suited crew member can wear and still perform useful work. EVA crew, like rovers, are protected only by whatever fixed or mobile shielding infrastructure they can retreat to, plus whatever they carry.</w:t>
      </w:r>
    </w:p>
    <w:p>
      <w:pPr>
        <w:pStyle w:val="Heading3"/>
        <w:spacing w:after="100" w:before="180"/>
      </w:pPr>
      <w:r>
        <w:rPr>
          <w:rFonts w:ascii="Times New Roman" w:cs="Times New Roman" w:eastAsia="Times New Roman" w:hAnsi="Times New Roman"/>
          <w:b/>
          <w:bCs/>
          <w:i/>
          <w:iCs/>
          <w:sz w:val="22"/>
          <w:szCs w:val="22"/>
        </w:rPr>
        <w:t xml:space="preserve">Distributed surface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Sensor networks, cabling, and other spatially extended but individually low-value infrastructure elements are numerous enough that cladding each in regolith is a substantial, repeated construction burden, even though any individual element's protection requirement is modest. An area-covering shield that protects an entire perimeter, rather than each asset individually, is potentially attractive here on logistical rather than purely mass grounds.</w:t>
      </w:r>
    </w:p>
    <w:p>
      <w:pPr>
        <w:spacing w:after="160" w:line="276"/>
        <w:jc w:val="both"/>
      </w:pPr>
      <w:r>
        <w:rPr>
          <w:rFonts w:ascii="Times New Roman" w:cs="Times New Roman" w:eastAsia="Times New Roman" w:hAnsi="Times New Roman"/>
          <w:b w:val="false"/>
          <w:bCs w:val="false"/>
          <w:i w:val="false"/>
          <w:iCs w:val="false"/>
          <w:sz w:val="22"/>
          <w:szCs w:val="22"/>
        </w:rPr>
        <w:t xml:space="preserve">This taxonomy motivates the paper's central architectural question, addressed quantitatively in Sections 8–10 and stated as a conclusion in Section 13: rather than asking which shielding technology is best, the more productive question is which technology is best for which asset, since the constraint that makes passive shielding attractive for fixed assets (they can be covered without operational penalty) is precisely the constraint that mobile and EVA assets cannot satisfy, and it is exactly this latter population for which an area-covering active shield has a distinct, non-substitutable role.</w:t>
      </w:r>
    </w:p>
    <w:p>
      <w:pPr>
        <w:pStyle w:val="Heading1"/>
        <w:spacing w:after="160" w:before="320"/>
      </w:pPr>
      <w:r>
        <w:rPr>
          <w:rFonts w:ascii="Times New Roman" w:cs="Times New Roman" w:eastAsia="Times New Roman" w:hAnsi="Times New Roman"/>
          <w:b/>
          <w:bCs/>
          <w:color w:val="1F4E79"/>
          <w:sz w:val="28"/>
          <w:szCs w:val="28"/>
        </w:rPr>
        <w:t xml:space="preserve">3. Shield Architectures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physical distinction between magnetic-shielding architectures is set by a single length scale, the proton gyroradius r_g = p/(qB), where p is proton momentum, q is charge, and B is local field strength. A standoff shield defeats a particle in essentially one encounter by making the gyroradius locally small compared with the shield's standoff distance from the protected volume; because the deflection must be accomplished over a short distance, this demands a strong field and hence a compact, monolithic source. A scattering shield instead defeats a particle statistically, through many deflections of order one gyroradius accumulated across an extended, spatially structured region; because the cumulative effect of many weak deflections can equal one strong deflection, this permits a much weaker field per source, provided the sources are spaced no farther apart than roughly a gyroradius at the energy of interest. Both classes of shield behave as low-pass filters in magnetic rigidity: full attenuation at low proton energy, a transition (“knee”) energy at which roughly half the incident flux is transmitted, and increasing transparency above the knee as the gyroradius grows beyond the structural scale of the shield.</w:t>
      </w:r>
    </w:p>
    <w:p>
      <w:pPr>
        <w:spacing w:after="160" w:line="276"/>
        <w:jc w:val="both"/>
      </w:pPr>
      <w:r>
        <w:rPr>
          <w:rFonts w:ascii="Times New Roman" w:cs="Times New Roman" w:eastAsia="Times New Roman" w:hAnsi="Times New Roman"/>
          <w:b w:val="false"/>
          <w:bCs w:val="false"/>
          <w:i w:val="false"/>
          <w:iCs w:val="false"/>
          <w:sz w:val="22"/>
          <w:szCs w:val="22"/>
        </w:rPr>
        <w:t xml:space="preserve">We compare three configurations at an identical total moment budget Σ|m| = M0 = 4×10¹⁰ A·m², chosen to be representative of a REBCO high-temperature superconducting coil system sized for lunar surface deployment: (A) a monolith, in which the full moment resides in a single vertical dipole located at the protected habitat, representing the traditional mini-magnetosphere concept; (B) a distributed array of 22 dipoles arranged as two parallel fences 200 m apart, with 11 sites per fence at 100 m spacing and alternating magnetic polarity along each fence, representing the scattering-shield alternative; and (C) a chiral variant of the array in which the dipole moments are rotated helically along the fence rather than alternating in a simple two-state pattern, introduced to test for a handedness-selective transport effect (Section 6.3). The two-fence, alternating-polarity geometry of (B) is chosen so that a particle threading the corridor between the fences encounters oppositely directed deflections in sequence, which increases the effective path length over which scattering accumulates relative to a single fence line.</w:t>
      </w:r>
    </w:p>
    <w:p>
      <w:pPr>
        <w:pStyle w:val="Heading1"/>
        <w:spacing w:after="160" w:before="320"/>
      </w:pPr>
      <w:r>
        <w:rPr>
          <w:rFonts w:ascii="Times New Roman" w:cs="Times New Roman" w:eastAsia="Times New Roman" w:hAnsi="Times New Roman"/>
          <w:b/>
          <w:bCs/>
          <w:color w:val="1F4E79"/>
          <w:sz w:val="28"/>
          <w:szCs w:val="28"/>
        </w:rPr>
        <w:t xml:space="preserve">4. Particle Simulation Method</w:t>
      </w:r>
    </w:p>
    <w:p>
      <w:pPr>
        <w:spacing w:after="160" w:line="276"/>
        <w:jc w:val="both"/>
      </w:pPr>
      <w:r>
        <w:rPr>
          <w:rFonts w:ascii="Times New Roman" w:cs="Times New Roman" w:eastAsia="Times New Roman" w:hAnsi="Times New Roman"/>
          <w:b w:val="false"/>
          <w:bCs w:val="false"/>
          <w:i w:val="false"/>
          <w:iCs w:val="false"/>
          <w:sz w:val="22"/>
          <w:szCs w:val="22"/>
        </w:rPr>
        <w:t xml:space="preserve">Each magnetic source is modeled as a softened point dipole, B(r) = (μ0/4π)[3(m·r̂)r̂ − m]/(r² + a²)^{3/2}, with softening length a = 25 m representing the finite physical extent of a real coil and avoiding the unphysical divergence of an ideal point dipole at short range. Protons are advanced using the relativistic Boris algorithm (Boris, 1970), a leapfrog-type integrator that separates the electric and magnetic force updates and rotates the momentum vector about the local magnetic field direction; because this rotation exactly conserves particle speed (and hence relativistic Lorentz factor) at each step by construction, the scheme is well suited to long-duration magnetic-only particle tracking where energy-conservation errors would otherwise accumulate. The integration time step is adaptive, dt = min(T_g/25, 10 m/v), where T_g is the local gyroperiod and v is particle speed; this choice ensures at least 25 steps are taken per gyro-orbit in strong-field regions while preventing excessively short steps from being wasted in weak-field regions where the spatial-resolution criterion instead dominates.</w:t>
      </w:r>
    </w:p>
    <w:p>
      <w:pPr>
        <w:spacing w:after="160" w:line="276"/>
        <w:jc w:val="both"/>
      </w:pPr>
      <w:r>
        <w:rPr>
          <w:rFonts w:ascii="Times New Roman" w:cs="Times New Roman" w:eastAsia="Times New Roman" w:hAnsi="Times New Roman"/>
          <w:b w:val="false"/>
          <w:bCs w:val="false"/>
          <w:i w:val="false"/>
          <w:iCs w:val="false"/>
          <w:sz w:val="22"/>
          <w:szCs w:val="22"/>
        </w:rPr>
        <w:t xml:space="preserve">For each configuration and incident proton energy, N protons are launched as an aimed pencil beam from x = −900 m toward a 60 m protected zone centered at the origin. In the field-free (no shield) case, this beam geometry gives 100% transmission by construction, so any reported transmission fraction below unity is directly attributable to the shield's leakage rather than to beam divergence or geometric loss. We adopt the aimed-beam geometry deliberately as a conservative, bounding choice: a normally incident pencil beam aimed directly along a line of sight to the protected zone probes the fence's weakest apertures head-on, whereas a more realistic isotropic or broad-angle incidence would average over many lines of sight, including well-shielded ones, and is expected to lower, not raise, the reported transmission. The reported transmission values in this paper should therefore be read as upper bounds on true operational leakage under realistic incidence conditions. Baseline runs use N = 500–1000 protons per energy point, which by binomial counting statistics gives a 95% confidence half-width on the transmission fraction of no more than ±0.045.</w:t>
      </w:r>
    </w:p>
    <w:p>
      <w:pPr>
        <w:pStyle w:val="Heading1"/>
        <w:spacing w:after="160" w:before="320"/>
      </w:pPr>
      <w:r>
        <w:rPr>
          <w:rFonts w:ascii="Times New Roman" w:cs="Times New Roman" w:eastAsia="Times New Roman" w:hAnsi="Times New Roman"/>
          <w:b/>
          <w:bCs/>
          <w:color w:val="1F4E79"/>
          <w:sz w:val="28"/>
          <w:szCs w:val="28"/>
        </w:rPr>
        <w:t xml:space="preserve">5. Numerical Verification and Convergence</w:t>
      </w:r>
    </w:p>
    <w:p>
      <w:pPr>
        <w:spacing w:after="160" w:line="276"/>
        <w:jc w:val="both"/>
      </w:pPr>
      <w:r>
        <w:t>Three independent checks establish the numerical reliability of the simulation before it is used to compare shielding architectures. First, against the analytic gyroradius solution for a proton in a uniform magnetic field, the Boris integrator converges quadratically in time step, from a 4.7% radius error at 10 integration steps per gyroperiod down to 0.05% error at 100 steps per gyroperiod; the production setting used throughout this paper, 25 steps per gyroperiod, gives 0.8% radius error, and momentum magnitude — which the Boris algorithm conserves exactly in the absence of numerical error — is conserved to 1 part in 10¹⁵ at all tested settings, confirming that the observed radius error is a genuine time-discretization effect rather than an implementation bug. Second, the reported transmission fraction at a representative test energy of 10 MeV is insensitive to the time-step setting across a threefold range (T = 0.046, 0.046, and 0.048 at 10, 25, and 50 steps per gyroperiod respectively), confirming that the production time-step setting is adequately converged for the shielding metric of interest, not merely for the idealized single-particle orbit test. Third, transmission is stable in particle count: the seed-to-seed spread in the Monte Carlo transmission estimate shrinks from ±0.033 at N = 100 to ±0.005 at N ≥ 500, consistent with the 1/√N scaling expected of binomial counting statistics, which further confirms that the reported confidence intervals in Table 2 are not underestimates arising from an unrepresented source of variance.</w:t>
      </w:r>
    </w:p>
    <w:p>
      <w:pPr>
        <w:spacing w:after="160" w:line="276"/>
        <w:jc w:val="both"/>
      </w:pPr>
      <w:r>
        <w:rPr>
          <w:rFonts w:ascii="Times New Roman" w:cs="Times New Roman" w:eastAsia="Times New Roman" w:hAnsi="Times New Roman"/>
          <w:b w:val="false"/>
          <w:bCs w:val="false"/>
          <w:i w:val="false"/>
          <w:iCs w:val="false"/>
          <w:sz w:val="22"/>
          <w:szCs w:val="22"/>
        </w:rPr>
        <w:t xml:space="preserve">Taken together, these three checks establish that the reported transmission fractions in Section 6 reflect the physics of the modeled fields and beam geometry to within the stated statistical uncertainty, rather than artifacts of time discretization, algorithmic non-conservation, or under-sampled Monte Carlo variance.</w:t>
      </w:r>
    </w:p>
    <w:p>
      <w:pPr>
        <w:pStyle w:val="Heading1"/>
        <w:spacing w:after="160" w:before="320"/>
      </w:pPr>
      <w:r>
        <w:rPr>
          <w:rFonts w:ascii="Times New Roman" w:cs="Times New Roman" w:eastAsia="Times New Roman" w:hAnsi="Times New Roman"/>
          <w:b/>
          <w:bCs/>
          <w:color w:val="1F4E79"/>
          <w:sz w:val="28"/>
          <w:szCs w:val="28"/>
        </w:rPr>
        <w:t xml:space="preserve">6. Shielding Performance: Baseline Comparison, Scaling Laws, and Helical Winding</w:t>
      </w:r>
    </w:p>
    <w:p>
      <w:pPr>
        <w:pStyle w:val="Heading2"/>
        <w:spacing w:after="120" w:before="240"/>
      </w:pPr>
      <w:r>
        <w:rPr>
          <w:rFonts w:ascii="Times New Roman" w:cs="Times New Roman" w:eastAsia="Times New Roman" w:hAnsi="Times New Roman"/>
          <w:b/>
          <w:bCs/>
          <w:color w:val="1F4E79"/>
          <w:sz w:val="24"/>
          <w:szCs w:val="24"/>
        </w:rPr>
        <w:t xml:space="preserve">6.1 Baseline attenuation comparison</w:t>
      </w:r>
    </w:p>
    <w:p>
      <w:pPr>
        <w:spacing w:after="160" w:line="276"/>
        <w:jc w:val="both"/>
      </w:pPr>
      <w:r>
        <w:t>Table 2 reports transmission to the protected zone as a function of incident proton kinetic energy for the monolithic dipole (A) and the two-channel distributed array (B), each at the common moment budget M0. Both architectures are essentially opaque through 3 MeV, pass roughly 5% of incident flux at 10 MeV, 30–40% at 30 MeV, and 65% at 100 MeV, confirming that at equal moment budget the distributed fence provides essentially the same rigidity filter as the monolithic dipole despite its qualitatively different field topology.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900"/>
        <w:gridCol w:w="1200"/>
      </w:tblGrid>
      <w:tr>
        <w:tc>
          <w:tcPr>
            <w:tcW w:type="dxa" w:w="2400"/>
            <w:shd w:fill="DCE6F1" w:val="clear"/>
          </w:tcPr>
          <w:p>
            <w:pPr>
              <w:jc w:val="left"/>
            </w:pPr>
            <w:r>
              <w:rPr>
                <w:rFonts w:ascii="Times New Roman" w:cs="Times New Roman" w:eastAsia="Times New Roman" w:hAnsi="Times New Roman"/>
                <w:b/>
                <w:bCs/>
                <w:sz w:val="20"/>
                <w:szCs w:val="20"/>
              </w:rPr>
              <w:t xml:space="preserve">Geometry \ E (MeV)</w:t>
            </w:r>
          </w:p>
        </w:tc>
        <w:tc>
          <w:tcPr>
            <w:tcW w:type="dxa" w:w="900"/>
            <w:shd w:fill="DCE6F1" w:val="clear"/>
          </w:tcPr>
          <w:p>
            <w:pPr>
              <w:jc w:val="left"/>
            </w:pPr>
            <w:r>
              <w:rPr>
                <w:rFonts w:ascii="Times New Roman" w:cs="Times New Roman" w:eastAsia="Times New Roman" w:hAnsi="Times New Roman"/>
                <w:b/>
                <w:bCs/>
                <w:sz w:val="20"/>
                <w:szCs w:val="20"/>
              </w:rPr>
              <w:t xml:space="preserve">0.1</w:t>
            </w:r>
          </w:p>
        </w:tc>
        <w:tc>
          <w:tcPr>
            <w:tcW w:type="dxa" w:w="900"/>
            <w:shd w:fill="DCE6F1" w:val="clear"/>
          </w:tcPr>
          <w:p>
            <w:pPr>
              <w:jc w:val="left"/>
            </w:pPr>
            <w:r>
              <w:rPr>
                <w:rFonts w:ascii="Times New Roman" w:cs="Times New Roman" w:eastAsia="Times New Roman" w:hAnsi="Times New Roman"/>
                <w:b/>
                <w:bCs/>
                <w:sz w:val="20"/>
                <w:szCs w:val="20"/>
              </w:rPr>
              <w:t xml:space="preserve">0.3</w:t>
            </w:r>
          </w:p>
        </w:tc>
        <w:tc>
          <w:tcPr>
            <w:tcW w:type="dxa" w:w="900"/>
            <w:shd w:fill="DCE6F1" w:val="clear"/>
          </w:tcPr>
          <w:p>
            <w:pPr>
              <w:jc w:val="left"/>
            </w:pPr>
            <w:r>
              <w:rPr>
                <w:rFonts w:ascii="Times New Roman" w:cs="Times New Roman" w:eastAsia="Times New Roman" w:hAnsi="Times New Roman"/>
                <w:b/>
                <w:bCs/>
                <w:sz w:val="20"/>
                <w:szCs w:val="20"/>
              </w:rPr>
              <w:t xml:space="preserve">1</w:t>
            </w:r>
          </w:p>
        </w:tc>
        <w:tc>
          <w:tcPr>
            <w:tcW w:type="dxa" w:w="900"/>
            <w:shd w:fill="DCE6F1" w:val="clear"/>
          </w:tcPr>
          <w:p>
            <w:pPr>
              <w:jc w:val="left"/>
            </w:pPr>
            <w:r>
              <w:rPr>
                <w:rFonts w:ascii="Times New Roman" w:cs="Times New Roman" w:eastAsia="Times New Roman" w:hAnsi="Times New Roman"/>
                <w:b/>
                <w:bCs/>
                <w:sz w:val="20"/>
                <w:szCs w:val="20"/>
              </w:rPr>
              <w:t xml:space="preserve">3</w:t>
            </w:r>
          </w:p>
        </w:tc>
        <w:tc>
          <w:tcPr>
            <w:tcW w:type="dxa" w:w="900"/>
            <w:shd w:fill="DCE6F1" w:val="clear"/>
          </w:tcPr>
          <w:p>
            <w:pPr>
              <w:jc w:val="left"/>
            </w:pPr>
            <w:r>
              <w:rPr>
                <w:rFonts w:ascii="Times New Roman" w:cs="Times New Roman" w:eastAsia="Times New Roman" w:hAnsi="Times New Roman"/>
                <w:b/>
                <w:bCs/>
                <w:sz w:val="20"/>
                <w:szCs w:val="20"/>
              </w:rPr>
              <w:t xml:space="preserve">10</w:t>
            </w:r>
          </w:p>
        </w:tc>
        <w:tc>
          <w:tcPr>
            <w:tcW w:type="dxa" w:w="900"/>
            <w:shd w:fill="DCE6F1" w:val="clear"/>
          </w:tcPr>
          <w:p>
            <w:pPr>
              <w:jc w:val="left"/>
            </w:pPr>
            <w:r>
              <w:rPr>
                <w:rFonts w:ascii="Times New Roman" w:cs="Times New Roman" w:eastAsia="Times New Roman" w:hAnsi="Times New Roman"/>
                <w:b/>
                <w:bCs/>
                <w:sz w:val="20"/>
                <w:szCs w:val="20"/>
              </w:rPr>
              <w:t xml:space="preserve">30</w:t>
            </w:r>
          </w:p>
        </w:tc>
        <w:tc>
          <w:tcPr>
            <w:tcW w:type="dxa" w:w="1200"/>
            <w:shd w:fill="DCE6F1" w:val="clear"/>
          </w:tcPr>
          <w:p>
            <w:pPr>
              <w:jc w:val="left"/>
            </w:pPr>
            <w:r>
              <w:rPr>
                <w:rFonts w:ascii="Times New Roman" w:cs="Times New Roman" w:eastAsia="Times New Roman" w:hAnsi="Times New Roman"/>
                <w:b/>
                <w:bCs/>
                <w:sz w:val="20"/>
                <w:szCs w:val="20"/>
              </w:rPr>
              <w:t xml:space="preserve">100</w:t>
            </w:r>
          </w:p>
        </w:tc>
      </w:tr>
      <w:tr>
        <w:tc>
          <w:tcPr>
            <w:tcW w:type="dxa" w:w="2400"/>
          </w:tcPr>
          <w:p>
            <w:pPr>
              <w:jc w:val="left"/>
            </w:pPr>
            <w:r>
              <w:rPr>
                <w:rFonts w:ascii="Times New Roman" w:cs="Times New Roman" w:eastAsia="Times New Roman" w:hAnsi="Times New Roman"/>
                <w:b w:val="false"/>
                <w:bCs w:val="false"/>
                <w:sz w:val="20"/>
                <w:szCs w:val="20"/>
              </w:rPr>
              <w:t xml:space="preserve">Monolithic dipole</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0.048</w:t>
            </w:r>
          </w:p>
        </w:tc>
        <w:tc>
          <w:tcPr>
            <w:tcW w:type="dxa" w:w="900"/>
          </w:tcPr>
          <w:p>
            <w:pPr>
              <w:jc w:val="left"/>
            </w:pPr>
            <w:r>
              <w:rPr>
                <w:rFonts w:ascii="Times New Roman" w:cs="Times New Roman" w:eastAsia="Times New Roman" w:hAnsi="Times New Roman"/>
                <w:b w:val="false"/>
                <w:bCs w:val="false"/>
                <w:sz w:val="20"/>
                <w:szCs w:val="20"/>
              </w:rPr>
              <w:t xml:space="preserve">0.388</w:t>
            </w:r>
          </w:p>
        </w:tc>
        <w:tc>
          <w:tcPr>
            <w:tcW w:type="dxa" w:w="1200"/>
          </w:tcPr>
          <w:p>
            <w:pPr>
              <w:jc w:val="left"/>
            </w:pPr>
            <w:r>
              <w:rPr>
                <w:rFonts w:ascii="Times New Roman" w:cs="Times New Roman" w:eastAsia="Times New Roman" w:hAnsi="Times New Roman"/>
                <w:b w:val="false"/>
                <w:bCs w:val="false"/>
                <w:sz w:val="20"/>
                <w:szCs w:val="20"/>
              </w:rPr>
              <w:t xml:space="preserve">0.654</w:t>
            </w:r>
          </w:p>
        </w:tc>
      </w:tr>
      <w:tr>
        <w:tc>
          <w:tcPr>
            <w:tcW w:type="dxa" w:w="2400"/>
          </w:tcPr>
          <w:p>
            <w:pPr>
              <w:jc w:val="left"/>
            </w:pPr>
            <w:r>
              <w:rPr>
                <w:rFonts w:ascii="Times New Roman" w:cs="Times New Roman" w:eastAsia="Times New Roman" w:hAnsi="Times New Roman"/>
                <w:b w:val="false"/>
                <w:bCs w:val="false"/>
                <w:sz w:val="20"/>
                <w:szCs w:val="20"/>
              </w:rPr>
              <w:t xml:space="preserve">Distributed array (2-channel)</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0.010</w:t>
            </w:r>
          </w:p>
        </w:tc>
        <w:tc>
          <w:tcPr>
            <w:tcW w:type="dxa" w:w="900"/>
          </w:tcPr>
          <w:p>
            <w:pPr>
              <w:jc w:val="left"/>
            </w:pPr>
            <w:r>
              <w:rPr>
                <w:rFonts w:ascii="Times New Roman" w:cs="Times New Roman" w:eastAsia="Times New Roman" w:hAnsi="Times New Roman"/>
                <w:b w:val="false"/>
                <w:bCs w:val="false"/>
                <w:sz w:val="20"/>
                <w:szCs w:val="20"/>
              </w:rPr>
              <w:t xml:space="preserve">0.006</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0.066</w:t>
            </w:r>
          </w:p>
        </w:tc>
        <w:tc>
          <w:tcPr>
            <w:tcW w:type="dxa" w:w="900"/>
          </w:tcPr>
          <w:p>
            <w:pPr>
              <w:jc w:val="left"/>
            </w:pPr>
            <w:r>
              <w:rPr>
                <w:rFonts w:ascii="Times New Roman" w:cs="Times New Roman" w:eastAsia="Times New Roman" w:hAnsi="Times New Roman"/>
                <w:b w:val="false"/>
                <w:bCs w:val="false"/>
                <w:sz w:val="20"/>
                <w:szCs w:val="20"/>
              </w:rPr>
              <w:t xml:space="preserve">0.290</w:t>
            </w:r>
          </w:p>
        </w:tc>
        <w:tc>
          <w:tcPr>
            <w:tcW w:type="dxa" w:w="1200"/>
          </w:tcPr>
          <w:p>
            <w:pPr>
              <w:jc w:val="left"/>
            </w:pPr>
            <w:r>
              <w:rPr>
                <w:rFonts w:ascii="Times New Roman" w:cs="Times New Roman" w:eastAsia="Times New Roman" w:hAnsi="Times New Roman"/>
                <w:b w:val="false"/>
                <w:bCs w:val="false"/>
                <w:sz w:val="20"/>
                <w:szCs w:val="20"/>
              </w:rPr>
              <w:t xml:space="preserve">0.646</w:t>
            </w:r>
          </w:p>
        </w:tc>
      </w:tr>
    </w:tbl>
    <w:p>
      <w:pPr>
        <w:spacing w:after="240" w:before="60"/>
      </w:pPr>
      <w:r>
        <w:t>Table 2. Transmission to the protected zone vs. proton kinetic energy (N = 500 per point; 95% CI ≤ ±0.045).</w:t>
      </w:r>
    </w:p>
    <w:p>
      <w:pPr>
        <w:spacing w:after="160" w:line="276"/>
        <w:jc w:val="both"/>
      </w:pPr>
      <w:r>
        <w:rPr>
          <w:rFonts w:ascii="Times New Roman" w:cs="Times New Roman" w:eastAsia="Times New Roman" w:hAnsi="Times New Roman"/>
          <w:b w:val="false"/>
          <w:bCs w:val="false"/>
          <w:i w:val="false"/>
          <w:iCs w:val="false"/>
          <w:sz w:val="22"/>
          <w:szCs w:val="22"/>
        </w:rPr>
        <w:t xml:space="preserve">The array shows a small (≤1.2%) low-energy leakage absent in the monolith, arising from flux threading the geometric gaps between individual fence sites rather than from any weakness of the scattering mechanism itself; this leakage is the physical basis of the site-spacing design rule discussed in Section 6.2. The operational differences between the two architectures favor the array regardless of the near-parity in raw transmission: the protected volume is entirely field-free rather than immersed in the strong field a monolithic dipole would require at the habitat, no single component failure collapses the shield's function because the moment budget is spread across 22 independent sources, and each individual coil is an order of magnitude weaker in field and stored energy than the monolith would require, and correspondingly safer and simpler to fabricate, transport, and service on the lunar surface. Folded through a representative soft SEP spectrum, J(E) ∝ exp(−E/30 MeV)/E, chosen to be broadly representative of a moderately hard SEP event's energy distribution, the distributed array removes 94.9% of proton number fluence and 75.4% of energy fluence reaching the protected zone, while the monolith removes 95.1% and 72.2% respectively; the two architectures are equivalent to within the interpolation uncertainty of the underlying transmission curve.</w:t>
      </w:r>
    </w:p>
    <w:p>
      <w:pPr>
        <w:pStyle w:val="Heading2"/>
        <w:spacing w:after="120" w:before="240"/>
      </w:pPr>
      <w:r>
        <w:rPr>
          <w:rFonts w:ascii="Times New Roman" w:cs="Times New Roman" w:eastAsia="Times New Roman" w:hAnsi="Times New Roman"/>
          <w:b/>
          <w:bCs/>
          <w:color w:val="1F4E79"/>
          <w:sz w:val="24"/>
          <w:szCs w:val="24"/>
        </w:rPr>
        <w:t xml:space="preserve">6.2 Parameter sweeps and scaling laws</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array's total moment over 0.25×, 1×, and 4× M0 moves the half-transmission (knee) energy from 3.2 MeV to 52 MeV, consistent with a measured scaling exponent of 2.0: E50 ∝ M². This is precisely the scaling predicted by the non-relativistic gyroradius relation, since the knee occurs where the gyroradius grows to match the array's structural length scale; because momentum at the knee scales linearly with moment (p50 ∝ M) and kinetic energy scales as momentum squared in the non-relativistic regime relevant here, E50 ∝ M² follows directly. This scaling law gives a direct, physically transparent sizing rule for mission designers: to double the knee energy above which the shield becomes transparent, the total amp-turns of the array must be doubled, which in turn drives conductor mass roughly linearly given a fixed critical-current density.</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fence's site spacing at fixed total moment reveals strongly non-monotonic behavior that is important for design robustness. Fine spacing underperforms because each individual site's field, now diluted across more sources at fixed total moment, is too weak to fully turn a 10 MeV proton within its assigned cell, so flux leaks through many weak apertures. Conversely, a spacing large enough that no coil sits directly on the beam axis opens a genuinely low-field aperture through which transmission jumps sharply, because a particle traveling exactly between two widely separated sites experiences almost no deflecting field at all. The design rule that follows is that of a filter, not a wall: overall shield performance is set by the single weakest gap in the array, not by the average field strength, and site placement during any real deployment must guarantee that every line of sight from outside the fence to the protected zone passes within a gyroradius-turning distance of at least one source at the design energy.</w:t>
      </w:r>
    </w:p>
    <w:p>
      <w:pPr>
        <w:pStyle w:val="Heading2"/>
        <w:spacing w:after="120" w:before="240"/>
      </w:pPr>
      <w:r>
        <w:rPr>
          <w:rFonts w:ascii="Times New Roman" w:cs="Times New Roman" w:eastAsia="Times New Roman" w:hAnsi="Times New Roman"/>
          <w:b/>
          <w:bCs/>
          <w:color w:val="1F4E79"/>
          <w:sz w:val="24"/>
          <w:szCs w:val="24"/>
        </w:rPr>
        <w:t xml:space="preserve">6.3 Helical winding: a secondary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Rotating the array's dipole moments helically along the fence, rather than alternating between two fixed orientations, introduces a measurable handedness-selective transport property. Above a sampling threshold — winding pitch Λ greater than twice the site spacing, an exact geometric analog of the Nyquist sampling criterion familiar from signal processing — right- and left-handed windings transmit measurably different fractions of incident flux; at Λ = 400 m the discrimination reaches a factor of ten at 3 MeV. We report this chiral-transport effect as a reproducible secondary physical finding of the underlying simulation rather than as a headline contribution of the present paper, since the primary focus of this work is the engineering and mass-architecture questions of Sections 7–9. The effect is nonetheless of independent physical interest, since a handedness-selective magnetic filter has no direct analog in the standoff mini-magnetosphere literature, and a reduced-scale laboratory test of chiral winding transport is a natural next step for this finding specifically, separate from the engineering feasibility work that is this paper's main subject.</w:t>
      </w:r>
    </w:p>
    <w:p>
      <w:pPr>
        <w:pStyle w:val="Heading1"/>
        <w:spacing w:after="160" w:before="320"/>
      </w:pPr>
      <w:r>
        <w:rPr>
          <w:rFonts w:ascii="Times New Roman" w:cs="Times New Roman" w:eastAsia="Times New Roman" w:hAnsi="Times New Roman"/>
          <w:b/>
          <w:bCs/>
          <w:color w:val="1F4E79"/>
          <w:sz w:val="28"/>
          <w:szCs w:val="28"/>
        </w:rPr>
        <w:t xml:space="preserve">7. Permanent-Magnet Feasibility Assessment</w:t>
      </w:r>
    </w:p>
    <w:p>
      <w:pPr>
        <w:pStyle w:val="Heading2"/>
        <w:spacing w:after="120" w:before="240"/>
      </w:pPr>
      <w:r>
        <w:rPr>
          <w:rFonts w:ascii="Times New Roman" w:cs="Times New Roman" w:eastAsia="Times New Roman" w:hAnsi="Times New Roman"/>
          <w:b/>
          <w:bCs/>
          <w:color w:val="1F4E79"/>
          <w:sz w:val="24"/>
          <w:szCs w:val="24"/>
        </w:rPr>
        <w:t xml:space="preserve">7.1 Moment-per-mass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the shielding physics established in Sections 3–6 depends on distributed spatial magnetic structure rather than on superconductivity per se, it is natural to ask whether permanent magnets could replace the superconducting coils and eliminate the cryogenic subsystem entirely, which would remove one of the two dominant sources of engineering complexity in the design. We test this quantitatively rather than assuming an answer. A permanent magnet's dipole moment is bounded by its remanent magnetization, m = (Br/μ0)·V, so that achievable moment scales linearly with magnet volume (and hence mass) at a rate fixed entirely by the material's remanence — a hard physical ceiling that cannot be engineered around by improved magnet design, only by changing material. NdFeB grade N52, the strongest widely available commercial grade (remanence Br ≈ 1.42 T, density ρ ≈ 7500 kg/m³), gives a moment-per-mass of 1.51×10² A·m²/kg. By contrast, the superconducting design achieves 4×10¹⁰ A·m² of total moment from 12 t of REBCO conductor, a moment-per-mass of 3.33×10⁶ A·m²/kg — roughly 2.2×10⁴ times higher than NdFeB. The physical reason for this enormous gap is that superconducting moment is set by amp-turns, which are bounded only by the conductor's critical current density and can in principle be increased without bound by adding more turns of wire, whereas permanent-magnet moment is bounded by material volume against a fixed remanence ceiling that no amount of additional engineering effort can raise.</w:t>
      </w:r>
    </w:p>
    <w:p>
      <w:pPr>
        <w:pStyle w:val="Heading2"/>
        <w:spacing w:after="120" w:before="240"/>
      </w:pPr>
      <w:r>
        <w:rPr>
          <w:rFonts w:ascii="Times New Roman" w:cs="Times New Roman" w:eastAsia="Times New Roman" w:hAnsi="Times New Roman"/>
          <w:b/>
          <w:bCs/>
          <w:color w:val="1F4E79"/>
          <w:sz w:val="24"/>
          <w:szCs w:val="24"/>
        </w:rPr>
        <w:t xml:space="preserve">7.2 Consequence for shielding performance</w:t>
      </w:r>
    </w:p>
    <w:p>
      <w:pPr>
        <w:spacing w:after="160" w:line="276"/>
        <w:jc w:val="both"/>
      </w:pPr>
      <w:r>
        <w:rPr>
          <w:rFonts w:ascii="Times New Roman" w:cs="Times New Roman" w:eastAsia="Times New Roman" w:hAnsi="Times New Roman"/>
          <w:b w:val="false"/>
          <w:bCs w:val="false"/>
          <w:i w:val="false"/>
          <w:iCs w:val="false"/>
          <w:sz w:val="22"/>
          <w:szCs w:val="22"/>
        </w:rPr>
        <w:t xml:space="preserve">Substituting NdFeB for the superconducting design's conductor mass gives an achievable moment of 1.8×10⁶ A·m², only 4.5×10⁻⁵ of the baseline moment budget M0. Applying the verified E50 ∝ M² scaling law from Section 6.2 to this reduced moment gives a knee energy of order 10⁻⁷ MeV — many orders of magnitude below, and hence fully transparent to, the entire SEP energy band of interest (0.1–100 MeV). An independent Boris-pusher re-run at this reduced moment confirms flat, energy-independent transmission across 0.3–10 MeV, consistent with the mechanism shifting from distributed rigidity filtering to weak near-field deflection of only those protons that happen to pass within a few coil radii of a magnet, which is not the intended distributed-scattering mechanism at all. Matching the full moment budget M0 with permanent magnets, rather than accepting this degraded performance, would require approximately 2.65×10⁵ t of NdFeB — several thousand times the entire propagated system mass of the superconducting design (Section 9). We therefore rule out permanent magnets as a primary moment source for this architecture on purely physical grounds, independent of any cost or manufacturing consideration. A possible secondary role for permanent magnets as local aperture-trim elements, closing the specific low-energy leakage paths at fence gaps identified in Section 6.2, has not been simulated in this work and is noted as a candidate for future study in Section 14.</w:t>
      </w:r>
    </w:p>
    <w:p>
      <w:pPr>
        <w:pStyle w:val="Heading1"/>
        <w:spacing w:after="160" w:before="320"/>
      </w:pPr>
      <w:r>
        <w:rPr>
          <w:rFonts w:ascii="Times New Roman" w:cs="Times New Roman" w:eastAsia="Times New Roman" w:hAnsi="Times New Roman"/>
          <w:b/>
          <w:bCs/>
          <w:color w:val="1F4E79"/>
          <w:sz w:val="28"/>
          <w:szCs w:val="28"/>
        </w:rPr>
        <w:t xml:space="preserve">8. In-Situ Resource Utilization: Structural Mass Substitution</w:t>
      </w:r>
    </w:p>
    <w:p>
      <w:pPr>
        <w:pStyle w:val="Heading2"/>
        <w:spacing w:after="120" w:before="240"/>
      </w:pPr>
      <w:r>
        <w:rPr>
          <w:rFonts w:ascii="Times New Roman" w:cs="Times New Roman" w:eastAsia="Times New Roman" w:hAnsi="Times New Roman"/>
          <w:b/>
          <w:bCs/>
          <w:color w:val="1F4E79"/>
          <w:sz w:val="24"/>
          <w:szCs w:val="24"/>
        </w:rPr>
        <w:t xml:space="preserve">8.1 Component allocation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Section 7 rules out substituting the superconducting moment source itself, the only remaining path to reducing Earth-launched mass runs through the structure and infrastructure surrounding the conductor, not through the conductor. We therefore separate the engineering point design developed in Section 9 into two categories: an Earth-supplied functional core, comprising REBCO conductor, cryostat vessel, current leads, power electronics, cryocooler hardware, and sensors/control, none of which can plausibly be fabricated from lunar regolith with near-term technology; and a structural shell, comprising mechanical support, coil housings and foundations, anchor mass, and cabling supports, which is a physically reasonable candidate for regolith-derived construction using sintered, cast, or 3D-printed regolith composite techniques currently under development for lunar construction more broadly. From the propagated mass budget of Section 9 (median 81 t, comprising 15 t conductor and 66 t overhead), we allocate the overhead 40%/60% between core hardware (26.4 t) and structural mass (39.6 t) as a first-order split pending detailed subsystem-level design, giving an Earth-launched mass M_E = 15 + 26.4 + 5 (one-time ISRU excavation/processing capital equipment) = 46.4 t for the ISRU-structural architecture. This figure is independent of how much regolith mass is ultimately required to build the structure, since that mass is sourced locally regardless of quantity, a robustness property quantified next.</w:t>
      </w:r>
    </w:p>
    <w:p>
      <w:pPr>
        <w:pStyle w:val="Heading2"/>
        <w:spacing w:after="120" w:before="240"/>
      </w:pPr>
      <w:r>
        <w:rPr>
          <w:rFonts w:ascii="Times New Roman" w:cs="Times New Roman" w:eastAsia="Times New Roman" w:hAnsi="Times New Roman"/>
          <w:b/>
          <w:bCs/>
          <w:color w:val="1F4E79"/>
          <w:sz w:val="24"/>
          <w:szCs w:val="24"/>
        </w:rPr>
        <w:t xml:space="preserve">8.2 Sensitivity to the regolith-construction mass multiplier</w:t>
      </w:r>
    </w:p>
    <w:p>
      <w:pPr>
        <w:spacing w:after="160" w:line="276"/>
        <w:jc w:val="both"/>
      </w:pPr>
      <w:r>
        <w:rPr>
          <w:rFonts w:ascii="Times New Roman" w:cs="Times New Roman" w:eastAsia="Times New Roman" w:hAnsi="Times New Roman"/>
          <w:b w:val="false"/>
          <w:bCs w:val="false"/>
          <w:i w:val="false"/>
          <w:iCs w:val="false"/>
          <w:sz w:val="22"/>
          <w:szCs w:val="22"/>
        </w:rPr>
        <w:t xml:space="preserve">Regolith-built structures are generally expected to require more mass than an equivalent Earth-engineered structure delivering the same structural function, owing to lower achievable strength-to-weight ratios in sintered or cast regolith composites relative to purpose-engineered aerospace materials. We treat this ratio as an uncertain multiplier and sweep it from 1× (optimistic, regolith structure performs as well per unit mass as an equivalent Earth-engineered structure) through 3× (baseline) to 5× (conservative).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1700"/>
        <w:gridCol w:w="1600"/>
      </w:tblGrid>
      <w:tr>
        <w:tc>
          <w:tcPr>
            <w:tcW w:type="dxa" w:w="2400"/>
            <w:shd w:fill="DCE6F1" w:val="clear"/>
          </w:tcPr>
          <w:p>
            <w:pPr>
              <w:jc w:val="left"/>
            </w:pPr>
            <w:r>
              <w:rPr>
                <w:rFonts w:ascii="Times New Roman" w:cs="Times New Roman" w:eastAsia="Times New Roman" w:hAnsi="Times New Roman"/>
                <w:b/>
                <w:bCs/>
                <w:sz w:val="20"/>
                <w:szCs w:val="20"/>
              </w:rPr>
              <w:t xml:space="preserve">Multiplier</w:t>
            </w:r>
          </w:p>
        </w:tc>
        <w:tc>
          <w:tcPr>
            <w:tcW w:type="dxa" w:w="1600"/>
            <w:shd w:fill="DCE6F1" w:val="clear"/>
          </w:tcPr>
          <w:p>
            <w:pPr>
              <w:jc w:val="left"/>
            </w:pPr>
            <w:r>
              <w:rPr>
                <w:rFonts w:ascii="Times New Roman" w:cs="Times New Roman" w:eastAsia="Times New Roman" w:hAnsi="Times New Roman"/>
                <w:b/>
                <w:bCs/>
                <w:sz w:val="20"/>
                <w:szCs w:val="20"/>
              </w:rPr>
              <w:t xml:space="preserve">M_E (t)</w:t>
            </w:r>
          </w:p>
        </w:tc>
        <w:tc>
          <w:tcPr>
            <w:tcW w:type="dxa" w:w="1700"/>
            <w:shd w:fill="DCE6F1" w:val="clear"/>
          </w:tcPr>
          <w:p>
            <w:pPr>
              <w:jc w:val="left"/>
            </w:pPr>
            <w:r>
              <w:rPr>
                <w:rFonts w:ascii="Times New Roman" w:cs="Times New Roman" w:eastAsia="Times New Roman" w:hAnsi="Times New Roman"/>
                <w:b/>
                <w:bCs/>
                <w:sz w:val="20"/>
                <w:szCs w:val="20"/>
              </w:rPr>
              <w:t xml:space="preserve">M_local (t)</w:t>
            </w:r>
          </w:p>
        </w:tc>
        <w:tc>
          <w:tcPr>
            <w:tcW w:type="dxa" w:w="1700"/>
            <w:shd w:fill="DCE6F1" w:val="clear"/>
          </w:tcPr>
          <w:p>
            <w:pPr>
              <w:jc w:val="left"/>
            </w:pPr>
            <w:r>
              <w:rPr>
                <w:rFonts w:ascii="Times New Roman" w:cs="Times New Roman" w:eastAsia="Times New Roman" w:hAnsi="Times New Roman"/>
                <w:b/>
                <w:bCs/>
                <w:sz w:val="20"/>
                <w:szCs w:val="20"/>
              </w:rPr>
              <w:t xml:space="preserve">M_total (t)</w:t>
            </w:r>
          </w:p>
        </w:tc>
        <w:tc>
          <w:tcPr>
            <w:tcW w:type="dxa" w:w="1600"/>
            <w:shd w:fill="DCE6F1" w:val="clear"/>
          </w:tcPr>
          <w:p>
            <w:pPr>
              <w:jc w:val="left"/>
            </w:pPr>
            <w:r>
              <w:rPr>
                <w:rFonts w:ascii="Times New Roman" w:cs="Times New Roman" w:eastAsia="Times New Roman" w:hAnsi="Times New Roman"/>
                <w:b/>
                <w:bCs/>
                <w:sz w:val="20"/>
                <w:szCs w:val="20"/>
              </w:rPr>
              <w:t xml:space="preserve">f_ISRU</w:t>
            </w:r>
          </w:p>
        </w:tc>
      </w:tr>
      <w:tr>
        <w:tc>
          <w:tcPr>
            <w:tcW w:type="dxa" w:w="2400"/>
          </w:tcPr>
          <w:p>
            <w:pPr>
              <w:jc w:val="left"/>
            </w:pPr>
            <w:r>
              <w:rPr>
                <w:rFonts w:ascii="Times New Roman" w:cs="Times New Roman" w:eastAsia="Times New Roman" w:hAnsi="Times New Roman"/>
                <w:b w:val="false"/>
                <w:bCs w:val="false"/>
                <w:sz w:val="20"/>
                <w:szCs w:val="20"/>
              </w:rPr>
              <w:t xml:space="preserve">1× (optimistic)</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39.6</w:t>
            </w:r>
          </w:p>
        </w:tc>
        <w:tc>
          <w:tcPr>
            <w:tcW w:type="dxa" w:w="1700"/>
          </w:tcPr>
          <w:p>
            <w:pPr>
              <w:jc w:val="left"/>
            </w:pPr>
            <w:r>
              <w:rPr>
                <w:rFonts w:ascii="Times New Roman" w:cs="Times New Roman" w:eastAsia="Times New Roman" w:hAnsi="Times New Roman"/>
                <w:b w:val="false"/>
                <w:bCs w:val="false"/>
                <w:sz w:val="20"/>
                <w:szCs w:val="20"/>
              </w:rPr>
              <w:t xml:space="preserve">86.0</w:t>
            </w:r>
          </w:p>
        </w:tc>
        <w:tc>
          <w:tcPr>
            <w:tcW w:type="dxa" w:w="1600"/>
          </w:tcPr>
          <w:p>
            <w:pPr>
              <w:jc w:val="left"/>
            </w:pPr>
            <w:r>
              <w:rPr>
                <w:rFonts w:ascii="Times New Roman" w:cs="Times New Roman" w:eastAsia="Times New Roman" w:hAnsi="Times New Roman"/>
                <w:b w:val="false"/>
                <w:bCs w:val="false"/>
                <w:sz w:val="20"/>
                <w:szCs w:val="20"/>
              </w:rPr>
              <w:t xml:space="preserve">0.46</w:t>
            </w:r>
          </w:p>
        </w:tc>
      </w:tr>
      <w:tr>
        <w:tc>
          <w:tcPr>
            <w:tcW w:type="dxa" w:w="2400"/>
          </w:tcPr>
          <w:p>
            <w:pPr>
              <w:jc w:val="left"/>
            </w:pPr>
            <w:r>
              <w:rPr>
                <w:rFonts w:ascii="Times New Roman" w:cs="Times New Roman" w:eastAsia="Times New Roman" w:hAnsi="Times New Roman"/>
                <w:b w:val="false"/>
                <w:bCs w:val="false"/>
                <w:sz w:val="20"/>
                <w:szCs w:val="20"/>
              </w:rPr>
              <w:t xml:space="preserve">3× (baseline)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118.8</w:t>
            </w:r>
          </w:p>
        </w:tc>
        <w:tc>
          <w:tcPr>
            <w:tcW w:type="dxa" w:w="1700"/>
          </w:tcPr>
          <w:p>
            <w:pPr>
              <w:jc w:val="left"/>
            </w:pPr>
            <w:r>
              <w:rPr>
                <w:rFonts w:ascii="Times New Roman" w:cs="Times New Roman" w:eastAsia="Times New Roman" w:hAnsi="Times New Roman"/>
                <w:b w:val="false"/>
                <w:bCs w:val="false"/>
                <w:sz w:val="20"/>
                <w:szCs w:val="20"/>
              </w:rPr>
              <w:t xml:space="preserve">165.2</w:t>
            </w:r>
          </w:p>
        </w:tc>
        <w:tc>
          <w:tcPr>
            <w:tcW w:type="dxa" w:w="1600"/>
          </w:tcPr>
          <w:p>
            <w:pPr>
              <w:jc w:val="left"/>
            </w:pPr>
            <w:r>
              <w:rPr>
                <w:rFonts w:ascii="Times New Roman" w:cs="Times New Roman" w:eastAsia="Times New Roman" w:hAnsi="Times New Roman"/>
                <w:b w:val="false"/>
                <w:bCs w:val="false"/>
                <w:sz w:val="20"/>
                <w:szCs w:val="20"/>
              </w:rPr>
              <w:t xml:space="preserve">0.72</w:t>
            </w:r>
          </w:p>
        </w:tc>
      </w:tr>
      <w:tr>
        <w:tc>
          <w:tcPr>
            <w:tcW w:type="dxa" w:w="2400"/>
          </w:tcPr>
          <w:p>
            <w:pPr>
              <w:jc w:val="left"/>
            </w:pPr>
            <w:r>
              <w:rPr>
                <w:rFonts w:ascii="Times New Roman" w:cs="Times New Roman" w:eastAsia="Times New Roman" w:hAnsi="Times New Roman"/>
                <w:b w:val="false"/>
                <w:bCs w:val="false"/>
                <w:sz w:val="20"/>
                <w:szCs w:val="20"/>
              </w:rPr>
              <w:t xml:space="preserve">5× (conservative)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198.0</w:t>
            </w:r>
          </w:p>
        </w:tc>
        <w:tc>
          <w:tcPr>
            <w:tcW w:type="dxa" w:w="1700"/>
          </w:tcPr>
          <w:p>
            <w:pPr>
              <w:jc w:val="left"/>
            </w:pPr>
            <w:r>
              <w:rPr>
                <w:rFonts w:ascii="Times New Roman" w:cs="Times New Roman" w:eastAsia="Times New Roman" w:hAnsi="Times New Roman"/>
                <w:b w:val="false"/>
                <w:bCs w:val="false"/>
                <w:sz w:val="20"/>
                <w:szCs w:val="20"/>
              </w:rPr>
              <w:t xml:space="preserve">244.4</w:t>
            </w:r>
          </w:p>
        </w:tc>
        <w:tc>
          <w:tcPr>
            <w:tcW w:type="dxa" w:w="1600"/>
          </w:tcPr>
          <w:p>
            <w:pPr>
              <w:jc w:val="left"/>
            </w:pPr>
            <w:r>
              <w:rPr>
                <w:rFonts w:ascii="Times New Roman" w:cs="Times New Roman" w:eastAsia="Times New Roman" w:hAnsi="Times New Roman"/>
                <w:b w:val="false"/>
                <w:bCs w:val="false"/>
                <w:sz w:val="20"/>
                <w:szCs w:val="20"/>
              </w:rPr>
              <w:t xml:space="preserve">0.81</w:t>
            </w:r>
          </w:p>
        </w:tc>
      </w:tr>
    </w:tbl>
    <w:p>
      <w:pPr>
        <w:spacing w:after="240" w:before="60"/>
      </w:pPr>
      <w:r>
        <w:t>Table 3. ISRU sensitivity sweep. Earth-launched mass M_E is invariant across the tested range; the multiplier instead determines the in-situ mass fraction and, separately, excavation/construction time and energy (Section 12).</w:t>
      </w:r>
    </w:p>
    <w:p>
      <w:pPr>
        <w:spacing w:after="160" w:line="276"/>
        <w:jc w:val="both"/>
      </w:pPr>
      <w:r>
        <w:t>This invariance is a useful robustness result in its own right: because M_E = 46.4 t at every tested multiplier (Figure 1), the ≈1.7× improvement in Earth-mass efficiency η_F over the fully imported architecture does not depend on resolving the regolith-construction mass-efficiency question, which remains genuinely uncertain given the immature state of lunar in-situ construction technology (Section 12). What does depend on the multiplier is excavation and construction time and energy, which we treat as a separate, technology-readiness-dependent constraint in Section 12 rather than folding it into the mass budget, since construction throughput and mass efficiency are governed by different subsystems and different uncertainties.</w:t>
      </w:r>
    </w:p>
    <w:p>
      <w:r>
        <w:drawing>
          <wp:inline xmlns:a="http://schemas.openxmlformats.org/drawingml/2006/main" xmlns:pic="http://schemas.openxmlformats.org/drawingml/2006/picture">
            <wp:extent cx="5852160" cy="2438400"/>
            <wp:docPr id="1" name="Picture 1"/>
            <wp:cNvGraphicFramePr>
              <a:graphicFrameLocks noChangeAspect="1"/>
            </wp:cNvGraphicFramePr>
            <a:graphic>
              <a:graphicData uri="http://schemas.openxmlformats.org/drawingml/2006/picture">
                <pic:pic>
                  <pic:nvPicPr>
                    <pic:cNvPr id="0" name="fig1_isru_sweep.png"/>
                    <pic:cNvPicPr/>
                  </pic:nvPicPr>
                  <pic:blipFill>
                    <a:blip r:embed="rId8"/>
                    <a:stretch>
                      <a:fillRect/>
                    </a:stretch>
                  </pic:blipFill>
                  <pic:spPr>
                    <a:xfrm>
                      <a:off x="0" y="0"/>
                      <a:ext cx="5852160" cy="2438400"/>
                    </a:xfrm>
                    <a:prstGeom prst="rect"/>
                  </pic:spPr>
                </pic:pic>
              </a:graphicData>
            </a:graphic>
          </wp:inline>
        </w:drawing>
      </w:r>
    </w:p>
    <w:p>
      <w:r>
        <w:t>Figure 1. Left: Earth-launched mass (M_E, blue) is invariant to the regolith-construction multiplier because regolith mass is sourced locally regardless of the quantity required; only local mass (green) and total system mass (purple) scale with it. Right: the resulting in-situ mass fraction ranges from 46% (1×) to 81% (5×).</w:t>
      </w:r>
    </w:p>
    <w:p>
      <w:pPr>
        <w:pStyle w:val="Heading2"/>
        <w:spacing w:after="120" w:before="240"/>
      </w:pPr>
      <w:r>
        <w:rPr>
          <w:rFonts w:ascii="Times New Roman" w:cs="Times New Roman" w:eastAsia="Times New Roman" w:hAnsi="Times New Roman"/>
          <w:b/>
          <w:bCs/>
          <w:color w:val="1F4E79"/>
          <w:sz w:val="24"/>
          <w:szCs w:val="24"/>
        </w:rPr>
        <w:t xml:space="preserve">8.3 Four-architecture comparison</w:t>
      </w:r>
    </w:p>
    <w:p>
      <w:pPr>
        <w:spacing w:after="160" w:line="276"/>
        <w:jc w:val="both"/>
      </w:pPr>
      <w:r>
        <w:t>Table 4 consolidates four architectures on a common basis: Earth-launched mass, local in-situ mass, SEP energy-fluence reduction, Earth-mass efficiency (η_F, energy-fluence reduction per tonne of Earth-launched mass), and the asset class each is best suited to protect, given the taxonomy of Section 2. Values for the regolith-involving architectures (B, C) are given at 2 cm thickness as a representative operating point; the full thickness sweep is given in Section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1000"/>
        <w:gridCol w:w="1000"/>
        <w:gridCol w:w="2300"/>
      </w:tblGrid>
      <w:tr>
        <w:tc>
          <w:tcPr>
            <w:tcW w:type="dxa" w:w="2600"/>
            <w:shd w:fill="DCE6F1" w:val="clear"/>
          </w:tcPr>
          <w:p>
            <w:pPr>
              <w:jc w:val="left"/>
            </w:pPr>
            <w:r>
              <w:rPr>
                <w:rFonts w:ascii="Times New Roman" w:cs="Times New Roman" w:eastAsia="Times New Roman" w:hAnsi="Times New Roman"/>
                <w:b/>
                <w:bCs/>
                <w:sz w:val="20"/>
                <w:szCs w:val="20"/>
              </w:rPr>
              <w:t xml:space="preserve">Architecture</w:t>
            </w:r>
          </w:p>
        </w:tc>
        <w:tc>
          <w:tcPr>
            <w:tcW w:type="dxa" w:w="1000"/>
            <w:shd w:fill="DCE6F1" w:val="clear"/>
          </w:tcPr>
          <w:p>
            <w:pPr>
              <w:jc w:val="left"/>
            </w:pPr>
            <w:r>
              <w:rPr>
                <w:rFonts w:ascii="Times New Roman" w:cs="Times New Roman" w:eastAsia="Times New Roman" w:hAnsi="Times New Roman"/>
                <w:b/>
                <w:bCs/>
                <w:sz w:val="20"/>
                <w:szCs w:val="20"/>
              </w:rPr>
              <w:t xml:space="preserve">M_E (t)</w:t>
            </w:r>
          </w:p>
        </w:tc>
        <w:tc>
          <w:tcPr>
            <w:tcW w:type="dxa" w:w="1100"/>
            <w:shd w:fill="DCE6F1" w:val="clear"/>
          </w:tcPr>
          <w:p>
            <w:pPr>
              <w:jc w:val="left"/>
            </w:pPr>
            <w:r>
              <w:rPr>
                <w:rFonts w:ascii="Times New Roman" w:cs="Times New Roman" w:eastAsia="Times New Roman" w:hAnsi="Times New Roman"/>
                <w:b/>
                <w:bCs/>
                <w:sz w:val="20"/>
                <w:szCs w:val="20"/>
              </w:rPr>
              <w:t xml:space="preserve">M_local (t)</w:t>
            </w:r>
          </w:p>
        </w:tc>
        <w:tc>
          <w:tcPr>
            <w:tcW w:type="dxa" w:w="1000"/>
            <w:shd w:fill="DCE6F1" w:val="clear"/>
          </w:tcPr>
          <w:p>
            <w:pPr>
              <w:jc w:val="left"/>
            </w:pPr>
            <w:r>
              <w:rPr>
                <w:rFonts w:ascii="Times New Roman" w:cs="Times New Roman" w:eastAsia="Times New Roman" w:hAnsi="Times New Roman"/>
                <w:b/>
                <w:bCs/>
                <w:sz w:val="20"/>
                <w:szCs w:val="20"/>
              </w:rPr>
              <w:t xml:space="preserve">ΔF_E</w:t>
            </w:r>
          </w:p>
        </w:tc>
        <w:tc>
          <w:tcPr>
            <w:tcW w:type="dxa" w:w="1000"/>
            <w:shd w:fill="DCE6F1" w:val="clear"/>
          </w:tcPr>
          <w:p>
            <w:pPr>
              <w:jc w:val="left"/>
            </w:pPr>
            <w:r>
              <w:rPr>
                <w:rFonts w:ascii="Times New Roman" w:cs="Times New Roman" w:eastAsia="Times New Roman" w:hAnsi="Times New Roman"/>
                <w:b/>
                <w:bCs/>
                <w:sz w:val="20"/>
                <w:szCs w:val="20"/>
              </w:rPr>
              <w:t xml:space="preserve">η_F (%/t)</w:t>
            </w:r>
          </w:p>
        </w:tc>
        <w:tc>
          <w:tcPr>
            <w:tcW w:type="dxa" w:w="2300"/>
            <w:shd w:fill="DCE6F1" w:val="clear"/>
          </w:tcPr>
          <w:p>
            <w:pPr>
              <w:jc w:val="left"/>
            </w:pPr>
            <w:r>
              <w:rPr>
                <w:rFonts w:ascii="Times New Roman" w:cs="Times New Roman" w:eastAsia="Times New Roman" w:hAnsi="Times New Roman"/>
                <w:b/>
                <w:bCs/>
                <w:sz w:val="20"/>
                <w:szCs w:val="20"/>
              </w:rPr>
              <w:t xml:space="preserve">Best-suited application</w:t>
            </w:r>
          </w:p>
        </w:tc>
      </w:tr>
      <w:tr>
        <w:tc>
          <w:tcPr>
            <w:tcW w:type="dxa" w:w="2600"/>
          </w:tcPr>
          <w:p>
            <w:pPr>
              <w:jc w:val="left"/>
            </w:pPr>
            <w:r>
              <w:rPr>
                <w:rFonts w:ascii="Times New Roman" w:cs="Times New Roman" w:eastAsia="Times New Roman" w:hAnsi="Times New Roman"/>
                <w:b w:val="false"/>
                <w:bCs w:val="false"/>
                <w:sz w:val="20"/>
                <w:szCs w:val="20"/>
              </w:rPr>
              <w:t xml:space="preserve">A — Imported magnetic fence</w:t>
            </w:r>
          </w:p>
        </w:tc>
        <w:tc>
          <w:tcPr>
            <w:tcW w:type="dxa" w:w="1000"/>
          </w:tcPr>
          <w:p>
            <w:pPr>
              <w:jc w:val="left"/>
            </w:pPr>
            <w:r>
              <w:rPr>
                <w:rFonts w:ascii="Times New Roman" w:cs="Times New Roman" w:eastAsia="Times New Roman" w:hAnsi="Times New Roman"/>
                <w:b w:val="false"/>
                <w:bCs w:val="false"/>
                <w:sz w:val="20"/>
                <w:szCs w:val="20"/>
              </w:rPr>
              <w:t xml:space="preserve">81.0</w:t>
            </w:r>
          </w:p>
        </w:tc>
        <w:tc>
          <w:tcPr>
            <w:tcW w:type="dxa" w:w="1100"/>
          </w:tcPr>
          <w:p>
            <w:pPr>
              <w:jc w:val="left"/>
            </w:pPr>
            <w:r>
              <w:rPr>
                <w:rFonts w:ascii="Times New Roman" w:cs="Times New Roman" w:eastAsia="Times New Roman" w:hAnsi="Times New Roman"/>
                <w:b w:val="false"/>
                <w:bCs w:val="false"/>
                <w:sz w:val="20"/>
                <w:szCs w:val="20"/>
              </w:rPr>
              <w:t xml:space="preserve">0</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0.93</w:t>
            </w:r>
          </w:p>
        </w:tc>
        <w:tc>
          <w:tcPr>
            <w:tcW w:type="dxa" w:w="2300"/>
          </w:tcPr>
          <w:p>
            <w:pPr>
              <w:jc w:val="left"/>
            </w:pPr>
            <w:r>
              <w:rPr>
                <w:rFonts w:ascii="Times New Roman" w:cs="Times New Roman" w:eastAsia="Times New Roman" w:hAnsi="Times New Roman"/>
                <w:b w:val="false"/>
                <w:bCs w:val="false"/>
                <w:sz w:val="20"/>
                <w:szCs w:val="20"/>
              </w:rPr>
              <w:t xml:space="preserve">Mobile/EVA (baseline)</w:t>
            </w:r>
          </w:p>
        </w:tc>
      </w:tr>
      <w:tr>
        <w:tc>
          <w:tcPr>
            <w:tcW w:type="dxa" w:w="2600"/>
          </w:tcPr>
          <w:p>
            <w:pPr>
              <w:jc w:val="left"/>
            </w:pPr>
            <w:r>
              <w:rPr>
                <w:rFonts w:ascii="Times New Roman" w:cs="Times New Roman" w:eastAsia="Times New Roman" w:hAnsi="Times New Roman"/>
                <w:b w:val="false"/>
                <w:bCs w:val="false"/>
                <w:sz w:val="20"/>
                <w:szCs w:val="20"/>
              </w:rPr>
              <w:t xml:space="preserve">B — Regolith-only cladding, 2 cm</w:t>
            </w:r>
          </w:p>
        </w:tc>
        <w:tc>
          <w:tcPr>
            <w:tcW w:type="dxa" w:w="1000"/>
          </w:tcPr>
          <w:p>
            <w:pPr>
              <w:jc w:val="left"/>
            </w:pPr>
            <w:r>
              <w:rPr>
                <w:rFonts w:ascii="Times New Roman" w:cs="Times New Roman" w:eastAsia="Times New Roman" w:hAnsi="Times New Roman"/>
                <w:b w:val="false"/>
                <w:bCs w:val="false"/>
                <w:sz w:val="20"/>
                <w:szCs w:val="20"/>
              </w:rPr>
              <w:t xml:space="preserve">~5.0*</w:t>
            </w:r>
          </w:p>
        </w:tc>
        <w:tc>
          <w:tcPr>
            <w:tcW w:type="dxa" w:w="1100"/>
          </w:tcPr>
          <w:p>
            <w:pPr>
              <w:jc w:val="left"/>
            </w:pPr>
            <w:r>
              <w:rPr>
                <w:rFonts w:ascii="Times New Roman" w:cs="Times New Roman" w:eastAsia="Times New Roman" w:hAnsi="Times New Roman"/>
                <w:b w:val="false"/>
                <w:bCs w:val="false"/>
                <w:sz w:val="20"/>
                <w:szCs w:val="20"/>
              </w:rPr>
              <w:t xml:space="preserve">3.0</w:t>
            </w:r>
          </w:p>
        </w:tc>
        <w:tc>
          <w:tcPr>
            <w:tcW w:type="dxa" w:w="1000"/>
          </w:tcPr>
          <w:p>
            <w:pPr>
              <w:jc w:val="left"/>
            </w:pPr>
            <w:r>
              <w:rPr>
                <w:rFonts w:ascii="Times New Roman" w:cs="Times New Roman" w:eastAsia="Times New Roman" w:hAnsi="Times New Roman"/>
                <w:b w:val="false"/>
                <w:bCs w:val="false"/>
                <w:sz w:val="20"/>
                <w:szCs w:val="20"/>
              </w:rPr>
              <w:t xml:space="preserve">91.4%</w:t>
            </w:r>
          </w:p>
        </w:tc>
        <w:tc>
          <w:tcPr>
            <w:tcW w:type="dxa" w:w="1000"/>
          </w:tcPr>
          <w:p>
            <w:pPr>
              <w:jc w:val="left"/>
            </w:pPr>
            <w:r>
              <w:rPr>
                <w:rFonts w:ascii="Times New Roman" w:cs="Times New Roman" w:eastAsia="Times New Roman" w:hAnsi="Times New Roman"/>
                <w:b w:val="false"/>
                <w:bCs w:val="false"/>
                <w:sz w:val="20"/>
                <w:szCs w:val="20"/>
              </w:rPr>
              <w:t xml:space="preserve">18.29</w:t>
            </w:r>
          </w:p>
        </w:tc>
        <w:tc>
          <w:tcPr>
            <w:tcW w:type="dxa" w:w="2300"/>
          </w:tcPr>
          <w:p>
            <w:pPr>
              <w:jc w:val="left"/>
            </w:pPr>
            <w:r>
              <w:rPr>
                <w:rFonts w:ascii="Times New Roman" w:cs="Times New Roman" w:eastAsia="Times New Roman" w:hAnsi="Times New Roman"/>
                <w:b w:val="false"/>
                <w:bCs w:val="false"/>
                <w:sz w:val="20"/>
                <w:szCs w:val="20"/>
              </w:rPr>
              <w:t xml:space="preserve">Fixed equipment</w:t>
            </w:r>
          </w:p>
        </w:tc>
      </w:tr>
      <w:tr>
        <w:tc>
          <w:tcPr>
            <w:tcW w:type="dxa" w:w="2600"/>
          </w:tcPr>
          <w:p>
            <w:pPr>
              <w:jc w:val="left"/>
            </w:pPr>
            <w:r>
              <w:rPr>
                <w:rFonts w:ascii="Times New Roman" w:cs="Times New Roman" w:eastAsia="Times New Roman" w:hAnsi="Times New Roman"/>
                <w:b w:val="false"/>
                <w:bCs w:val="false"/>
                <w:sz w:val="20"/>
                <w:szCs w:val="20"/>
              </w:rPr>
              <w:t xml:space="preserve">C — Fence + regolith cladding, 2 cm</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121.8</w:t>
            </w:r>
          </w:p>
        </w:tc>
        <w:tc>
          <w:tcPr>
            <w:tcW w:type="dxa" w:w="1000"/>
          </w:tcPr>
          <w:p>
            <w:pPr>
              <w:jc w:val="left"/>
            </w:pPr>
            <w:r>
              <w:rPr>
                <w:rFonts w:ascii="Times New Roman" w:cs="Times New Roman" w:eastAsia="Times New Roman" w:hAnsi="Times New Roman"/>
                <w:b w:val="false"/>
                <w:bCs w:val="false"/>
                <w:sz w:val="20"/>
                <w:szCs w:val="20"/>
              </w:rPr>
              <w:t xml:space="preserve">94.7%</w:t>
            </w:r>
          </w:p>
        </w:tc>
        <w:tc>
          <w:tcPr>
            <w:tcW w:type="dxa" w:w="1000"/>
          </w:tcPr>
          <w:p>
            <w:pPr>
              <w:jc w:val="left"/>
            </w:pPr>
            <w:r>
              <w:rPr>
                <w:rFonts w:ascii="Times New Roman" w:cs="Times New Roman" w:eastAsia="Times New Roman" w:hAnsi="Times New Roman"/>
                <w:b w:val="false"/>
                <w:bCs w:val="false"/>
                <w:sz w:val="20"/>
                <w:szCs w:val="20"/>
              </w:rPr>
              <w:t xml:space="preserve">2.04</w:t>
            </w:r>
          </w:p>
        </w:tc>
        <w:tc>
          <w:tcPr>
            <w:tcW w:type="dxa" w:w="2300"/>
          </w:tcPr>
          <w:p>
            <w:pPr>
              <w:jc w:val="left"/>
            </w:pPr>
            <w:r>
              <w:rPr>
                <w:rFonts w:ascii="Times New Roman" w:cs="Times New Roman" w:eastAsia="Times New Roman" w:hAnsi="Times New Roman"/>
                <w:b w:val="false"/>
                <w:bCs w:val="false"/>
                <w:sz w:val="20"/>
                <w:szCs w:val="20"/>
              </w:rPr>
              <w:t xml:space="preserve">Fixed, high-value equipment</w:t>
            </w:r>
          </w:p>
        </w:tc>
      </w:tr>
      <w:tr>
        <w:tc>
          <w:tcPr>
            <w:tcW w:type="dxa" w:w="2600"/>
          </w:tcPr>
          <w:p>
            <w:pPr>
              <w:jc w:val="left"/>
            </w:pPr>
            <w:r>
              <w:rPr>
                <w:rFonts w:ascii="Times New Roman" w:cs="Times New Roman" w:eastAsia="Times New Roman" w:hAnsi="Times New Roman"/>
                <w:b w:val="false"/>
                <w:bCs w:val="false"/>
                <w:sz w:val="20"/>
                <w:szCs w:val="20"/>
              </w:rPr>
              <w:t xml:space="preserve">D — ISRU-structural magnetic fence</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118.8</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1.63</w:t>
            </w:r>
          </w:p>
        </w:tc>
        <w:tc>
          <w:tcPr>
            <w:tcW w:type="dxa" w:w="2300"/>
          </w:tcPr>
          <w:p>
            <w:pPr>
              <w:jc w:val="left"/>
            </w:pPr>
            <w:r>
              <w:rPr>
                <w:rFonts w:ascii="Times New Roman" w:cs="Times New Roman" w:eastAsia="Times New Roman" w:hAnsi="Times New Roman"/>
                <w:b w:val="false"/>
                <w:bCs w:val="false"/>
                <w:sz w:val="20"/>
                <w:szCs w:val="20"/>
              </w:rPr>
              <w:t xml:space="preserve">Mobile/EVA (preferred)</w:t>
            </w:r>
          </w:p>
        </w:tc>
      </w:tr>
    </w:tbl>
    <w:p>
      <w:pPr>
        <w:spacing w:after="240" w:before="60"/>
      </w:pPr>
      <w:r>
        <w:t>Table 4. Four-architecture comparison. *B's Earth-launched mass is the one-time excavation/processing capital allocation only; the cladding itself is local mass. ΔF_E is SEP energy-fluence reduction, not absorbed dose (Section 10); η_F is Earth-mass efficiency on the same fluence basis.</w:t>
      </w:r>
    </w:p>
    <w:p>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3_pareto.png"/>
                    <pic:cNvPicPr/>
                  </pic:nvPicPr>
                  <pic:blipFill>
                    <a:blip r:embed="rId9"/>
                    <a:stretch>
                      <a:fillRect/>
                    </a:stretch>
                  </pic:blipFill>
                  <pic:spPr>
                    <a:xfrm>
                      <a:off x="0" y="0"/>
                      <a:ext cx="5120640" cy="3162748"/>
                    </a:xfrm>
                    <a:prstGeom prst="rect"/>
                  </pic:spPr>
                </pic:pic>
              </a:graphicData>
            </a:graphic>
          </wp:inline>
        </w:drawing>
      </w:r>
    </w:p>
    <w:p>
      <w:r>
        <w:t>Figure 2. Earth-launched mass versus SEP energy-fluence reduction (ΔF_E) across all four architectures. Regolith cladding for fixed equipment (green) dominates every magnet-assisted configuration in Earth-mass efficiency; the fence remains the only option for mobile and EVA assets, where ISRU structural substitution (purple) shifts the operating point leftward at unchanged ΔF_E.</w:t>
      </w:r>
    </w:p>
    <w:p>
      <w:pPr>
        <w:pStyle w:val="Heading2"/>
        <w:spacing w:after="120" w:before="240"/>
      </w:pPr>
      <w:r>
        <w:rPr>
          <w:rFonts w:ascii="Times New Roman" w:cs="Times New Roman" w:eastAsia="Times New Roman" w:hAnsi="Times New Roman"/>
          <w:b/>
          <w:bCs/>
          <w:color w:val="1F4E79"/>
          <w:sz w:val="24"/>
          <w:szCs w:val="24"/>
        </w:rPr>
        <w:t xml:space="preserve">8.4 Interpretation</w:t>
      </w:r>
    </w:p>
    <w:p>
      <w:pPr>
        <w:spacing w:after="160" w:line="276"/>
        <w:jc w:val="both"/>
      </w:pPr>
      <w:r>
        <w:t>These results do not support a single “hybrid wins” conclusion, and we do not read them that way. The two mitigations serve different, essentially non-overlapping populations of assets by physical necessity rather than by any deficiency of one architecture relative to the other: fixed equipment can be clad in regolith and, on these results, should be (Figure 2), since even 2 cm of regolith outperforms the fence at an η_F roughly an order of magnitude better (architecture B versus A or D in Table 4); mobile and EVA assets, per the taxonomy of Section 2, cannot be clad in regolith at all and depend entirely on the magnetic fence for any active mitigation, where ISRU structural substitution (architecture D) is the available lever, improving η_F by ≈1.7× relative to a fully imported design (architecture A). The fence's distinct contribution is therefore specifically the protection of assets that regolith cannot reach, while its role for fixed installations is, on this fluence-based evidence, clearly subordinate to direct regolith shielding. We return to this asset-dependent framing as the paper's central architectural conclusion in Section 13.</w:t>
      </w:r>
    </w:p>
    <w:p>
      <w:pPr>
        <w:pStyle w:val="Heading1"/>
        <w:spacing w:after="160" w:before="320"/>
      </w:pPr>
      <w:r>
        <w:rPr>
          <w:rFonts w:ascii="Times New Roman" w:cs="Times New Roman" w:eastAsia="Times New Roman" w:hAnsi="Times New Roman"/>
          <w:b/>
          <w:bCs/>
          <w:color w:val="1F4E79"/>
          <w:sz w:val="28"/>
          <w:szCs w:val="28"/>
        </w:rPr>
        <w:t xml:space="preserve">9. Engineering Mass Budget and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original point design underlying this work reported an unmargined estimate of roughly 12 t of REBCO conductor and 40–60 t total system mass. To convert this into a credible engineering figure, we propagate four factors beyond that point design using Monte Carlo sampling with N = 300,000 draws: an as-built current-derating margin on the REBCO conductor, reflecting the standard aerospace practice of not operating superconducting cable at its nameplate critical current, modeled as Uniform[1.0, 1.5]; a structural/cryostat/leads/power-conditioning factor capturing the mass of everything beyond the bare conductor needed to make a functioning cryogenic coil system, modeled as Uniform[3, 5]; a lunar diurnal thermal-cycling radiator margin to accommodate the roughly 14-day lunar day/night cryocooler heat-rejection swing discussed further in Section 11.2, modeled as Uniform[1.0, 1.5]; and a dust-mitigation margin covering seals, wipers, and electrostatic mitigation hardware needed for long-duration operation in the lunar dust environment, modeled as Uniform[1.0, 1.2]. These four factors are treated as independent for this first-order propagation; we note that some physical correlation between the structural and thermal-cycling margins likely exists in a detailed design, which would narrow rather than widen the propagated distribution, so this independence assumption is conservative in the direction of overstating uncertainty.</w:t>
      </w:r>
    </w:p>
    <w:p>
      <w:pPr>
        <w:spacing w:after="160" w:line="276"/>
        <w:jc w:val="both"/>
      </w:pPr>
      <w:r>
        <w:t>The resulting propagated mass distribution has a median of 81 t (90% CI 55–116 t), with an 18% probability of exceeding 100 t (Figure 3). Propagating all four margins jointly, rather than quoting a single-point estimate, is what establishes that the upward revision from the original 40–60 t point design is a property of the margin structure itself and not an artifact of any one factor’s assumed range. The structural/cryostat factor and the lunar thermal-cycling margin dominate the swing between the four propagated factors, indicating that future refinement effort is best directed at detailed cryostat and radiator design rather than at the conductor current-derating or dust-mitigation margins, which contribute comparatively little to the overall uncertainty. We emphasize that launch mass alone does not establish feasibility: deployment method, thermal management, electrical power supply, dust mitigation, and autonomous or teleoperated construction, addressed directly in Section 11, remain the dominant open engineering uncertainties for this concept, independent of the specific mass figure carried forward from this section.</w:t>
      </w:r>
    </w:p>
    <w:p>
      <w:r>
        <w:drawing>
          <wp:inline xmlns:a="http://schemas.openxmlformats.org/drawingml/2006/main" xmlns:pic="http://schemas.openxmlformats.org/drawingml/2006/picture">
            <wp:extent cx="6035040" cy="2382253"/>
            <wp:docPr id="3" name="Picture 3"/>
            <wp:cNvGraphicFramePr>
              <a:graphicFrameLocks noChangeAspect="1"/>
            </wp:cNvGraphicFramePr>
            <a:graphic>
              <a:graphicData uri="http://schemas.openxmlformats.org/drawingml/2006/picture">
                <pic:pic>
                  <pic:nvPicPr>
                    <pic:cNvPr id="0" name="fig2_mass_uncertainty.png"/>
                    <pic:cNvPicPr/>
                  </pic:nvPicPr>
                  <pic:blipFill>
                    <a:blip r:embed="rId10"/>
                    <a:stretch>
                      <a:fillRect/>
                    </a:stretch>
                  </pic:blipFill>
                  <pic:spPr>
                    <a:xfrm>
                      <a:off x="0" y="0"/>
                      <a:ext cx="6035040" cy="2382253"/>
                    </a:xfrm>
                    <a:prstGeom prst="rect"/>
                  </pic:spPr>
                </pic:pic>
              </a:graphicData>
            </a:graphic>
          </wp:inline>
        </w:drawing>
      </w:r>
    </w:p>
    <w:p>
      <w:r>
        <w:t>Figure 3. Left: mass-sensitivity tornado diagram across the four propagated margins, about the 82.5 t midpoint baseline. Right: Monte Carlo-propagated total system mass (N = 300,000), with median, 90% confidence interval, and the 100 t threshold marked.</w:t>
      </w:r>
    </w:p>
    <w:p>
      <w:pPr>
        <w:pStyle w:val="Heading1"/>
        <w:spacing w:after="160" w:before="320"/>
      </w:pPr>
      <w:r>
        <w:rPr>
          <w:rFonts w:ascii="Times New Roman" w:cs="Times New Roman" w:eastAsia="Times New Roman" w:hAnsi="Times New Roman"/>
          <w:b/>
          <w:bCs/>
          <w:color w:val="1F4E79"/>
          <w:sz w:val="28"/>
          <w:szCs w:val="28"/>
        </w:rPr>
        <w:t xml:space="preserve">10. Radiation Dose Context: From Energy-Fluence Reduction to Human and Technological Impact</w:t>
      </w:r>
    </w:p>
    <w:p>
      <w:pPr>
        <w:spacing w:after="160" w:line="276"/>
        <w:jc w:val="both"/>
      </w:pPr>
      <w:r>
        <w:t>SEP energy-fluence reduction, the metric used throughout Sections 6–9, is not by itself a statement about human or technological risk, and any claim of protective value must be connected to dose and benchmarked against current approaches. This section addresses that requirement in four steps: a first-order physical estimate of the additional attenuation regolith itself provides (Section 10.1); an explicit discussion of what SEP dose means for human and technological risk, using published NASA dose limits and historical event data (Section 10.2); a benchmark comparison against current shielding approaches with published dose-reduction figures (Section 10.3); and a fully specified transport-code calculation plan that would close the remaining gap between the fluence-based results of this paper and a genuine dose-based ranking (Section 10.4).</w:t>
      </w:r>
    </w:p>
    <w:p>
      <w:pPr>
        <w:pStyle w:val="Heading2"/>
        <w:spacing w:after="120" w:before="240"/>
      </w:pPr>
      <w:r>
        <w:rPr>
          <w:rFonts w:ascii="Times New Roman" w:cs="Times New Roman" w:eastAsia="Times New Roman" w:hAnsi="Times New Roman"/>
          <w:b/>
          <w:bCs/>
          <w:color w:val="1F4E79"/>
          <w:sz w:val="24"/>
          <w:szCs w:val="24"/>
        </w:rPr>
        <w:t xml:space="preserve">10.1 First-order CSDA slab-attenuation calculation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fluence-attenuation figures of Section 6.1 (≈95% number fluence, ≈72–75% energy fluence) are not equivalent to absorbed dose, because dose depends on the energy actually deposited in tissue or electronics by the transmitted spectrum, including secondary-particle contributions that a simple fluence calculation omits. As a first-order estimate of the additional effect of regolith, we apply a continuous-slowing-down-approximation (CSDA) slab model: each transmitted proton's residual energy after a regolith slab of given thickness is computed from the power-law range-energy relation R[g/cm²] = 0.00251·E[MeV]^1.75, applied to the SEP spectrum J(E) ∝ exp(−E/30 MeV)/E, with the fence's own transmission curve from Section 6.1 applied first where relevant. This is explicitly a first-order SEP energy-fluence calculation, not a dose calculation: it omits nuclear fragmentation, secondary neutron production, and bremsstrahlung, all of which a full transport code would include and which generally increase local dose relative to a pure CSDA estimate behind thicker absorbers, since secondary particles produced within the shielding material itself contribute additional dose that a CSDA range-energy calculation does not capture. We therefore report its output as ΔF_E (energy-fluence reduction) rather than as a dose quantity, and define the corresponding efficiency metric as η_F = ΔF_E / M_E, explicitly reserving η_D = ΔD / M_E for the dose-based metric that a full transport calculation, specified in Section 10.4, would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500"/>
        <w:gridCol w:w="2100"/>
        <w:gridCol w:w="1500"/>
      </w:tblGrid>
      <w:tr>
        <w:tc>
          <w:tcPr>
            <w:tcW w:type="dxa" w:w="1600"/>
            <w:shd w:fill="DCE6F1" w:val="clear"/>
          </w:tcPr>
          <w:p>
            <w:pPr>
              <w:jc w:val="left"/>
            </w:pPr>
            <w:r>
              <w:rPr>
                <w:rFonts w:ascii="Times New Roman" w:cs="Times New Roman" w:eastAsia="Times New Roman" w:hAnsi="Times New Roman"/>
                <w:b/>
                <w:bCs/>
                <w:sz w:val="20"/>
                <w:szCs w:val="20"/>
              </w:rPr>
              <w:t xml:space="preserve">Thickness</w:t>
            </w:r>
          </w:p>
        </w:tc>
        <w:tc>
          <w:tcPr>
            <w:tcW w:type="dxa" w:w="2000"/>
            <w:shd w:fill="DCE6F1" w:val="clear"/>
          </w:tcPr>
          <w:p>
            <w:pPr>
              <w:jc w:val="left"/>
            </w:pPr>
            <w:r>
              <w:rPr>
                <w:rFonts w:ascii="Times New Roman" w:cs="Times New Roman" w:eastAsia="Times New Roman" w:hAnsi="Times New Roman"/>
                <w:b/>
                <w:bCs/>
                <w:sz w:val="20"/>
                <w:szCs w:val="20"/>
              </w:rPr>
              <w:t xml:space="preserve">B: regolith only ΔF_E</w:t>
            </w:r>
          </w:p>
        </w:tc>
        <w:tc>
          <w:tcPr>
            <w:tcW w:type="dxa" w:w="1500"/>
            <w:shd w:fill="DCE6F1" w:val="clear"/>
          </w:tcPr>
          <w:p>
            <w:pPr>
              <w:jc w:val="left"/>
            </w:pPr>
            <w:r>
              <w:rPr>
                <w:rFonts w:ascii="Times New Roman" w:cs="Times New Roman" w:eastAsia="Times New Roman" w:hAnsi="Times New Roman"/>
                <w:b/>
                <w:bCs/>
                <w:sz w:val="20"/>
                <w:szCs w:val="20"/>
              </w:rPr>
              <w:t xml:space="preserve">B: η_F (%/t)</w:t>
            </w:r>
          </w:p>
        </w:tc>
        <w:tc>
          <w:tcPr>
            <w:tcW w:type="dxa" w:w="2100"/>
            <w:shd w:fill="DCE6F1" w:val="clear"/>
          </w:tcPr>
          <w:p>
            <w:pPr>
              <w:jc w:val="left"/>
            </w:pPr>
            <w:r>
              <w:rPr>
                <w:rFonts w:ascii="Times New Roman" w:cs="Times New Roman" w:eastAsia="Times New Roman" w:hAnsi="Times New Roman"/>
                <w:b/>
                <w:bCs/>
                <w:sz w:val="20"/>
                <w:szCs w:val="20"/>
              </w:rPr>
              <w:t xml:space="preserve">C: fence + regolith ΔF_E</w:t>
            </w:r>
          </w:p>
        </w:tc>
        <w:tc>
          <w:tcPr>
            <w:tcW w:type="dxa" w:w="1500"/>
            <w:shd w:fill="DCE6F1" w:val="clear"/>
          </w:tcPr>
          <w:p>
            <w:pPr>
              <w:jc w:val="left"/>
            </w:pPr>
            <w:r>
              <w:rPr>
                <w:rFonts w:ascii="Times New Roman" w:cs="Times New Roman" w:eastAsia="Times New Roman" w:hAnsi="Times New Roman"/>
                <w:b/>
                <w:bCs/>
                <w:sz w:val="20"/>
                <w:szCs w:val="20"/>
              </w:rPr>
              <w:t xml:space="preserve">C: η_F (%/t)</w:t>
            </w:r>
          </w:p>
        </w:tc>
      </w:tr>
      <w:tr>
        <w:tc>
          <w:tcPr>
            <w:tcW w:type="dxa" w:w="1600"/>
          </w:tcPr>
          <w:p>
            <w:pPr>
              <w:jc w:val="left"/>
            </w:pPr>
            <w:r>
              <w:rPr>
                <w:rFonts w:ascii="Times New Roman" w:cs="Times New Roman" w:eastAsia="Times New Roman" w:hAnsi="Times New Roman"/>
                <w:b w:val="false"/>
                <w:bCs w:val="false"/>
                <w:sz w:val="20"/>
                <w:szCs w:val="20"/>
              </w:rPr>
              <w:t xml:space="preserve">1 cm</w:t>
            </w:r>
          </w:p>
        </w:tc>
        <w:tc>
          <w:tcPr>
            <w:tcW w:type="dxa" w:w="2000"/>
          </w:tcPr>
          <w:p>
            <w:pPr>
              <w:jc w:val="left"/>
            </w:pPr>
            <w:r>
              <w:rPr>
                <w:rFonts w:ascii="Times New Roman" w:cs="Times New Roman" w:eastAsia="Times New Roman" w:hAnsi="Times New Roman"/>
                <w:b w:val="false"/>
                <w:bCs w:val="false"/>
                <w:sz w:val="20"/>
                <w:szCs w:val="20"/>
              </w:rPr>
              <w:t xml:space="preserve">82.1%</w:t>
            </w:r>
          </w:p>
        </w:tc>
        <w:tc>
          <w:tcPr>
            <w:tcW w:type="dxa" w:w="1500"/>
          </w:tcPr>
          <w:p>
            <w:pPr>
              <w:jc w:val="left"/>
            </w:pPr>
            <w:r>
              <w:rPr>
                <w:rFonts w:ascii="Times New Roman" w:cs="Times New Roman" w:eastAsia="Times New Roman" w:hAnsi="Times New Roman"/>
                <w:b w:val="false"/>
                <w:bCs w:val="false"/>
                <w:sz w:val="20"/>
                <w:szCs w:val="20"/>
              </w:rPr>
              <w:t xml:space="preserve">16.41</w:t>
            </w:r>
          </w:p>
        </w:tc>
        <w:tc>
          <w:tcPr>
            <w:tcW w:type="dxa" w:w="2100"/>
          </w:tcPr>
          <w:p>
            <w:pPr>
              <w:jc w:val="left"/>
            </w:pPr>
            <w:r>
              <w:rPr>
                <w:rFonts w:ascii="Times New Roman" w:cs="Times New Roman" w:eastAsia="Times New Roman" w:hAnsi="Times New Roman"/>
                <w:b w:val="false"/>
                <w:bCs w:val="false"/>
                <w:sz w:val="20"/>
                <w:szCs w:val="20"/>
              </w:rPr>
              <w:t xml:space="preserve">90.2%</w:t>
            </w:r>
          </w:p>
        </w:tc>
        <w:tc>
          <w:tcPr>
            <w:tcW w:type="dxa" w:w="1500"/>
          </w:tcPr>
          <w:p>
            <w:pPr>
              <w:jc w:val="left"/>
            </w:pPr>
            <w:r>
              <w:rPr>
                <w:rFonts w:ascii="Times New Roman" w:cs="Times New Roman" w:eastAsia="Times New Roman" w:hAnsi="Times New Roman"/>
                <w:b w:val="false"/>
                <w:bCs w:val="false"/>
                <w:sz w:val="20"/>
                <w:szCs w:val="20"/>
              </w:rPr>
              <w:t xml:space="preserve">1.94</w:t>
            </w:r>
          </w:p>
        </w:tc>
      </w:tr>
      <w:tr>
        <w:tc>
          <w:tcPr>
            <w:tcW w:type="dxa" w:w="1600"/>
          </w:tcPr>
          <w:p>
            <w:pPr>
              <w:jc w:val="left"/>
            </w:pPr>
            <w:r>
              <w:rPr>
                <w:rFonts w:ascii="Times New Roman" w:cs="Times New Roman" w:eastAsia="Times New Roman" w:hAnsi="Times New Roman"/>
                <w:b w:val="false"/>
                <w:bCs w:val="false"/>
                <w:sz w:val="20"/>
                <w:szCs w:val="20"/>
              </w:rPr>
              <w:t xml:space="preserve">2 cm</w:t>
            </w:r>
          </w:p>
        </w:tc>
        <w:tc>
          <w:tcPr>
            <w:tcW w:type="dxa" w:w="2000"/>
          </w:tcPr>
          <w:p>
            <w:pPr>
              <w:jc w:val="left"/>
            </w:pPr>
            <w:r>
              <w:rPr>
                <w:rFonts w:ascii="Times New Roman" w:cs="Times New Roman" w:eastAsia="Times New Roman" w:hAnsi="Times New Roman"/>
                <w:b w:val="false"/>
                <w:bCs w:val="false"/>
                <w:sz w:val="20"/>
                <w:szCs w:val="20"/>
              </w:rPr>
              <w:t xml:space="preserve">91.4%</w:t>
            </w:r>
          </w:p>
        </w:tc>
        <w:tc>
          <w:tcPr>
            <w:tcW w:type="dxa" w:w="1500"/>
          </w:tcPr>
          <w:p>
            <w:pPr>
              <w:jc w:val="left"/>
            </w:pPr>
            <w:r>
              <w:rPr>
                <w:rFonts w:ascii="Times New Roman" w:cs="Times New Roman" w:eastAsia="Times New Roman" w:hAnsi="Times New Roman"/>
                <w:b w:val="false"/>
                <w:bCs w:val="false"/>
                <w:sz w:val="20"/>
                <w:szCs w:val="20"/>
              </w:rPr>
              <w:t xml:space="preserve">18.29</w:t>
            </w:r>
          </w:p>
        </w:tc>
        <w:tc>
          <w:tcPr>
            <w:tcW w:type="dxa" w:w="2100"/>
          </w:tcPr>
          <w:p>
            <w:pPr>
              <w:jc w:val="left"/>
            </w:pPr>
            <w:r>
              <w:rPr>
                <w:rFonts w:ascii="Times New Roman" w:cs="Times New Roman" w:eastAsia="Times New Roman" w:hAnsi="Times New Roman"/>
                <w:b w:val="false"/>
                <w:bCs w:val="false"/>
                <w:sz w:val="20"/>
                <w:szCs w:val="20"/>
              </w:rPr>
              <w:t xml:space="preserve">94.7%</w:t>
            </w:r>
          </w:p>
        </w:tc>
        <w:tc>
          <w:tcPr>
            <w:tcW w:type="dxa" w:w="1500"/>
          </w:tcPr>
          <w:p>
            <w:pPr>
              <w:jc w:val="left"/>
            </w:pPr>
            <w:r>
              <w:rPr>
                <w:rFonts w:ascii="Times New Roman" w:cs="Times New Roman" w:eastAsia="Times New Roman" w:hAnsi="Times New Roman"/>
                <w:b w:val="false"/>
                <w:bCs w:val="false"/>
                <w:sz w:val="20"/>
                <w:szCs w:val="20"/>
              </w:rPr>
              <w:t xml:space="preserve">2.04</w:t>
            </w:r>
          </w:p>
        </w:tc>
      </w:tr>
      <w:tr>
        <w:tc>
          <w:tcPr>
            <w:tcW w:type="dxa" w:w="1600"/>
          </w:tcPr>
          <w:p>
            <w:pPr>
              <w:jc w:val="left"/>
            </w:pPr>
            <w:r>
              <w:rPr>
                <w:rFonts w:ascii="Times New Roman" w:cs="Times New Roman" w:eastAsia="Times New Roman" w:hAnsi="Times New Roman"/>
                <w:b w:val="false"/>
                <w:bCs w:val="false"/>
                <w:sz w:val="20"/>
                <w:szCs w:val="20"/>
              </w:rPr>
              <w:t xml:space="preserve">5 cm</w:t>
            </w:r>
          </w:p>
        </w:tc>
        <w:tc>
          <w:tcPr>
            <w:tcW w:type="dxa" w:w="2000"/>
          </w:tcPr>
          <w:p>
            <w:pPr>
              <w:jc w:val="left"/>
            </w:pPr>
            <w:r>
              <w:rPr>
                <w:rFonts w:ascii="Times New Roman" w:cs="Times New Roman" w:eastAsia="Times New Roman" w:hAnsi="Times New Roman"/>
                <w:b w:val="false"/>
                <w:bCs w:val="false"/>
                <w:sz w:val="20"/>
                <w:szCs w:val="20"/>
              </w:rPr>
              <w:t xml:space="preserve">98.1%</w:t>
            </w:r>
          </w:p>
        </w:tc>
        <w:tc>
          <w:tcPr>
            <w:tcW w:type="dxa" w:w="1500"/>
          </w:tcPr>
          <w:p>
            <w:pPr>
              <w:jc w:val="left"/>
            </w:pPr>
            <w:r>
              <w:rPr>
                <w:rFonts w:ascii="Times New Roman" w:cs="Times New Roman" w:eastAsia="Times New Roman" w:hAnsi="Times New Roman"/>
                <w:b w:val="false"/>
                <w:bCs w:val="false"/>
                <w:sz w:val="20"/>
                <w:szCs w:val="20"/>
              </w:rPr>
              <w:t xml:space="preserve">19.62</w:t>
            </w:r>
          </w:p>
        </w:tc>
        <w:tc>
          <w:tcPr>
            <w:tcW w:type="dxa" w:w="2100"/>
          </w:tcPr>
          <w:p>
            <w:pPr>
              <w:jc w:val="left"/>
            </w:pPr>
            <w:r>
              <w:rPr>
                <w:rFonts w:ascii="Times New Roman" w:cs="Times New Roman" w:eastAsia="Times New Roman" w:hAnsi="Times New Roman"/>
                <w:b w:val="false"/>
                <w:bCs w:val="false"/>
                <w:sz w:val="20"/>
                <w:szCs w:val="20"/>
              </w:rPr>
              <w:t xml:space="preserve">98.6%</w:t>
            </w:r>
          </w:p>
        </w:tc>
        <w:tc>
          <w:tcPr>
            <w:tcW w:type="dxa" w:w="1500"/>
          </w:tcPr>
          <w:p>
            <w:pPr>
              <w:jc w:val="left"/>
            </w:pPr>
            <w:r>
              <w:rPr>
                <w:rFonts w:ascii="Times New Roman" w:cs="Times New Roman" w:eastAsia="Times New Roman" w:hAnsi="Times New Roman"/>
                <w:b w:val="false"/>
                <w:bCs w:val="false"/>
                <w:sz w:val="20"/>
                <w:szCs w:val="20"/>
              </w:rPr>
              <w:t xml:space="preserve">2.13</w:t>
            </w:r>
          </w:p>
        </w:tc>
      </w:tr>
      <w:tr>
        <w:tc>
          <w:tcPr>
            <w:tcW w:type="dxa" w:w="1600"/>
          </w:tcPr>
          <w:p>
            <w:pPr>
              <w:jc w:val="left"/>
            </w:pPr>
            <w:r>
              <w:rPr>
                <w:rFonts w:ascii="Times New Roman" w:cs="Times New Roman" w:eastAsia="Times New Roman" w:hAnsi="Times New Roman"/>
                <w:b w:val="false"/>
                <w:bCs w:val="false"/>
                <w:sz w:val="20"/>
                <w:szCs w:val="20"/>
              </w:rPr>
              <w:t xml:space="preserve">10 cm</w:t>
            </w:r>
          </w:p>
        </w:tc>
        <w:tc>
          <w:tcPr>
            <w:tcW w:type="dxa" w:w="20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19.93</w:t>
            </w:r>
          </w:p>
        </w:tc>
        <w:tc>
          <w:tcPr>
            <w:tcW w:type="dxa" w:w="21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2.15</w:t>
            </w:r>
          </w:p>
        </w:tc>
      </w:tr>
    </w:tbl>
    <w:p>
      <w:pPr>
        <w:spacing w:after="240" w:before="60"/>
      </w:pPr>
      <w:r>
        <w:t>Table 5. Fixed-equipment case, full regolith-thickness sweep. Regolith-only (B) dominates every fence-assisted configuration (C) in η_F at every thickness tested.</w:t>
      </w:r>
    </w:p>
    <w:p>
      <w:pPr>
        <w:spacing w:after="160" w:line="276"/>
        <w:jc w:val="both"/>
      </w:pPr>
      <w:r>
        <w:rPr>
          <w:rFonts w:ascii="Times New Roman" w:cs="Times New Roman" w:eastAsia="Times New Roman" w:hAnsi="Times New Roman"/>
          <w:b w:val="false"/>
          <w:bCs w:val="false"/>
          <w:i w:val="false"/>
          <w:iCs w:val="false"/>
          <w:sz w:val="22"/>
          <w:szCs w:val="22"/>
        </w:rPr>
        <w:t xml:space="preserve">This first-order model should be treated as a lower bound on required shielding thickness and an upper bound on η_F, since secondary-particle contributions are omitted and would generally require somewhat greater thickness to achieve the same dose reduction than the fluence reduction reported here suggests. It is sufficient to establish the qualitative architectural conclusion of Section 8.4 — that thin regolith cladding saturates SEP energy-fluence attenuation well before the fence's own contribution becomes relevant — but is not sufficient on its own to support mission-level design decisions, which require the dose-based calculation specified in Section 10.4.</w:t>
      </w:r>
    </w:p>
    <w:p>
      <w:pPr>
        <w:pStyle w:val="Heading2"/>
        <w:spacing w:after="120" w:before="240"/>
      </w:pPr>
      <w:r>
        <w:rPr>
          <w:rFonts w:ascii="Times New Roman" w:cs="Times New Roman" w:eastAsia="Times New Roman" w:hAnsi="Times New Roman"/>
          <w:b/>
          <w:bCs/>
          <w:color w:val="1F4E79"/>
          <w:sz w:val="24"/>
          <w:szCs w:val="24"/>
        </w:rPr>
        <w:t xml:space="preserve">10.2 What the shielding metric means for human and technological risk</w:t>
      </w:r>
    </w:p>
    <w:p>
      <w:pPr>
        <w:spacing w:after="160" w:line="276"/>
        <w:jc w:val="both"/>
      </w:pPr>
      <w:r>
        <w:rPr>
          <w:rFonts w:ascii="Times New Roman" w:cs="Times New Roman" w:eastAsia="Times New Roman" w:hAnsi="Times New Roman"/>
          <w:b w:val="false"/>
          <w:bCs w:val="false"/>
          <w:i w:val="false"/>
          <w:iCs w:val="false"/>
          <w:sz w:val="22"/>
          <w:szCs w:val="22"/>
        </w:rPr>
        <w:t xml:space="preserve">NASA's current permissible exposure limits for astronauts distinguish short-term (30-day) organ-specific limits, intended to prevent clinically significant acute effects such as radiation sickness, from career effective-dose limits, intended to bound lifetime cancer risk. The relevant short-term limit for a large SEP event is a blood-forming-organ (BFO) dose of 250 mGy-Eq over 30 days, and the current career limit is an effective dose of 600 mSv, applied uniformly across age and sex under NASA-STD-3001 (NASA, 2022; National Academies of Sciences, Engineering, and Medicine, 2021). These limits are the correct frame of reference for interpreting SEP shielding: a shield's value is not that it reduces energy fluence by some percentage in the abstract, but that it determines whether a given historical or design-reference SEP event pushes an unshielded or lightly shielded crew member's 30-day BFO dose above or below the 250 mGy-Eq acute-effects threshold.</w:t>
      </w:r>
    </w:p>
    <w:p>
      <w:pPr>
        <w:spacing w:after="160" w:line="276"/>
        <w:jc w:val="both"/>
      </w:pPr>
      <w:r>
        <w:t>Historical events illustrate the stakes concretely. Unshielded BFO dose estimates for the largest 20th-century SEP events — August 1972, November 1960, and February 1956 — range from roughly 62 to 411 cSv (Simonsen et al., 1990), one to two orders of magnitude above the 250 mGy-Eq short-term limit and, in the largest case, into a dose range associated with measurable acute radiation syndrome symptoms rather than only elevated long-term cancer risk. This is precisely the gap that any lunar-surface shielding architecture, whether passive or active, exists to close, and it is why connecting ΔF_E to dose is a substantive requirement rather than a matter of presentation: an architecture that removes 75% of SEP energy fluence could, depending on the specific event spectrum and secondary-particle production, still leave a crew member above or below the acute-effects threshold, and only a transport calculation resolves which.</w:t>
      </w:r>
    </w:p>
    <w:p>
      <w:pPr>
        <w:pStyle w:val="Heading2"/>
        <w:spacing w:after="120" w:before="240"/>
      </w:pPr>
      <w:r>
        <w:rPr>
          <w:rFonts w:ascii="Times New Roman" w:cs="Times New Roman" w:eastAsia="Times New Roman" w:hAnsi="Times New Roman"/>
          <w:b/>
          <w:bCs/>
          <w:color w:val="1F4E79"/>
          <w:sz w:val="24"/>
          <w:szCs w:val="24"/>
        </w:rPr>
        <w:t xml:space="preserve">10.3 Benchmark comparison against current shielding approaches</w:t>
      </w:r>
    </w:p>
    <w:p>
      <w:pPr>
        <w:spacing w:after="160" w:line="276"/>
        <w:jc w:val="both"/>
      </w:pPr>
      <w:r>
        <w:t>To situate the magnetic fence and ISRU regolith architectures of this paper within the existing landscape of lunar and deep-space radiation protection, Table 6 summarizes published dose-reduction figures for three current approaches, alongside the fluence-reduction figures established for this paper's own architectures in Sections 6 and 10.1. The AstroRad wearable shielding vest, flown unpopulated aboard the uncrewed Artemis I mission as part of the Matroshka AstroRad Radiation Experiment (MARE), used measured radiation-transport data from that flight to model the vest's effect on a design-reference SEP event: for an event modeled on the August 1972 storm, the vest was calculated to reduce effective dose from 233.6 to 89.4 mSv at the modeled seat location, a 61.8% reduction, and for an event modeled on the October 1989 storm, from 249.9 to 149.4 mSv, a 40.2% reduction (International Astronautical Congress, 2024). These figures are dose-based, not fluence-based, and are directly comparable to the η_D metric this paper's architecture will require a transport calculation to produce.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100"/>
        <w:gridCol w:w="2700"/>
      </w:tblGrid>
      <w:tr>
        <w:tc>
          <w:tcPr>
            <w:tcW w:type="dxa" w:w="2700"/>
            <w:shd w:fill="DCE6F1" w:val="clear"/>
          </w:tcPr>
          <w:p>
            <w:pPr>
              <w:jc w:val="left"/>
            </w:pPr>
            <w:r>
              <w:rPr>
                <w:rFonts w:ascii="Times New Roman" w:cs="Times New Roman" w:eastAsia="Times New Roman" w:hAnsi="Times New Roman"/>
                <w:b/>
                <w:bCs/>
                <w:sz w:val="20"/>
                <w:szCs w:val="20"/>
              </w:rPr>
              <w:t xml:space="preserve">Approach</w:t>
            </w:r>
          </w:p>
        </w:tc>
        <w:tc>
          <w:tcPr>
            <w:tcW w:type="dxa" w:w="1500"/>
            <w:shd w:fill="DCE6F1" w:val="clear"/>
          </w:tcPr>
          <w:p>
            <w:pPr>
              <w:jc w:val="left"/>
            </w:pPr>
            <w:r>
              <w:rPr>
                <w:rFonts w:ascii="Times New Roman" w:cs="Times New Roman" w:eastAsia="Times New Roman" w:hAnsi="Times New Roman"/>
                <w:b/>
                <w:bCs/>
                <w:sz w:val="20"/>
                <w:szCs w:val="20"/>
              </w:rPr>
              <w:t xml:space="preserve">Metric type</w:t>
            </w:r>
          </w:p>
        </w:tc>
        <w:tc>
          <w:tcPr>
            <w:tcW w:type="dxa" w:w="2100"/>
            <w:shd w:fill="DCE6F1" w:val="clear"/>
          </w:tcPr>
          <w:p>
            <w:pPr>
              <w:jc w:val="left"/>
            </w:pPr>
            <w:r>
              <w:rPr>
                <w:rFonts w:ascii="Times New Roman" w:cs="Times New Roman" w:eastAsia="Times New Roman" w:hAnsi="Times New Roman"/>
                <w:b/>
                <w:bCs/>
                <w:sz w:val="20"/>
                <w:szCs w:val="20"/>
              </w:rPr>
              <w:t xml:space="preserve">Reported reduction</w:t>
            </w:r>
          </w:p>
        </w:tc>
        <w:tc>
          <w:tcPr>
            <w:tcW w:type="dxa" w:w="2700"/>
            <w:shd w:fill="DCE6F1" w:val="clear"/>
          </w:tcPr>
          <w:p>
            <w:pPr>
              <w:jc w:val="left"/>
            </w:pPr>
            <w:r>
              <w:rPr>
                <w:rFonts w:ascii="Times New Roman" w:cs="Times New Roman" w:eastAsia="Times New Roman" w:hAnsi="Times New Roman"/>
                <w:b/>
                <w:bCs/>
                <w:sz w:val="20"/>
                <w:szCs w:val="20"/>
              </w:rPr>
              <w:t xml:space="preserve">Basis</w:t>
            </w:r>
          </w:p>
        </w:tc>
      </w:tr>
      <w:tr>
        <w:tc>
          <w:tcPr>
            <w:tcW w:type="dxa" w:w="2700"/>
          </w:tcPr>
          <w:p>
            <w:pPr>
              <w:jc w:val="left"/>
            </w:pPr>
            <w:r>
              <w:rPr>
                <w:rFonts w:ascii="Times New Roman" w:cs="Times New Roman" w:eastAsia="Times New Roman" w:hAnsi="Times New Roman"/>
                <w:b w:val="false"/>
                <w:bCs w:val="false"/>
                <w:sz w:val="20"/>
                <w:szCs w:val="20"/>
              </w:rPr>
              <w:t xml:space="preserve">AstroRad wearable vest (Orion/MARE)</w:t>
            </w:r>
          </w:p>
        </w:tc>
        <w:tc>
          <w:tcPr>
            <w:tcW w:type="dxa" w:w="1500"/>
          </w:tcPr>
          <w:p>
            <w:pPr>
              <w:jc w:val="left"/>
            </w:pPr>
            <w:r>
              <w:rPr>
                <w:rFonts w:ascii="Times New Roman" w:cs="Times New Roman" w:eastAsia="Times New Roman" w:hAnsi="Times New Roman"/>
                <w:b w:val="false"/>
                <w:bCs w:val="false"/>
                <w:sz w:val="20"/>
                <w:szCs w:val="20"/>
              </w:rPr>
              <w:t xml:space="preserve">Effective dose</w:t>
            </w:r>
          </w:p>
        </w:tc>
        <w:tc>
          <w:tcPr>
            <w:tcW w:type="dxa" w:w="2100"/>
          </w:tcPr>
          <w:p>
            <w:pPr>
              <w:jc w:val="left"/>
            </w:pPr>
            <w:r>
              <w:rPr>
                <w:rFonts w:ascii="Times New Roman" w:cs="Times New Roman" w:eastAsia="Times New Roman" w:hAnsi="Times New Roman"/>
                <w:b w:val="false"/>
                <w:bCs w:val="false"/>
                <w:sz w:val="20"/>
                <w:szCs w:val="20"/>
              </w:rPr>
              <w:t xml:space="preserve">40–62% (event-dependent)</w:t>
            </w:r>
          </w:p>
        </w:tc>
        <w:tc>
          <w:tcPr>
            <w:tcW w:type="dxa" w:w="2700"/>
          </w:tcPr>
          <w:p>
            <w:pPr>
              <w:jc w:val="left"/>
            </w:pPr>
            <w:r>
              <w:rPr>
                <w:rFonts w:ascii="Times New Roman" w:cs="Times New Roman" w:eastAsia="Times New Roman" w:hAnsi="Times New Roman"/>
                <w:b w:val="false"/>
                <w:bCs w:val="false"/>
                <w:sz w:val="20"/>
                <w:szCs w:val="20"/>
              </w:rPr>
              <w:t xml:space="preserve">Flight-measured transport, Aug. 1972 / Oct. 1989 modeled events</w:t>
            </w:r>
          </w:p>
        </w:tc>
      </w:tr>
      <w:tr>
        <w:tc>
          <w:tcPr>
            <w:tcW w:type="dxa" w:w="2700"/>
          </w:tcPr>
          <w:p>
            <w:pPr>
              <w:jc w:val="left"/>
            </w:pPr>
            <w:r>
              <w:rPr>
                <w:rFonts w:ascii="Times New Roman" w:cs="Times New Roman" w:eastAsia="Times New Roman" w:hAnsi="Times New Roman"/>
                <w:b w:val="false"/>
                <w:bCs w:val="false"/>
                <w:sz w:val="20"/>
                <w:szCs w:val="20"/>
              </w:rPr>
              <w:t xml:space="preserve">Regolith cladding, 2 cm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91.4%</w:t>
            </w:r>
          </w:p>
        </w:tc>
        <w:tc>
          <w:tcPr>
            <w:tcW w:type="dxa" w:w="2700"/>
          </w:tcPr>
          <w:p>
            <w:pPr>
              <w:jc w:val="left"/>
            </w:pPr>
            <w:r>
              <w:rPr>
                <w:rFonts w:ascii="Times New Roman" w:cs="Times New Roman" w:eastAsia="Times New Roman" w:hAnsi="Times New Roman"/>
                <w:b w:val="false"/>
                <w:bCs w:val="false"/>
                <w:sz w:val="20"/>
                <w:szCs w:val="20"/>
              </w:rPr>
              <w:t xml:space="preserve">First-order CSDA slab model, Section 10.1</w:t>
            </w:r>
          </w:p>
        </w:tc>
      </w:tr>
      <w:tr>
        <w:tc>
          <w:tcPr>
            <w:tcW w:type="dxa" w:w="2700"/>
          </w:tcPr>
          <w:p>
            <w:pPr>
              <w:jc w:val="left"/>
            </w:pPr>
            <w:r>
              <w:rPr>
                <w:rFonts w:ascii="Times New Roman" w:cs="Times New Roman" w:eastAsia="Times New Roman" w:hAnsi="Times New Roman"/>
                <w:b w:val="false"/>
                <w:bCs w:val="false"/>
                <w:sz w:val="20"/>
                <w:szCs w:val="20"/>
              </w:rPr>
              <w:t xml:space="preserve">ISRU-structural magnetic fence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~75%</w:t>
            </w:r>
          </w:p>
        </w:tc>
        <w:tc>
          <w:tcPr>
            <w:tcW w:type="dxa" w:w="2700"/>
          </w:tcPr>
          <w:p>
            <w:pPr>
              <w:jc w:val="left"/>
            </w:pPr>
            <w:r>
              <w:rPr>
                <w:rFonts w:ascii="Times New Roman" w:cs="Times New Roman" w:eastAsia="Times New Roman" w:hAnsi="Times New Roman"/>
                <w:b w:val="false"/>
                <w:bCs w:val="false"/>
                <w:sz w:val="20"/>
                <w:szCs w:val="20"/>
              </w:rPr>
              <w:t xml:space="preserve">Boris-pusher simulation, Section 6.1</w:t>
            </w:r>
          </w:p>
        </w:tc>
      </w:tr>
      <w:tr>
        <w:tc>
          <w:tcPr>
            <w:tcW w:type="dxa" w:w="2700"/>
          </w:tcPr>
          <w:p>
            <w:pPr>
              <w:jc w:val="left"/>
            </w:pPr>
            <w:r>
              <w:rPr>
                <w:rFonts w:ascii="Times New Roman" w:cs="Times New Roman" w:eastAsia="Times New Roman" w:hAnsi="Times New Roman"/>
                <w:b w:val="false"/>
                <w:bCs w:val="false"/>
                <w:sz w:val="20"/>
                <w:szCs w:val="20"/>
              </w:rPr>
              <w:t xml:space="preserve">Buried/berm-covered habitat (literature)</w:t>
            </w:r>
          </w:p>
        </w:tc>
        <w:tc>
          <w:tcPr>
            <w:tcW w:type="dxa" w:w="1500"/>
          </w:tcPr>
          <w:p>
            <w:pPr>
              <w:jc w:val="left"/>
            </w:pPr>
            <w:r>
              <w:rPr>
                <w:rFonts w:ascii="Times New Roman" w:cs="Times New Roman" w:eastAsia="Times New Roman" w:hAnsi="Times New Roman"/>
                <w:b w:val="false"/>
                <w:bCs w:val="false"/>
                <w:sz w:val="20"/>
                <w:szCs w:val="20"/>
              </w:rPr>
              <w:t xml:space="preserve">Dose (qualitative)</w:t>
            </w:r>
          </w:p>
        </w:tc>
        <w:tc>
          <w:tcPr>
            <w:tcW w:type="dxa" w:w="2100"/>
          </w:tcPr>
          <w:p>
            <w:pPr>
              <w:jc w:val="left"/>
            </w:pPr>
            <w:r>
              <w:rPr>
                <w:rFonts w:ascii="Times New Roman" w:cs="Times New Roman" w:eastAsia="Times New Roman" w:hAnsi="Times New Roman"/>
                <w:b w:val="false"/>
                <w:bCs w:val="false"/>
                <w:sz w:val="20"/>
                <w:szCs w:val="20"/>
              </w:rPr>
              <w:t xml:space="preserve">Near-complete for SEP; substantial for GCR at typical overburden</w:t>
            </w:r>
          </w:p>
        </w:tc>
        <w:tc>
          <w:tcPr>
            <w:tcW w:type="dxa" w:w="2700"/>
          </w:tcPr>
          <w:p>
            <w:pPr>
              <w:jc w:val="left"/>
            </w:pPr>
            <w:r>
              <w:rPr>
                <w:rFonts w:ascii="Times New Roman" w:cs="Times New Roman" w:eastAsia="Times New Roman" w:hAnsi="Times New Roman"/>
                <w:b w:val="false"/>
                <w:bCs w:val="false"/>
                <w:sz w:val="20"/>
                <w:szCs w:val="20"/>
              </w:rPr>
              <w:t xml:space="preserve">Standard passive-shielding practice</w:t>
            </w:r>
          </w:p>
        </w:tc>
      </w:tr>
    </w:tbl>
    <w:p>
      <w:pPr>
        <w:spacing w:after="240" w:before="60"/>
      </w:pPr>
      <w:r>
        <w:t>Table 6. Benchmark comparison of current and proposed lunar-surface SEP mitigation approaches. Rows mix dose-based and fluence-based metrics, as noted, because a dose-based figure is not yet available for the architectures introduced in this paper (Section 10.4).</w:t>
      </w:r>
    </w:p>
    <w:p>
      <w:pPr>
        <w:spacing w:after="160" w:line="276"/>
        <w:jc w:val="both"/>
      </w:pPr>
      <w:r>
        <w:t>Two observations follow from Table 6. First, the AstroRad results confirm that dose-reduction fractions for real, flight-validated shielding concepts are event-dependent, varying by roughly a factor of 1.5 between the two modeled historical events in that study; this event-dependence is a further reason that this paper's own architectures cannot be assigned a single dose-reduction figure without running the equivalent event-specific transport calculation specified in Section 10.4. Second, the regolith and magnetic-fence fluence-reduction figures reported in this paper are numerically similar in magnitude to the AstroRad dose-reduction figures, which is an encouraging but not sufficient indication that the fluence-based ranking of Section 8.4 is likely to survive translation into a dose-based ranking; only the transport calculation can confirm this.</w:t>
      </w:r>
    </w:p>
    <w:p>
      <w:pPr>
        <w:pStyle w:val="Heading2"/>
        <w:spacing w:after="120" w:before="240"/>
      </w:pPr>
      <w:r>
        <w:rPr>
          <w:rFonts w:ascii="Times New Roman" w:cs="Times New Roman" w:eastAsia="Times New Roman" w:hAnsi="Times New Roman"/>
          <w:b/>
          <w:bCs/>
          <w:color w:val="1F4E79"/>
          <w:sz w:val="24"/>
          <w:szCs w:val="24"/>
        </w:rPr>
        <w:t xml:space="preserve">10.4 Specification of the required transport validation</w:t>
      </w:r>
    </w:p>
    <w:p>
      <w:pPr>
        <w:spacing w:after="160" w:line="276"/>
        <w:jc w:val="both"/>
      </w:pPr>
      <w:r>
        <w:t>Converting ΔF_E into a genuine absorbed-dose figure ΔD requires a coupled space-radiation transport calculation, which is beyond the scope of this paper's first-order feasibility analysis but is fully specified here as the paper's required next step. We propose HZETRN2020 (Slaba et al., 2020), which traces its lineage to the original HZETRN deterministic transport formalism developed for space radiation shielding analysis (Wilson et al., 1991), as the primary candidate, since it is a deterministic transport code purpose-built for solar-particle-event and galactic-cosmic-ray environments with user-defined incident spectra, arbitrary shielding materials, and layered or three-dimensional geometry, and is the transport code used in the AstroRad/MARE dose analysis referenced in Section 10.3, which allows for a directly comparable dose-reduction figure. Geant4 (Agostinelli et al., 2003) is the appropriate alternative where explicit Monte Carlo secondary-particle tracking and arbitrary target geometry are required, at correspondingly greater computational cost.</w:t>
      </w:r>
    </w:p>
    <w:p>
      <w:pPr>
        <w:spacing w:after="160" w:line="276"/>
        <w:jc w:val="both"/>
      </w:pPr>
      <w:r>
        <w:t>The proposed calculation chain is: (i) the incident SEP spectrum J(E) used throughout this work, together with one or more historical design-reference spectra such as the October 1989 event series used in NASA's own SPE habitat design guidance; (ii) the magnetic fence's transmitted spectrum from the Boris-pusher simulation of Section 4 as an intermediate boundary condition; (iii) transport through regolith slabs of 0, 1, 2, 5, and 10 cm, matching Table 5; (iv) absorbed dose, and, with an appropriate quality-factor treatment, dose equivalent, scored at a tissue-equivalent target behind each configuration; repeated for all four architectures of Table 4. This calculation chain would directly yield η_D = ΔD / M_E for each architecture, allow direct comparison against the AstroRad and historical-event dose figures of Section 10.2–10.3 on a common footing, and confirm or revise the architectural ranking presently established in Section 8.4 on fluence grounds only.</w:t>
      </w:r>
    </w:p>
    <w:p>
      <w:pPr>
        <w:pStyle w:val="Heading1"/>
        <w:spacing w:after="160" w:before="320"/>
      </w:pPr>
      <w:r>
        <w:rPr>
          <w:rFonts w:ascii="Times New Roman" w:cs="Times New Roman" w:eastAsia="Times New Roman" w:hAnsi="Times New Roman"/>
          <w:b/>
          <w:bCs/>
          <w:color w:val="1F4E79"/>
          <w:sz w:val="28"/>
          <w:szCs w:val="28"/>
        </w:rPr>
        <w:t xml:space="preserve">11. Engineering Feasibility: Launch, Cooling, Power, and Reliability</w:t>
      </w:r>
    </w:p>
    <w:p>
      <w:pPr>
        <w:spacing w:after="160" w:line="276"/>
        <w:jc w:val="both"/>
      </w:pPr>
      <w:r>
        <w:t>Launch capacity, cryogenic cooling, and electrical power are the feasibility dimensions on which a self-powered, off-grid installation of this scale most plausibly fails, and none of them is settled by the mass budget of Section 9 alone. This section provides first-order, explicitly flagged engineering estimates for each, together with a reliability discussion grounded in the array's verified scaling behavior. As with the CSDA dose-context calculation of Section 10.1, these are order-of-magnitude estimates intended to establish whether the concept is plausibly buildable and to identify which subsystem dominates the remaining uncertainty; they are not a substitute for detailed subsystem engineering, which we identify explicitly as future work in Section 14.</w:t>
      </w:r>
    </w:p>
    <w:p>
      <w:pPr>
        <w:pStyle w:val="Heading2"/>
        <w:spacing w:after="120" w:before="240"/>
      </w:pPr>
      <w:r>
        <w:rPr>
          <w:rFonts w:ascii="Times New Roman" w:cs="Times New Roman" w:eastAsia="Times New Roman" w:hAnsi="Times New Roman"/>
          <w:b/>
          <w:bCs/>
          <w:color w:val="1F4E79"/>
          <w:sz w:val="24"/>
          <w:szCs w:val="24"/>
        </w:rPr>
        <w:t xml:space="preserve">11.1 Launch and deployment feasibility</w:t>
      </w:r>
    </w:p>
    <w:p>
      <w:pPr>
        <w:spacing w:after="160" w:line="276"/>
        <w:jc w:val="both"/>
      </w:pPr>
      <w:r>
        <w:t>Table 7 places this paper's Earth-launched mass figures (81.0 t for the fully imported architecture A, 46.4 t for the ISRU-structural architecture D) against the lunar-surface cargo capacities NASA and Blue Origin have each publicly quantified for vehicles under development for the Artemis program: NASA's own program description states that the large cargo-lander variants of Starship and Blue Moon (“Human-Class Delivery Landers,” planned for Artemis VII and later) will be capable of delivering approximately 12–15 t to the lunar surface (Creech et al., 2025), and Blue Origin states a cargo capacity of approximately 3 t for the smaller Blue Moon Mark 1 lander (Blue Origin, 2025). NASA's Human Landing System program materials describe an on-orbit propellant-transfer architecture intended to enable the larger, crewed Starship HLS variant to deliver substantially more mass than these cargo-specific landers, but, at the time of writing, NASA has not published a single definitive tonnage figure for that variant's own cargo-delivery mode; we therefore benchmark only against the two capacities that are publicly quantified by name, both of which fall below either architecture's Earth-launched mass. Neither architecture is deliverable in a single flight against either of these two benchmarks, reinforcing the modular, multi-flight delivery profile already discussed below regardless of which lander ultimately performs the delivery.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6F1" w:val="clear"/>
          </w:tcPr>
          <w:p>
            <w:pPr>
              <w:jc w:val="left"/>
            </w:pPr>
            <w:r>
              <w:rPr>
                <w:rFonts w:ascii="Times New Roman" w:cs="Times New Roman" w:eastAsia="Times New Roman" w:hAnsi="Times New Roman"/>
                <w:b/>
                <w:bCs/>
                <w:sz w:val="20"/>
                <w:szCs w:val="20"/>
              </w:rPr>
              <w:t xml:space="preserve">Delivery scenario</w:t>
            </w:r>
          </w:p>
        </w:tc>
        <w:tc>
          <w:tcPr>
            <w:tcW w:type="dxa" w:w="3000"/>
            <w:shd w:fill="DCE6F1" w:val="clear"/>
          </w:tcPr>
          <w:p>
            <w:pPr>
              <w:jc w:val="left"/>
            </w:pPr>
            <w:r>
              <w:rPr>
                <w:rFonts w:ascii="Times New Roman" w:cs="Times New Roman" w:eastAsia="Times New Roman" w:hAnsi="Times New Roman"/>
                <w:b/>
                <w:bCs/>
                <w:sz w:val="20"/>
                <w:szCs w:val="20"/>
              </w:rPr>
              <w:t xml:space="preserve">Reported/assumed payload-to-surface (t)</w:t>
            </w:r>
          </w:p>
        </w:tc>
        <w:tc>
          <w:tcPr>
            <w:tcW w:type="dxa" w:w="3000"/>
            <w:shd w:fill="DCE6F1" w:val="clear"/>
          </w:tcPr>
          <w:p>
            <w:pPr>
              <w:jc w:val="left"/>
            </w:pPr>
            <w:r>
              <w:rPr>
                <w:rFonts w:ascii="Times New Roman" w:cs="Times New Roman" w:eastAsia="Times New Roman" w:hAnsi="Times New Roman"/>
                <w:b/>
                <w:bCs/>
                <w:sz w:val="20"/>
                <w:szCs w:val="20"/>
              </w:rPr>
              <w:t xml:space="preserve">Fence architectures deliverable in single flight?</w:t>
            </w:r>
          </w:p>
        </w:tc>
      </w:tr>
      <w:tr>
        <w:tc>
          <w:tcPr>
            <w:tcW w:type="dxa" w:w="3000"/>
          </w:tcPr>
          <w:p>
            <w:pPr>
              <w:jc w:val="left"/>
            </w:pPr>
            <w:r>
              <w:rPr>
                <w:rFonts w:ascii="Times New Roman" w:cs="Times New Roman" w:eastAsia="Times New Roman" w:hAnsi="Times New Roman"/>
                <w:b w:val="false"/>
                <w:bCs w:val="false"/>
                <w:sz w:val="20"/>
                <w:szCs w:val="20"/>
              </w:rPr>
              <w:t xml:space="preserve">Starship HLS cargo variant</w:t>
            </w:r>
          </w:p>
        </w:tc>
        <w:tc>
          <w:tcPr>
            <w:tcW w:type="dxa" w:w="3000"/>
          </w:tcPr>
          <w:p>
            <w:pPr>
              <w:jc w:val="left"/>
            </w:pPr>
            <w:r>
              <w:rPr>
                <w:rFonts w:ascii="Times New Roman" w:cs="Times New Roman" w:eastAsia="Times New Roman" w:hAnsi="Times New Roman"/>
                <w:b w:val="false"/>
                <w:bCs w:val="false"/>
                <w:sz w:val="20"/>
                <w:szCs w:val="20"/>
              </w:rPr>
              <w:t xml:space="preserve">12–15</w:t>
            </w:r>
          </w:p>
        </w:tc>
        <w:tc>
          <w:tcPr>
            <w:tcW w:type="dxa" w:w="3000"/>
          </w:tcPr>
          <w:p>
            <w:pPr>
              <w:jc w:val="left"/>
            </w:pPr>
            <w:r>
              <w:rPr>
                <w:rFonts w:ascii="Times New Roman" w:cs="Times New Roman" w:eastAsia="Times New Roman" w:hAnsi="Times New Roman"/>
                <w:b w:val="false"/>
                <w:bCs w:val="false"/>
                <w:sz w:val="20"/>
                <w:szCs w:val="20"/>
              </w:rPr>
              <w:t xml:space="preserve">Neither A nor D in a single flight; both require multiple flights or modular delivery</w:t>
            </w:r>
          </w:p>
        </w:tc>
      </w:tr>
      <w:tr>
        <w:tc>
          <w:tcPr>
            <w:tcW w:type="dxa" w:w="3000"/>
          </w:tcPr>
          <w:p>
            <w:pPr>
              <w:jc w:val="left"/>
            </w:pPr>
            <w:r>
              <w:rPr>
                <w:rFonts w:ascii="Times New Roman" w:cs="Times New Roman" w:eastAsia="Times New Roman" w:hAnsi="Times New Roman"/>
                <w:b w:val="false"/>
                <w:bCs w:val="false"/>
                <w:sz w:val="20"/>
                <w:szCs w:val="20"/>
              </w:rPr>
              <w:t xml:space="preserve">Blue Moon Mark 1 (cargo)</w:t>
            </w:r>
          </w:p>
        </w:tc>
        <w:tc>
          <w:tcPr>
            <w:tcW w:type="dxa" w:w="3000"/>
          </w:tcPr>
          <w:p>
            <w:pPr>
              <w:jc w:val="left"/>
            </w:pPr>
            <w:r>
              <w:rPr>
                <w:rFonts w:ascii="Times New Roman" w:cs="Times New Roman" w:eastAsia="Times New Roman" w:hAnsi="Times New Roman"/>
                <w:b w:val="false"/>
                <w:bCs w:val="false"/>
                <w:sz w:val="20"/>
                <w:szCs w:val="20"/>
              </w:rPr>
              <w:t xml:space="preserve">~3</w:t>
            </w:r>
          </w:p>
        </w:tc>
        <w:tc>
          <w:tcPr>
            <w:tcW w:type="dxa" w:w="3000"/>
          </w:tcPr>
          <w:p>
            <w:pPr>
              <w:jc w:val="left"/>
            </w:pPr>
            <w:r>
              <w:rPr>
                <w:rFonts w:ascii="Times New Roman" w:cs="Times New Roman" w:eastAsia="Times New Roman" w:hAnsi="Times New Roman"/>
                <w:b w:val="false"/>
                <w:bCs w:val="false"/>
                <w:sz w:val="20"/>
                <w:szCs w:val="20"/>
              </w:rPr>
              <w:t xml:space="preserve">Requires delivery in many modular segments for either architecture</w:t>
            </w:r>
          </w:p>
        </w:tc>
      </w:tr>
    </w:tbl>
    <w:p>
      <w:pPr>
        <w:spacing w:after="240" w:before="60"/>
      </w:pPr>
      <w:r>
        <w:t>Table 7. Illustrative comparison of this paper's Earth-launched mass figures against publicly reported near-term lunar cargo delivery capacities. Figures for delivery vehicles are as publicly reported by the vendor or agency sources cited in the text and are subject to change as these vehicles complete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Beyond raw payload capacity, deployment sequencing matters: a 22-coil array spread across a 200 m by 1000 m footprint (Section 3) cannot be delivered, unpacked, and precisely positioned in a single monolithic unit regardless of the delivering vehicle's total payload capacity, and is far more naturally delivered as 22 (or more, allowing for spares and staged deployment) individually manageable coil modules, each landed or transported to its designated site and then connected to shared power and control infrastructure. This modular delivery profile is, incidentally, well matched to the distributed array's inherent single-point-of-failure tolerance (Section 6.1): a partial or delayed delivery manifest can bring the array online with a subset of sites active, providing partial protection immediately rather than requiring the full system to be complete before any protection is available, which is not possible for the monolithic dipole alternative.</w:t>
      </w:r>
    </w:p>
    <w:p>
      <w:pPr>
        <w:pStyle w:val="Heading2"/>
        <w:spacing w:after="120" w:before="240"/>
      </w:pPr>
      <w:r>
        <w:rPr>
          <w:rFonts w:ascii="Times New Roman" w:cs="Times New Roman" w:eastAsia="Times New Roman" w:hAnsi="Times New Roman"/>
          <w:b/>
          <w:bCs/>
          <w:color w:val="1F4E79"/>
          <w:sz w:val="24"/>
          <w:szCs w:val="24"/>
        </w:rPr>
        <w:t xml:space="preserve">11.2 Cryogenic and thermal feasibility</w:t>
      </w:r>
    </w:p>
    <w:p>
      <w:pPr>
        <w:spacing w:after="160" w:line="276"/>
        <w:jc w:val="both"/>
      </w:pPr>
      <w:r>
        <w:t>The REBCO conductor baseline design operates at 20–40 K (Table 8), a temperature range chosen to balance the higher critical current density available at lower temperature against the higher specific cooling power required to reach it. We estimate the static cryogenic heat load per coil at a representative 10 W, based on typical multi-layer-insulation (MLI) cryostat performance for meter-scale superconducting coil systems, scaled to the coil dimensions implied by the 25 m softening length used in the simulation of Section 4; with 22 coils, this gives a total cold-stage heat load of order 220 W. Using a representative cryocooler specific input power of roughly 250 W of electrical input per watt of cooling at 20 K — a figure broadly consistent with the coefficient of performance achieved by flight-qualified pulse-tube and Gifford-McMahon cryocoolers operating in this temperature range, which fall well short of the Carnot limit at cryogenic temperatures — the estimated total cryocooler electrical power demand is on the order of 55 kW. This is the single largest driver of the power budget discussed in Section 11.3, and is the reason we identify the cryogenic subsystem, rather than the conductor itself, as the dominant remaining engineering uncertainty in this design (Section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100"/>
      </w:tblGrid>
      <w:tr>
        <w:tc>
          <w:tcPr>
            <w:tcW w:type="dxa" w:w="2700"/>
            <w:shd w:fill="DCE6F1" w:val="clear"/>
          </w:tcPr>
          <w:p>
            <w:pPr>
              <w:jc w:val="left"/>
            </w:pPr>
            <w:r>
              <w:rPr>
                <w:rFonts w:ascii="Times New Roman" w:cs="Times New Roman" w:eastAsia="Times New Roman" w:hAnsi="Times New Roman"/>
                <w:b/>
                <w:bCs/>
                <w:sz w:val="20"/>
                <w:szCs w:val="20"/>
              </w:rPr>
              <w:t xml:space="preserve">Parameter</w:t>
            </w:r>
          </w:p>
        </w:tc>
        <w:tc>
          <w:tcPr>
            <w:tcW w:type="dxa" w:w="2200"/>
            <w:shd w:fill="DCE6F1" w:val="clear"/>
          </w:tcPr>
          <w:p>
            <w:pPr>
              <w:jc w:val="left"/>
            </w:pPr>
            <w:r>
              <w:rPr>
                <w:rFonts w:ascii="Times New Roman" w:cs="Times New Roman" w:eastAsia="Times New Roman" w:hAnsi="Times New Roman"/>
                <w:b/>
                <w:bCs/>
                <w:sz w:val="20"/>
                <w:szCs w:val="20"/>
              </w:rPr>
              <w:t xml:space="preserve">Estimated value</w:t>
            </w:r>
          </w:p>
        </w:tc>
        <w:tc>
          <w:tcPr>
            <w:tcW w:type="dxa" w:w="3100"/>
            <w:shd w:fill="DCE6F1" w:val="clear"/>
          </w:tcPr>
          <w:p>
            <w:pPr>
              <w:jc w:val="left"/>
            </w:pPr>
            <w:r>
              <w:rPr>
                <w:rFonts w:ascii="Times New Roman" w:cs="Times New Roman" w:eastAsia="Times New Roman" w:hAnsi="Times New Roman"/>
                <w:b/>
                <w:bCs/>
                <w:sz w:val="20"/>
                <w:szCs w:val="20"/>
              </w:rPr>
              <w:t xml:space="preserve">Basis / assumption</w:t>
            </w:r>
          </w:p>
        </w:tc>
      </w:tr>
      <w:tr>
        <w:tc>
          <w:tcPr>
            <w:tcW w:type="dxa" w:w="2700"/>
          </w:tcPr>
          <w:p>
            <w:pPr>
              <w:jc w:val="left"/>
            </w:pPr>
            <w:r>
              <w:rPr>
                <w:rFonts w:ascii="Times New Roman" w:cs="Times New Roman" w:eastAsia="Times New Roman" w:hAnsi="Times New Roman"/>
                <w:b w:val="false"/>
                <w:bCs w:val="false"/>
                <w:sz w:val="20"/>
                <w:szCs w:val="20"/>
              </w:rPr>
              <w:t xml:space="preserve">Operating temperature</w:t>
            </w:r>
          </w:p>
        </w:tc>
        <w:tc>
          <w:tcPr>
            <w:tcW w:type="dxa" w:w="2200"/>
          </w:tcPr>
          <w:p>
            <w:pPr>
              <w:jc w:val="left"/>
            </w:pPr>
            <w:r>
              <w:rPr>
                <w:rFonts w:ascii="Times New Roman" w:cs="Times New Roman" w:eastAsia="Times New Roman" w:hAnsi="Times New Roman"/>
                <w:b w:val="false"/>
                <w:bCs w:val="false"/>
                <w:sz w:val="20"/>
                <w:szCs w:val="20"/>
              </w:rPr>
              <w:t xml:space="preserve">20–40 K</w:t>
            </w:r>
          </w:p>
        </w:tc>
        <w:tc>
          <w:tcPr>
            <w:tcW w:type="dxa" w:w="3100"/>
          </w:tcPr>
          <w:p>
            <w:pPr>
              <w:jc w:val="left"/>
            </w:pPr>
            <w:r>
              <w:rPr>
                <w:rFonts w:ascii="Times New Roman" w:cs="Times New Roman" w:eastAsia="Times New Roman" w:hAnsi="Times New Roman"/>
                <w:b w:val="false"/>
                <w:bCs w:val="false"/>
                <w:sz w:val="20"/>
                <w:szCs w:val="20"/>
              </w:rPr>
              <w:t xml:space="preserve">REBCO design assumption, Section 9</w:t>
            </w:r>
          </w:p>
        </w:tc>
      </w:tr>
      <w:tr>
        <w:tc>
          <w:tcPr>
            <w:tcW w:type="dxa" w:w="2700"/>
          </w:tcPr>
          <w:p>
            <w:pPr>
              <w:jc w:val="left"/>
            </w:pPr>
            <w:r>
              <w:rPr>
                <w:rFonts w:ascii="Times New Roman" w:cs="Times New Roman" w:eastAsia="Times New Roman" w:hAnsi="Times New Roman"/>
                <w:b w:val="false"/>
                <w:bCs w:val="false"/>
                <w:sz w:val="20"/>
                <w:szCs w:val="20"/>
              </w:rPr>
              <w:t xml:space="preserve">Number of coils</w:t>
            </w:r>
          </w:p>
        </w:tc>
        <w:tc>
          <w:tcPr>
            <w:tcW w:type="dxa" w:w="2200"/>
          </w:tcPr>
          <w:p>
            <w:pPr>
              <w:jc w:val="left"/>
            </w:pPr>
            <w:r>
              <w:rPr>
                <w:rFonts w:ascii="Times New Roman" w:cs="Times New Roman" w:eastAsia="Times New Roman" w:hAnsi="Times New Roman"/>
                <w:b w:val="false"/>
                <w:bCs w:val="false"/>
                <w:sz w:val="20"/>
                <w:szCs w:val="20"/>
              </w:rPr>
              <w:t xml:space="preserve">22</w:t>
            </w:r>
          </w:p>
        </w:tc>
        <w:tc>
          <w:tcPr>
            <w:tcW w:type="dxa" w:w="3100"/>
          </w:tcPr>
          <w:p>
            <w:pPr>
              <w:jc w:val="left"/>
            </w:pPr>
            <w:r>
              <w:rPr>
                <w:rFonts w:ascii="Times New Roman" w:cs="Times New Roman" w:eastAsia="Times New Roman" w:hAnsi="Times New Roman"/>
                <w:b w:val="false"/>
                <w:bCs w:val="false"/>
                <w:sz w:val="20"/>
                <w:szCs w:val="20"/>
              </w:rPr>
              <w:t xml:space="preserve">Simulation geometry, Section 3</w:t>
            </w:r>
          </w:p>
        </w:tc>
      </w:tr>
      <w:tr>
        <w:tc>
          <w:tcPr>
            <w:tcW w:type="dxa" w:w="2700"/>
          </w:tcPr>
          <w:p>
            <w:pPr>
              <w:jc w:val="left"/>
            </w:pPr>
            <w:r>
              <w:rPr>
                <w:rFonts w:ascii="Times New Roman" w:cs="Times New Roman" w:eastAsia="Times New Roman" w:hAnsi="Times New Roman"/>
                <w:b w:val="false"/>
                <w:bCs w:val="false"/>
                <w:sz w:val="20"/>
                <w:szCs w:val="20"/>
              </w:rPr>
              <w:t xml:space="preserve">Static heat load per coil</w:t>
            </w:r>
          </w:p>
        </w:tc>
        <w:tc>
          <w:tcPr>
            <w:tcW w:type="dxa" w:w="2200"/>
          </w:tcPr>
          <w:p>
            <w:pPr>
              <w:jc w:val="left"/>
            </w:pPr>
            <w:r>
              <w:rPr>
                <w:rFonts w:ascii="Times New Roman" w:cs="Times New Roman" w:eastAsia="Times New Roman" w:hAnsi="Times New Roman"/>
                <w:b w:val="false"/>
                <w:bCs w:val="false"/>
                <w:sz w:val="20"/>
                <w:szCs w:val="20"/>
              </w:rPr>
              <w:t xml:space="preserve">~10 W</w:t>
            </w:r>
          </w:p>
        </w:tc>
        <w:tc>
          <w:tcPr>
            <w:tcW w:type="dxa" w:w="3100"/>
          </w:tcPr>
          <w:p>
            <w:pPr>
              <w:jc w:val="left"/>
            </w:pPr>
            <w:r>
              <w:rPr>
                <w:rFonts w:ascii="Times New Roman" w:cs="Times New Roman" w:eastAsia="Times New Roman" w:hAnsi="Times New Roman"/>
                <w:b w:val="false"/>
                <w:bCs w:val="false"/>
                <w:sz w:val="20"/>
                <w:szCs w:val="20"/>
              </w:rPr>
              <w:t xml:space="preserve">Representative MLI cryostat performance, scaled to coil size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cold-stage heat load</w:t>
            </w:r>
          </w:p>
        </w:tc>
        <w:tc>
          <w:tcPr>
            <w:tcW w:type="dxa" w:w="2200"/>
          </w:tcPr>
          <w:p>
            <w:pPr>
              <w:jc w:val="left"/>
            </w:pPr>
            <w:r>
              <w:rPr>
                <w:rFonts w:ascii="Times New Roman" w:cs="Times New Roman" w:eastAsia="Times New Roman" w:hAnsi="Times New Roman"/>
                <w:b w:val="false"/>
                <w:bCs w:val="false"/>
                <w:sz w:val="20"/>
                <w:szCs w:val="20"/>
              </w:rPr>
              <w:t xml:space="preserve">~220 W</w:t>
            </w:r>
          </w:p>
        </w:tc>
        <w:tc>
          <w:tcPr>
            <w:tcW w:type="dxa" w:w="3100"/>
          </w:tcPr>
          <w:p>
            <w:pPr>
              <w:jc w:val="left"/>
            </w:pPr>
            <w:r>
              <w:rPr>
                <w:rFonts w:ascii="Times New Roman" w:cs="Times New Roman" w:eastAsia="Times New Roman" w:hAnsi="Times New Roman"/>
                <w:b w:val="false"/>
                <w:bCs w:val="false"/>
                <w:sz w:val="20"/>
                <w:szCs w:val="20"/>
              </w:rPr>
              <w:t xml:space="preserve">Sum over 22 coils</w:t>
            </w:r>
          </w:p>
        </w:tc>
      </w:tr>
      <w:tr>
        <w:tc>
          <w:tcPr>
            <w:tcW w:type="dxa" w:w="2700"/>
          </w:tcPr>
          <w:p>
            <w:pPr>
              <w:jc w:val="left"/>
            </w:pPr>
            <w:r>
              <w:rPr>
                <w:rFonts w:ascii="Times New Roman" w:cs="Times New Roman" w:eastAsia="Times New Roman" w:hAnsi="Times New Roman"/>
                <w:b w:val="false"/>
                <w:bCs w:val="false"/>
                <w:sz w:val="20"/>
                <w:szCs w:val="20"/>
              </w:rPr>
              <w:t xml:space="preserve">Cryocooler specific input power</w:t>
            </w:r>
          </w:p>
        </w:tc>
        <w:tc>
          <w:tcPr>
            <w:tcW w:type="dxa" w:w="2200"/>
          </w:tcPr>
          <w:p>
            <w:pPr>
              <w:jc w:val="left"/>
            </w:pPr>
            <w:r>
              <w:rPr>
                <w:rFonts w:ascii="Times New Roman" w:cs="Times New Roman" w:eastAsia="Times New Roman" w:hAnsi="Times New Roman"/>
                <w:b w:val="false"/>
                <w:bCs w:val="false"/>
                <w:sz w:val="20"/>
                <w:szCs w:val="20"/>
              </w:rPr>
              <w:t xml:space="preserve">~250 W_e / W_cooling</w:t>
            </w:r>
          </w:p>
        </w:tc>
        <w:tc>
          <w:tcPr>
            <w:tcW w:type="dxa" w:w="3100"/>
          </w:tcPr>
          <w:p>
            <w:pPr>
              <w:jc w:val="left"/>
            </w:pPr>
            <w:r>
              <w:rPr>
                <w:rFonts w:ascii="Times New Roman" w:cs="Times New Roman" w:eastAsia="Times New Roman" w:hAnsi="Times New Roman"/>
                <w:b w:val="false"/>
                <w:bCs w:val="false"/>
                <w:sz w:val="20"/>
                <w:szCs w:val="20"/>
              </w:rPr>
              <w:t xml:space="preserve">Representative pulse-tube/GM cryocooler COP at 20 K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cryocooler electrical power</w:t>
            </w:r>
          </w:p>
        </w:tc>
        <w:tc>
          <w:tcPr>
            <w:tcW w:type="dxa" w:w="2200"/>
          </w:tcPr>
          <w:p>
            <w:pPr>
              <w:jc w:val="left"/>
            </w:pPr>
            <w:r>
              <w:rPr>
                <w:rFonts w:ascii="Times New Roman" w:cs="Times New Roman" w:eastAsia="Times New Roman" w:hAnsi="Times New Roman"/>
                <w:b w:val="false"/>
                <w:bCs w:val="false"/>
                <w:sz w:val="20"/>
                <w:szCs w:val="20"/>
              </w:rPr>
              <w:t xml:space="preserve">~55 kW</w:t>
            </w:r>
          </w:p>
        </w:tc>
        <w:tc>
          <w:tcPr>
            <w:tcW w:type="dxa" w:w="3100"/>
          </w:tcPr>
          <w:p>
            <w:pPr>
              <w:jc w:val="left"/>
            </w:pPr>
            <w:r>
              <w:rPr>
                <w:rFonts w:ascii="Times New Roman" w:cs="Times New Roman" w:eastAsia="Times New Roman" w:hAnsi="Times New Roman"/>
                <w:b w:val="false"/>
                <w:bCs w:val="false"/>
                <w:sz w:val="20"/>
                <w:szCs w:val="20"/>
              </w:rPr>
              <w:t xml:space="preserve">Product of heat load and specific input power</w:t>
            </w:r>
          </w:p>
        </w:tc>
      </w:tr>
    </w:tbl>
    <w:p>
      <w:pPr>
        <w:spacing w:after="240" w:before="60"/>
      </w:pPr>
      <w:r>
        <w:t>Table 8. First-order cryogenic and thermal parameter estimates. All values are order-of-magnitude engineering estimates pending detailed cryostat design, not the output of a thermal simulation.</w:t>
      </w:r>
    </w:p>
    <w:p>
      <w:pPr>
        <w:spacing w:after="160" w:line="276"/>
        <w:jc w:val="both"/>
      </w:pPr>
      <w:r>
        <w:t>The lunar diurnal cycle, roughly 14 Earth days of continuous sunlight followed by roughly 14 Earth days of continuous darkness, poses a specific challenge already reflected in the thermal-cycling margin of Section 9: during the lunar day, the ambient thermal environment makes radiative heat rejection from cryocooler hot-side radiators substantially less efficient than during the lunar night, because the radiator must reject heat against a much higher effective sink temperature, so radiator area (and hence mass) must be sized for the daytime condition even though average power demand may be lower then. We do not attempt a detailed radiator sizing calculation in this paper, since it depends sensitively on radiator orientation, surface coating properties, and local terrain shadowing that are beyond this paper's scope, and instead flag radiator sizing across the full day/night duty cycle as the critical open parameter for this subsystem in Table 9 (Section 12), consistent with the treatment already given to this issue in the mass-margin propagation of Section 9.</w:t>
      </w:r>
    </w:p>
    <w:p>
      <w:pPr>
        <w:pStyle w:val="Heading2"/>
        <w:spacing w:after="120" w:before="240"/>
      </w:pPr>
      <w:r>
        <w:rPr>
          <w:rFonts w:ascii="Times New Roman" w:cs="Times New Roman" w:eastAsia="Times New Roman" w:hAnsi="Times New Roman"/>
          <w:b/>
          <w:bCs/>
          <w:color w:val="1F4E79"/>
          <w:sz w:val="24"/>
          <w:szCs w:val="24"/>
        </w:rPr>
        <w:t xml:space="preserve">11.3 Power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Beyond the roughly 55 kW cryocooler load estimated in Section 11.2, the array's power electronics, control and monitoring instrumentation, and any active dust-mitigation hardware add a comparatively modest additional load, which we estimate at 5–10 kW based on typical instrumentation and control power fractions for systems of this scale, giving a total continuous electrical power demand of roughly 60–65 kW. During the lunar day, a photovoltaic array sized using a representative lunar solar irradiance of 1361 W/m² and a conservative 20% end-to-end conversion efficiency would require on the order of 200–250 m² of active solar collection area to supply this load, a substantial but not unreasonable area for a permanently sited lunar installation. The lunar night, however, cannot be bridged by photovoltaic power alone: 14 days of continuous darkness at a 60–65 kW continuous load implies an energy storage requirement of roughly 20–22 MWh, which is impractical to meet with chemical battery storage at any currently credible specific energy for a lunar-surface-deployable system, and points toward either a nuclear surface power source — consistent with NASA's own ongoing Fission Surface Power development effort for exactly this class of continuous, day/night lunar power demand — or toward accepting that the magnetic fence's protection is available only during the lunar day, with mobile and EVA assets relying on alternative mitigation (e.g., remaining near sheltered infrastructure, or simply curtailing EVA activity) during the lunar night. We flag this day/night power architecture decision as a first-order, unresolved design choice for this concept rather than adjudicating it in this paper, and note that it is a shared challenge for essentially any continuously operating lunar surface power consumer, not a weakness specific to the magnetic fence architecture.</w:t>
      </w:r>
    </w:p>
    <w:p>
      <w:pPr>
        <w:pStyle w:val="Heading2"/>
        <w:spacing w:after="120" w:before="240"/>
      </w:pPr>
      <w:r>
        <w:rPr>
          <w:rFonts w:ascii="Times New Roman" w:cs="Times New Roman" w:eastAsia="Times New Roman" w:hAnsi="Times New Roman"/>
          <w:b/>
          <w:bCs/>
          <w:color w:val="1F4E79"/>
          <w:sz w:val="24"/>
          <w:szCs w:val="24"/>
        </w:rPr>
        <w:t xml:space="preserve">11.4 Reliability and failure modes</w:t>
      </w:r>
    </w:p>
    <w:p>
      <w:pPr>
        <w:spacing w:after="160" w:line="276"/>
        <w:jc w:val="both"/>
      </w:pPr>
      <w:r>
        <w:t>The distributed array's central architectural advantage over the monolithic dipole is that its moment budget, and hence its protective function, is spread across 22 independent sites rather than concentrated in one, so that no single component failure collapses the shield's function (Section 6.1). We have not run dedicated failure-mode simulations, and we are explicit that the following discussion is an analytic argument from the array's already-verified scaling behavior (Section 6.2) rather than a new simulated result; a dedicated failure-mode simulation campaign, varying the number and spatial pattern of disabled coils and re-running the Boris-pusher transmission calculation of Section 4 for each case, is identified as a specific and high-value item of future work in Section 14.</w:t>
      </w:r>
    </w:p>
    <w:p>
      <w:pPr>
        <w:spacing w:after="160" w:line="276"/>
        <w:jc w:val="both"/>
      </w:pPr>
      <w:r>
        <w:rPr>
          <w:rFonts w:ascii="Times New Roman" w:cs="Times New Roman" w:eastAsia="Times New Roman" w:hAnsi="Times New Roman"/>
          <w:b w:val="false"/>
          <w:bCs w:val="false"/>
          <w:i w:val="false"/>
          <w:iCs w:val="false"/>
          <w:sz w:val="22"/>
          <w:szCs w:val="22"/>
        </w:rPr>
        <w:t xml:space="preserve">The qualitative expectation, grounded in the site-spacing scaling law of Section 6.2, is as follows. Because shield performance is set by the weakest gap in the array rather than by the average field strength, the loss of a single coil is expected to locally double the effective spacing at that point in the fence, which, per the non-monotonic spacing sensitivity already established in Section 6.2, could produce a disproportionately large local leakage increase rather than a leakage increase merely proportional to the fraction of coils lost (1/22 ≈ 4.5%). This is a double-edged property: it means single-coil failure is not automatically benign, contrary to a naive reading of “distributed redundancy,” but it also means that the array's degradation mode is spatially localized and, in principle, correctable by re-tasking or physically relocating a spare coil to the affected gap, an operational option that has no analog for the monolithic dipole, where the “failure mode” of the single source is total loss of shielding. We therefore regard the distributed array's graceful-degradation property as qualitatively well supported by the verified physics of Section 6, while treating any quantitative failure-mode dose or fluence penalty as presently unverified pending the simulation campaign proposed in Section 14.</w:t>
      </w:r>
    </w:p>
    <w:p>
      <w:pPr>
        <w:pStyle w:val="Heading1"/>
        <w:spacing w:after="160" w:before="320"/>
      </w:pPr>
      <w:r>
        <w:rPr>
          <w:rFonts w:ascii="Times New Roman" w:cs="Times New Roman" w:eastAsia="Times New Roman" w:hAnsi="Times New Roman"/>
          <w:b/>
          <w:bCs/>
          <w:color w:val="1F4E79"/>
          <w:sz w:val="28"/>
          <w:szCs w:val="28"/>
        </w:rPr>
        <w:t xml:space="preserve">12. Technology Readiness Assessment</w:t>
      </w:r>
    </w:p>
    <w:p>
      <w:pPr>
        <w:spacing w:after="160" w:line="276"/>
        <w:jc w:val="both"/>
      </w:pPr>
      <w:r>
        <w:t>Table 9 assigns an approximate technology readiness level (TRL) to each subsystem, following the nine-level NASA TRL scale, together with the single most consequential open parameter for each, including the launch, power, and reliability considerations introduced in Section 11.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4900"/>
      </w:tblGrid>
      <w:tr>
        <w:tc>
          <w:tcPr>
            <w:tcW w:type="dxa" w:w="3200"/>
            <w:shd w:fill="DCE6F1" w:val="clear"/>
          </w:tcPr>
          <w:p>
            <w:pPr>
              <w:jc w:val="left"/>
            </w:pPr>
            <w:r>
              <w:rPr>
                <w:rFonts w:ascii="Times New Roman" w:cs="Times New Roman" w:eastAsia="Times New Roman" w:hAnsi="Times New Roman"/>
                <w:b/>
                <w:bCs/>
                <w:sz w:val="20"/>
                <w:szCs w:val="20"/>
              </w:rPr>
              <w:t xml:space="preserve">Subsystem</w:t>
            </w:r>
          </w:p>
        </w:tc>
        <w:tc>
          <w:tcPr>
            <w:tcW w:type="dxa" w:w="900"/>
            <w:shd w:fill="DCE6F1" w:val="clear"/>
          </w:tcPr>
          <w:p>
            <w:pPr>
              <w:jc w:val="left"/>
            </w:pPr>
            <w:r>
              <w:rPr>
                <w:rFonts w:ascii="Times New Roman" w:cs="Times New Roman" w:eastAsia="Times New Roman" w:hAnsi="Times New Roman"/>
                <w:b/>
                <w:bCs/>
                <w:sz w:val="20"/>
                <w:szCs w:val="20"/>
              </w:rPr>
              <w:t xml:space="preserve">TRL</w:t>
            </w:r>
          </w:p>
        </w:tc>
        <w:tc>
          <w:tcPr>
            <w:tcW w:type="dxa" w:w="4900"/>
            <w:shd w:fill="DCE6F1" w:val="clear"/>
          </w:tcPr>
          <w:p>
            <w:pPr>
              <w:jc w:val="left"/>
            </w:pPr>
            <w:r>
              <w:rPr>
                <w:rFonts w:ascii="Times New Roman" w:cs="Times New Roman" w:eastAsia="Times New Roman" w:hAnsi="Times New Roman"/>
                <w:b/>
                <w:bCs/>
                <w:sz w:val="20"/>
                <w:szCs w:val="20"/>
              </w:rPr>
              <w:t xml:space="preserve">Critical unresolved parameter</w:t>
            </w:r>
          </w:p>
        </w:tc>
      </w:tr>
      <w:tr>
        <w:tc>
          <w:tcPr>
            <w:tcW w:type="dxa" w:w="3200"/>
          </w:tcPr>
          <w:p>
            <w:pPr>
              <w:jc w:val="left"/>
            </w:pPr>
            <w:r>
              <w:rPr>
                <w:rFonts w:ascii="Times New Roman" w:cs="Times New Roman" w:eastAsia="Times New Roman" w:hAnsi="Times New Roman"/>
                <w:b w:val="false"/>
                <w:bCs w:val="false"/>
                <w:sz w:val="20"/>
                <w:szCs w:val="20"/>
              </w:rPr>
              <w:t xml:space="preserve">REBCO coil, few-mT self-field, 20–40 K</w:t>
            </w:r>
          </w:p>
        </w:tc>
        <w:tc>
          <w:tcPr>
            <w:tcW w:type="dxa" w:w="900"/>
          </w:tcPr>
          <w:p>
            <w:pPr>
              <w:jc w:val="left"/>
            </w:pPr>
            <w:r>
              <w:rPr>
                <w:rFonts w:ascii="Times New Roman" w:cs="Times New Roman" w:eastAsia="Times New Roman" w:hAnsi="Times New Roman"/>
                <w:b w:val="false"/>
                <w:bCs w:val="false"/>
                <w:sz w:val="20"/>
                <w:szCs w:val="20"/>
              </w:rPr>
              <w:t xml:space="preserve">6–7</w:t>
            </w:r>
          </w:p>
        </w:tc>
        <w:tc>
          <w:tcPr>
            <w:tcW w:type="dxa" w:w="4900"/>
          </w:tcPr>
          <w:p>
            <w:pPr>
              <w:jc w:val="left"/>
            </w:pPr>
            <w:r>
              <w:rPr>
                <w:rFonts w:ascii="Times New Roman" w:cs="Times New Roman" w:eastAsia="Times New Roman" w:hAnsi="Times New Roman"/>
                <w:b w:val="false"/>
                <w:bCs w:val="false"/>
                <w:sz w:val="20"/>
                <w:szCs w:val="20"/>
              </w:rPr>
              <w:t xml:space="preserve">Behavior under repeated lunar diurnal thermal cycling</w:t>
            </w:r>
          </w:p>
        </w:tc>
      </w:tr>
      <w:tr>
        <w:tc>
          <w:tcPr>
            <w:tcW w:type="dxa" w:w="3200"/>
          </w:tcPr>
          <w:p>
            <w:pPr>
              <w:jc w:val="left"/>
            </w:pPr>
            <w:r>
              <w:rPr>
                <w:rFonts w:ascii="Times New Roman" w:cs="Times New Roman" w:eastAsia="Times New Roman" w:hAnsi="Times New Roman"/>
                <w:b w:val="false"/>
                <w:bCs w:val="false"/>
                <w:sz w:val="20"/>
                <w:szCs w:val="20"/>
              </w:rPr>
              <w:t xml:space="preserve">Field-deployable 50 m-radius coil structure</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Deployment and anchoring method at this scale</w:t>
            </w:r>
          </w:p>
        </w:tc>
      </w:tr>
      <w:tr>
        <w:tc>
          <w:tcPr>
            <w:tcW w:type="dxa" w:w="3200"/>
          </w:tcPr>
          <w:p>
            <w:pPr>
              <w:jc w:val="left"/>
            </w:pPr>
            <w:r>
              <w:rPr>
                <w:rFonts w:ascii="Times New Roman" w:cs="Times New Roman" w:eastAsia="Times New Roman" w:hAnsi="Times New Roman"/>
                <w:b w:val="false"/>
                <w:bCs w:val="false"/>
                <w:sz w:val="20"/>
                <w:szCs w:val="20"/>
              </w:rPr>
              <w:t xml:space="preserve">Cryocooler for 14-day lunar diurnal cycle</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Radiator sizing across the full day/night duty-cycle swing (Section 11.2)</w:t>
            </w:r>
          </w:p>
        </w:tc>
      </w:tr>
      <w:tr>
        <w:tc>
          <w:tcPr>
            <w:tcW w:type="dxa" w:w="3200"/>
          </w:tcPr>
          <w:p>
            <w:pPr>
              <w:jc w:val="left"/>
            </w:pPr>
            <w:r>
              <w:rPr>
                <w:rFonts w:ascii="Times New Roman" w:cs="Times New Roman" w:eastAsia="Times New Roman" w:hAnsi="Times New Roman"/>
                <w:b w:val="false"/>
                <w:bCs w:val="false"/>
                <w:sz w:val="20"/>
                <w:szCs w:val="20"/>
              </w:rPr>
              <w:t xml:space="preserve">Continuous day/night electrical power supply (~60 kW)</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Nuclear surface power availability vs. battery-storage mass penalty (Section 11.3)</w:t>
            </w:r>
          </w:p>
        </w:tc>
      </w:tr>
      <w:tr>
        <w:tc>
          <w:tcPr>
            <w:tcW w:type="dxa" w:w="3200"/>
          </w:tcPr>
          <w:p>
            <w:pPr>
              <w:jc w:val="left"/>
            </w:pPr>
            <w:r>
              <w:rPr>
                <w:rFonts w:ascii="Times New Roman" w:cs="Times New Roman" w:eastAsia="Times New Roman" w:hAnsi="Times New Roman"/>
                <w:b w:val="false"/>
                <w:bCs w:val="false"/>
                <w:sz w:val="20"/>
                <w:szCs w:val="20"/>
              </w:rPr>
              <w:t xml:space="preserve">Dust-tolerant long-duration operation</w:t>
            </w:r>
          </w:p>
        </w:tc>
        <w:tc>
          <w:tcPr>
            <w:tcW w:type="dxa" w:w="900"/>
          </w:tcPr>
          <w:p>
            <w:pPr>
              <w:jc w:val="left"/>
            </w:pPr>
            <w:r>
              <w:rPr>
                <w:rFonts w:ascii="Times New Roman" w:cs="Times New Roman" w:eastAsia="Times New Roman" w:hAnsi="Times New Roman"/>
                <w:b w:val="false"/>
                <w:bCs w:val="false"/>
                <w:sz w:val="20"/>
                <w:szCs w:val="20"/>
              </w:rPr>
              <w:t xml:space="preserve">1–2</w:t>
            </w:r>
          </w:p>
        </w:tc>
        <w:tc>
          <w:tcPr>
            <w:tcW w:type="dxa" w:w="4900"/>
          </w:tcPr>
          <w:p>
            <w:pPr>
              <w:jc w:val="left"/>
            </w:pPr>
            <w:r>
              <w:rPr>
                <w:rFonts w:ascii="Times New Roman" w:cs="Times New Roman" w:eastAsia="Times New Roman" w:hAnsi="Times New Roman"/>
                <w:b w:val="false"/>
                <w:bCs w:val="false"/>
                <w:sz w:val="20"/>
                <w:szCs w:val="20"/>
              </w:rPr>
              <w:t xml:space="preserve">No lunar-dust-exposure data exists for HTS coil systems of this type</w:t>
            </w:r>
          </w:p>
        </w:tc>
      </w:tr>
      <w:tr>
        <w:tc>
          <w:tcPr>
            <w:tcW w:type="dxa" w:w="3200"/>
          </w:tcPr>
          <w:p>
            <w:pPr>
              <w:jc w:val="left"/>
            </w:pPr>
            <w:r>
              <w:rPr>
                <w:rFonts w:ascii="Times New Roman" w:cs="Times New Roman" w:eastAsia="Times New Roman" w:hAnsi="Times New Roman"/>
                <w:b w:val="false"/>
                <w:bCs w:val="false"/>
                <w:sz w:val="20"/>
                <w:szCs w:val="20"/>
              </w:rPr>
              <w:t xml:space="preserve">Regolith berm/trench construction (ISRU)</w:t>
            </w:r>
          </w:p>
        </w:tc>
        <w:tc>
          <w:tcPr>
            <w:tcW w:type="dxa" w:w="900"/>
          </w:tcPr>
          <w:p>
            <w:pPr>
              <w:jc w:val="left"/>
            </w:pPr>
            <w:r>
              <w:rPr>
                <w:rFonts w:ascii="Times New Roman" w:cs="Times New Roman" w:eastAsia="Times New Roman" w:hAnsi="Times New Roman"/>
                <w:b w:val="false"/>
                <w:bCs w:val="false"/>
                <w:sz w:val="20"/>
                <w:szCs w:val="20"/>
              </w:rPr>
              <w:t xml:space="preserve">2–4</w:t>
            </w:r>
          </w:p>
        </w:tc>
        <w:tc>
          <w:tcPr>
            <w:tcW w:type="dxa" w:w="4900"/>
          </w:tcPr>
          <w:p>
            <w:pPr>
              <w:jc w:val="left"/>
            </w:pPr>
            <w:r>
              <w:rPr>
                <w:rFonts w:ascii="Times New Roman" w:cs="Times New Roman" w:eastAsia="Times New Roman" w:hAnsi="Times New Roman"/>
                <w:b w:val="false"/>
                <w:bCs w:val="false"/>
                <w:sz w:val="20"/>
                <w:szCs w:val="20"/>
              </w:rPr>
              <w:t xml:space="preserve">Achievable construction rate with robotic excavation at fence scale</w:t>
            </w:r>
          </w:p>
        </w:tc>
      </w:tr>
      <w:tr>
        <w:tc>
          <w:tcPr>
            <w:tcW w:type="dxa" w:w="3200"/>
          </w:tcPr>
          <w:p>
            <w:pPr>
              <w:jc w:val="left"/>
            </w:pPr>
            <w:r>
              <w:rPr>
                <w:rFonts w:ascii="Times New Roman" w:cs="Times New Roman" w:eastAsia="Times New Roman" w:hAnsi="Times New Roman"/>
                <w:b w:val="false"/>
                <w:bCs w:val="false"/>
                <w:sz w:val="20"/>
                <w:szCs w:val="20"/>
              </w:rPr>
              <w:t xml:space="preserve">Regolith cladding for fixed-equipment shielding</w:t>
            </w:r>
          </w:p>
        </w:tc>
        <w:tc>
          <w:tcPr>
            <w:tcW w:type="dxa" w:w="900"/>
          </w:tcPr>
          <w:p>
            <w:pPr>
              <w:jc w:val="left"/>
            </w:pPr>
            <w:r>
              <w:rPr>
                <w:rFonts w:ascii="Times New Roman" w:cs="Times New Roman" w:eastAsia="Times New Roman" w:hAnsi="Times New Roman"/>
                <w:b w:val="false"/>
                <w:bCs w:val="false"/>
                <w:sz w:val="20"/>
                <w:szCs w:val="20"/>
              </w:rPr>
              <w:t xml:space="preserve">3–5</w:t>
            </w:r>
          </w:p>
        </w:tc>
        <w:tc>
          <w:tcPr>
            <w:tcW w:type="dxa" w:w="4900"/>
          </w:tcPr>
          <w:p>
            <w:pPr>
              <w:jc w:val="left"/>
            </w:pPr>
            <w:r>
              <w:rPr>
                <w:rFonts w:ascii="Times New Roman" w:cs="Times New Roman" w:eastAsia="Times New Roman" w:hAnsi="Times New Roman"/>
                <w:b w:val="false"/>
                <w:bCs w:val="false"/>
                <w:sz w:val="20"/>
                <w:szCs w:val="20"/>
              </w:rPr>
              <w:t xml:space="preserve">Structural attachment/retention of a thin (1–5 cm) layer under lunar gravity/thermal stress</w:t>
            </w:r>
          </w:p>
        </w:tc>
      </w:tr>
      <w:tr>
        <w:tc>
          <w:tcPr>
            <w:tcW w:type="dxa" w:w="3200"/>
          </w:tcPr>
          <w:p>
            <w:pPr>
              <w:jc w:val="left"/>
            </w:pPr>
            <w:r>
              <w:rPr>
                <w:rFonts w:ascii="Times New Roman" w:cs="Times New Roman" w:eastAsia="Times New Roman" w:hAnsi="Times New Roman"/>
                <w:b w:val="false"/>
                <w:bCs w:val="false"/>
                <w:sz w:val="20"/>
                <w:szCs w:val="20"/>
              </w:rPr>
              <w:t xml:space="preserve">Modular multi-flight delivery and site assembly</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Precision autonomous or teleoperated site-to-site coil positioning (Section 11.1)</w:t>
            </w:r>
          </w:p>
        </w:tc>
      </w:tr>
      <w:tr>
        <w:tc>
          <w:tcPr>
            <w:tcW w:type="dxa" w:w="3200"/>
          </w:tcPr>
          <w:p>
            <w:pPr>
              <w:jc w:val="left"/>
            </w:pPr>
            <w:r>
              <w:rPr>
                <w:rFonts w:ascii="Times New Roman" w:cs="Times New Roman" w:eastAsia="Times New Roman" w:hAnsi="Times New Roman"/>
                <w:b w:val="false"/>
                <w:bCs w:val="false"/>
                <w:sz w:val="20"/>
                <w:szCs w:val="20"/>
              </w:rPr>
              <w:t xml:space="preserve">Permanent-magnet fence (primary moment source)</w:t>
            </w:r>
          </w:p>
        </w:tc>
        <w:tc>
          <w:tcPr>
            <w:tcW w:type="dxa" w:w="900"/>
          </w:tcPr>
          <w:p>
            <w:pPr>
              <w:jc w:val="left"/>
            </w:pPr>
            <w:r>
              <w:rPr>
                <w:rFonts w:ascii="Times New Roman" w:cs="Times New Roman" w:eastAsia="Times New Roman" w:hAnsi="Times New Roman"/>
                <w:b w:val="false"/>
                <w:bCs w:val="false"/>
                <w:sz w:val="20"/>
                <w:szCs w:val="20"/>
              </w:rPr>
              <w:t xml:space="preserve">N/A</w:t>
            </w:r>
          </w:p>
        </w:tc>
        <w:tc>
          <w:tcPr>
            <w:tcW w:type="dxa" w:w="4900"/>
          </w:tcPr>
          <w:p>
            <w:pPr>
              <w:jc w:val="left"/>
            </w:pPr>
            <w:r>
              <w:rPr>
                <w:rFonts w:ascii="Times New Roman" w:cs="Times New Roman" w:eastAsia="Times New Roman" w:hAnsi="Times New Roman"/>
                <w:b w:val="false"/>
                <w:bCs w:val="false"/>
                <w:sz w:val="20"/>
                <w:szCs w:val="20"/>
              </w:rPr>
              <w:t xml:space="preserve">Ruled out by moment-per-mass calculation (Section 7); not a readiness question</w:t>
            </w:r>
          </w:p>
        </w:tc>
      </w:tr>
    </w:tbl>
    <w:p>
      <w:pPr>
        <w:spacing w:after="240" w:before="60"/>
      </w:pPr>
      <w:r>
        <w:t>Table 9. Technology readiness by subsystem, with the critical unresolved parameter driving that rating.</w:t>
      </w:r>
    </w:p>
    <w:p>
      <w:pPr>
        <w:spacing w:after="160" w:line="276"/>
        <w:jc w:val="both"/>
      </w:pPr>
      <w:r>
        <w:rPr>
          <w:rFonts w:ascii="Times New Roman" w:cs="Times New Roman" w:eastAsia="Times New Roman" w:hAnsi="Times New Roman"/>
          <w:b w:val="false"/>
          <w:bCs w:val="false"/>
          <w:i w:val="false"/>
          <w:iCs w:val="false"/>
          <w:sz w:val="22"/>
          <w:szCs w:val="22"/>
        </w:rPr>
        <w:t xml:space="preserve">Two subsystems stand out as the pacing items for the overall concept: dust-tolerant long-duration operation, at TRL 1–2, for which essentially no relevant flight or ground-test data yet exists for HTS coil systems specifically; and the coupled cryocooler/radiator/power system, at TRL 3–4, whose lunar diurnal cycling behavior has not been demonstrated at the scale and duration this concept requires. Both are amenable to ground-based and, eventually, small-scale lunar-surface technology demonstration missions well short of the full 22-coil array, and we identify a staged technology-demonstration pathway, rather than a single full-scale deployment, as the most credible route to raising these subsystems' readiness (Section 14).</w:t>
      </w:r>
    </w:p>
    <w:p>
      <w:pPr>
        <w:pStyle w:val="Heading1"/>
        <w:spacing w:after="160" w:before="320"/>
      </w:pPr>
      <w:r>
        <w:rPr>
          <w:rFonts w:ascii="Times New Roman" w:cs="Times New Roman" w:eastAsia="Times New Roman" w:hAnsi="Times New Roman"/>
          <w:b/>
          <w:bCs/>
          <w:color w:val="1F4E79"/>
          <w:sz w:val="28"/>
          <w:szCs w:val="28"/>
        </w:rPr>
        <w:t xml:space="preserve">13. Discussion</w:t>
      </w:r>
    </w:p>
    <w:p>
      <w:pPr>
        <w:spacing w:after="160" w:line="276"/>
        <w:jc w:val="both"/>
      </w:pPr>
      <w:r>
        <w:t>The results of Sections 6–12 support a single, central architectural conclusion that we state explicitly here rather than leaving implicit in the results tables: the optimal lunar SEP-mitigation strategy is asset-dependent, not universal, and the productive framing for future work in this area is “which technology protects which asset,” not “which technology is best.” Regolith cladding, at negligible Earth-launched mass and requiring no cryogenics, superconductors, or continuous electrical power, is simply a better solution than any magnet-assisted architecture for any asset that can tolerate being clad or buried, which includes permanent habitats and much fixed equipment (Table 4, Table 5). The distributed magnetic fence's role is not to compete with regolith shielding on those assets, and framing it as a general-purpose lunar shielding solution would misstate what these results support. The asset taxonomy of Section 2 and the explicit “best-suited application” column of Table 4 are intended to foreclose exactly that reading.</w:t>
      </w:r>
    </w:p>
    <w:p>
      <w:pPr>
        <w:spacing w:after="160" w:line="276"/>
        <w:jc w:val="both"/>
      </w:pPr>
      <w:r>
        <w:rPr>
          <w:rFonts w:ascii="Times New Roman" w:cs="Times New Roman" w:eastAsia="Times New Roman" w:hAnsi="Times New Roman"/>
          <w:b w:val="false"/>
          <w:bCs w:val="false"/>
          <w:i w:val="false"/>
          <w:iCs w:val="false"/>
          <w:sz w:val="22"/>
          <w:szCs w:val="22"/>
        </w:rPr>
        <w:t xml:space="preserve">Where the fence retains a genuine and durable role is for the asset classes that cannot be clad: rovers, EVA crew, and distributed surface infrastructure (Section 2). For these assets, an area-covering active shield that protects an entire perimeter, rather than requiring each asset to carry or be covered by shielding mass individually, has no passive-shielding analog at comparable mass, and the ISRU-structural substitution introduced in Section 8 improves the Earth-launch economics of that unique capability by roughly 1.7× without altering its shielding performance. This is, we believe, the correct scientific framing of this paper's contribution: not a claim that magnetic shielding is competitive with regolith shielding in general, but a quantitative demonstration of where it is not competitive (fixed assets) and a mass-optimization of where it remains the only available active mitigation (mobile and EVA assets).</w:t>
      </w:r>
    </w:p>
    <w:p>
      <w:pPr>
        <w:spacing w:after="160" w:line="276"/>
        <w:jc w:val="both"/>
      </w:pPr>
      <w:r>
        <w:rPr>
          <w:rFonts w:ascii="Times New Roman" w:cs="Times New Roman" w:eastAsia="Times New Roman" w:hAnsi="Times New Roman"/>
          <w:b w:val="false"/>
          <w:bCs w:val="false"/>
          <w:i w:val="false"/>
          <w:iCs w:val="false"/>
          <w:sz w:val="22"/>
          <w:szCs w:val="22"/>
        </w:rPr>
        <w:t xml:space="preserve">The engineering feasibility analysis of Section 11 tempers this conclusion with an important caveat that Sections 6–9 alone could not surface: even the mass-optimized 46.4 t ISRU-structural architecture is not yet demonstrated to be buildable at TRL levels sufficient for near-term deployment, and the continuous ~60 kW electrical power demand implied by the cryogenic subsystem (Section 11.2–11.3) is comparable to a substantial fraction of the total power budget likely available to an early lunar surface outpost, meaning that this concept's power demand should be evaluated as a mission-architecture-level trade, not merely as a subsystem detail internal to the shield itself. Likewise, the dose-context analysis of Section 10 makes clear that this paper's fluence-based ranking, while internally consistent and grounded in verified simulation physics, has not yet been confirmed at the dose level that ultimately determines human and technological risk, and we regard closing that gap via the transport calculation specified in Section 10.4 as the single highest-priority remaining scientific task for this line of work, ahead of any further refinement of the mass budget or engineering point design.</w:t>
      </w:r>
    </w:p>
    <w:p>
      <w:pPr>
        <w:spacing w:after="160" w:line="276"/>
        <w:jc w:val="both"/>
      </w:pPr>
      <w:r>
        <w:rPr>
          <w:rFonts w:ascii="Times New Roman" w:cs="Times New Roman" w:eastAsia="Times New Roman" w:hAnsi="Times New Roman"/>
          <w:b w:val="false"/>
          <w:bCs w:val="false"/>
          <w:i w:val="false"/>
          <w:iCs w:val="false"/>
          <w:sz w:val="22"/>
          <w:szCs w:val="22"/>
        </w:rPr>
        <w:t xml:space="preserve">Finally, we note that this paper's conclusions are conditioned on the SEP proton spectrum and energy range (0.1–100 MeV) used throughout the underlying simulation, and do not address galactic cosmic ray (GCR) shielding, which involves substantially higher particle energies and different physics (heavy-ion fragmentation dominates GCR dose behind shielding in a way that is largely absent for the softer SEP spectrum modeled here). The regolith-cladding comparison of Section 10.1, in particular, should not be read as implying that thin regolith cladding is similarly effective against GCR; GCR shielding is understood in the literature to require much greater areal density and to exhibit fragmentation-driven dose behavior that can, in some material and thickness regimes, worsen rather than improve dose equivalent (a well-documented effect for aluminum shielding against GCR). This distinction is a further instance of the paper's general theme that shielding effectiveness is context- and threat-dependent rather than a single universal figure of merit, and we flag GCR shielding trade-offs explicitly as outside this paper's scope in Section 14.</w:t>
      </w:r>
    </w:p>
    <w:p>
      <w:pPr>
        <w:pStyle w:val="Heading1"/>
        <w:spacing w:after="160" w:before="320"/>
      </w:pPr>
      <w:r>
        <w:rPr>
          <w:rFonts w:ascii="Times New Roman" w:cs="Times New Roman" w:eastAsia="Times New Roman" w:hAnsi="Times New Roman"/>
          <w:b/>
          <w:bCs/>
          <w:color w:val="1F4E79"/>
          <w:sz w:val="28"/>
          <w:szCs w:val="28"/>
        </w:rPr>
        <w:t xml:space="preserve">14. Limitations and Future Work</w:t>
      </w:r>
    </w:p>
    <w:p>
      <w:pPr>
        <w:pStyle w:val="ListParagraph"/>
        <w:numPr>
          <w:ilvl w:val="0"/>
          <w:numId w:val="1"/>
        </w:numPr>
        <w:spacing w:after="100"/>
      </w:pPr>
      <w:r>
        <w:rPr>
          <w:rFonts w:ascii="Times New Roman" w:cs="Times New Roman" w:eastAsia="Times New Roman" w:hAnsi="Times New Roman"/>
          <w:sz w:val="22"/>
          <w:szCs w:val="22"/>
        </w:rPr>
        <w:t xml:space="preserve">The component-allocation split between Earth-supplied core hardware and regolith-substitutable structural mass (40%/60%, Section 8.1) is a first-order assumption pending detailed subsystem design; refining it is lower priority than the transport calculation below, since Section 8.2 shows the headline Earth-launched-mass result is insensitive to the regolith-construction multiplier itself.</w:t>
      </w:r>
    </w:p>
    <w:p>
      <w:pPr>
        <w:pStyle w:val="ListParagraph"/>
        <w:numPr>
          <w:ilvl w:val="0"/>
          <w:numId w:val="1"/>
        </w:numPr>
        <w:spacing w:after="100"/>
      </w:pPr>
      <w:r>
        <w:t>The HZETRN2020/Geant4 transport calculation specified in Section 10.4 is the single highest-priority remaining task in this research program: it is the only item on this list that would change the paper's central claim from a fluence-level result (η_F) to a genuine dose-level result (η_D), and we recommend it be treated as a required validation step before the architecture ranking of Table 4 is used to inform any mission-level design decision.</w:t>
      </w:r>
    </w:p>
    <w:p>
      <w:pPr>
        <w:pStyle w:val="ListParagraph"/>
        <w:numPr>
          <w:ilvl w:val="0"/>
          <w:numId w:val="1"/>
        </w:numPr>
        <w:spacing w:after="100"/>
      </w:pPr>
      <w:r>
        <w:rPr>
          <w:rFonts w:ascii="Times New Roman" w:cs="Times New Roman" w:eastAsia="Times New Roman" w:hAnsi="Times New Roman"/>
          <w:sz w:val="22"/>
          <w:szCs w:val="22"/>
        </w:rPr>
        <w:t xml:space="preserve">The reliability discussion of Section 11.4 is analytic, grounded in the array's verified spacing-sensitivity scaling law, but has not been confirmed by a dedicated failure-mode Boris-pusher simulation campaign (varying the number and spatial pattern of disabled coils); we identify this simulation campaign as a concrete, well-specified, and comparatively low-cost next computational study, since it requires no new physics beyond re-running the existing verified simulation code with modified coil configurations.</w:t>
      </w:r>
    </w:p>
    <w:p>
      <w:pPr>
        <w:pStyle w:val="ListParagraph"/>
        <w:numPr>
          <w:ilvl w:val="0"/>
          <w:numId w:val="1"/>
        </w:numPr>
        <w:spacing w:after="100"/>
      </w:pPr>
      <w:r>
        <w:rPr>
          <w:rFonts w:ascii="Times New Roman" w:cs="Times New Roman" w:eastAsia="Times New Roman" w:hAnsi="Times New Roman"/>
          <w:sz w:val="22"/>
          <w:szCs w:val="22"/>
        </w:rPr>
        <w:t xml:space="preserve">The engineering feasibility estimates of Section 11 (cryogenic heat load, cryocooler power, radiator area, photovoltaic area, energy storage) are explicitly first-order, order-of-magnitude figures based on representative literature values for comparable cryogenic and power systems, not the output of a detailed thermal or power-system design study; a follow-on engineering study performing detailed cryostat thermal modeling and a mission-architecture-level lunar surface power trade is identified as necessary before this concept could be advanced toward a formal mission proposal.</w:t>
      </w:r>
    </w:p>
    <w:p>
      <w:pPr>
        <w:pStyle w:val="ListParagraph"/>
        <w:numPr>
          <w:ilvl w:val="0"/>
          <w:numId w:val="1"/>
        </w:numPr>
        <w:spacing w:after="100"/>
      </w:pPr>
      <w:r>
        <w:rPr>
          <w:rFonts w:ascii="Times New Roman" w:cs="Times New Roman" w:eastAsia="Times New Roman" w:hAnsi="Times New Roman"/>
          <w:sz w:val="22"/>
          <w:szCs w:val="22"/>
        </w:rPr>
        <w:t xml:space="preserve">Whether permanent magnets have a viable secondary role as local aperture-trim elements at fence gaps (Section 7.2) has not been simulated in this work and remains open.</w:t>
      </w:r>
    </w:p>
    <w:p>
      <w:pPr>
        <w:pStyle w:val="ListParagraph"/>
        <w:numPr>
          <w:ilvl w:val="0"/>
          <w:numId w:val="1"/>
        </w:numPr>
        <w:spacing w:after="100"/>
      </w:pPr>
      <w:r>
        <w:rPr>
          <w:rFonts w:ascii="Times New Roman" w:cs="Times New Roman" w:eastAsia="Times New Roman" w:hAnsi="Times New Roman"/>
          <w:sz w:val="22"/>
          <w:szCs w:val="22"/>
        </w:rPr>
        <w:t xml:space="preserve">Isotropic-incidence and plasma-kinetic treatments of the incident SEP population, rather than the bounding aimed-pencil-beam geometry used throughout this work (Section 4), and a coupled dose-transport benchmark of the distributed-array concept against the existing mini-magnetosphere literature (Bamford et al., 2008, 2014; Winglee et al., 2000), remain future work for the underlying SEP-attenuation physics of Sections 3–6.</w:t>
      </w:r>
    </w:p>
    <w:p>
      <w:pPr>
        <w:pStyle w:val="ListParagraph"/>
        <w:numPr>
          <w:ilvl w:val="0"/>
          <w:numId w:val="1"/>
        </w:numPr>
        <w:spacing w:after="100"/>
      </w:pPr>
      <w:r>
        <w:rPr>
          <w:rFonts w:ascii="Times New Roman" w:cs="Times New Roman" w:eastAsia="Times New Roman" w:hAnsi="Times New Roman"/>
          <w:sz w:val="22"/>
          <w:szCs w:val="22"/>
        </w:rPr>
        <w:t xml:space="preserve">This paper addresses SEP proton shielding only; galactic cosmic ray shielding trade-offs, which involve substantially different physics and are not necessarily favorable to thin regolith cladding in the same way SEP protons are (Section 13), are explicitly outside this paper's scope and would require a separate transport-code study using a GCR rather than SEP incident spectrum.</w:t>
      </w:r>
    </w:p>
    <w:p>
      <w:pPr>
        <w:pStyle w:val="Heading1"/>
        <w:spacing w:after="160" w:before="320"/>
      </w:pPr>
      <w:r>
        <w:rPr>
          <w:rFonts w:ascii="Times New Roman" w:cs="Times New Roman" w:eastAsia="Times New Roman" w:hAnsi="Times New Roman"/>
          <w:b/>
          <w:bCs/>
          <w:color w:val="1F4E79"/>
          <w:sz w:val="28"/>
          <w:szCs w:val="28"/>
        </w:rPr>
        <w:t xml:space="preserve">15. Conclusion</w:t>
      </w:r>
    </w:p>
    <w:p>
      <w:pPr>
        <w:spacing w:after="160" w:line="276"/>
        <w:jc w:val="both"/>
      </w:pPr>
      <w:r>
        <w:t>A distributed perimeter array of superconducting coils shields a lunar surface installation against SEP protons as effectively as a monolithic mini-magnetosphere dipole of equal magnetic moment, while eliminating the strong field at the habitat and tolerating single-coil failure better than a monolithic design in principle, if not yet quantitatively confirmed by dedicated failure-mode simulation. This study has tested, rather than assumed, the engineering questions that determine whether that concept is buildable, addressing launch capacity, cryogenic cooling, electrical power, and human dose context directly. Permanent magnets cannot replace the superconducting moment source: NdFeB's remanence bounds achievable moment-per-mass roughly four orders of magnitude below what the physics requires. Propagating previously uncosted engineering margins raises the credible system mass from a 40–60 t point estimate to a median of 81 t, and substituting regolith-derived structure for Earth-launched structural mass reduces this to 46.4 t without changing shielding performance, a reduction that is robust to the main uncertainty in how efficiently that substitution can be built. Even at 46.4 t, however, the architecture exceeds the per-flight lunar-surface cargo capacity of every vehicle for which a capacity has been publicly quantified, and therefore implies modular, multi-flight delivery rather than a single manifest (Section 11.1).</w:t>
      </w:r>
    </w:p>
    <w:p>
      <w:pPr>
        <w:spacing w:after="160" w:line="276"/>
        <w:jc w:val="both"/>
      </w:pPr>
      <w:r>
        <w:rPr>
          <w:rFonts w:ascii="Times New Roman" w:cs="Times New Roman" w:eastAsia="Times New Roman" w:hAnsi="Times New Roman"/>
          <w:b w:val="false"/>
          <w:bCs w:val="false"/>
          <w:i w:val="false"/>
          <w:iCs w:val="false"/>
          <w:sz w:val="22"/>
          <w:szCs w:val="22"/>
        </w:rPr>
        <w:t xml:space="preserve">For fixed equipment, direct regolith cladding remains a more mass-efficient mitigation than the magnetic fence by roughly an order of magnitude; the fence's distinct and durable role is protecting the assets — rovers, EVA crew, distributed infrastructure — that regolith cannot reach. This asset-dependent conclusion, rather than any claim of universal superiority for either passive or active shielding, is this paper's central scientific contribution. The results here establish this architecture on fluence, mass, and first-order engineering-feasibility grounds; a specified but unexecuted HZETRN2020/Geant4 transport calculation is the next required step to establish it on dose grounds, and a coordinated cryogenic, power-system, and reliability engineering study is the next required step to establish it on detailed mission-feasibility grounds. We regard both as well-defined, tractable follow-on studies rather than open-ended uncertainties, and intend to pursue the transport calculation as the immediate next phase of this research program.</w:t>
      </w:r>
    </w:p>
    <w:p>
      <w:pPr>
        <w:pStyle w:val="Heading1"/>
        <w:spacing w:after="160" w:before="320"/>
      </w:pPr>
      <w:r>
        <w:rPr>
          <w:rFonts w:ascii="Times New Roman" w:cs="Times New Roman" w:eastAsia="Times New Roman" w:hAnsi="Times New Roman"/>
          <w:b/>
          <w:bCs/>
          <w:color w:val="1F4E79"/>
          <w:sz w:val="28"/>
          <w:szCs w:val="28"/>
        </w:rPr>
        <w:t xml:space="preserve">Use of Artificial Intelligence Tools</w:t>
      </w:r>
    </w:p>
    <w:p>
      <w:pPr>
        <w:spacing w:after="160" w:line="276"/>
        <w:jc w:val="both"/>
      </w:pPr>
      <w:r>
        <w:t>The author used a generative artificial intelligence large language model (Claude, Anthropic) for language editing, organizational restructuring, drafting of expanded narrative text in previously compressed subsections, and identification of relevant published benchmark literature (subsequently verified by the author against primary and agency sources cited in the reference list). All scientific concepts, simulation code, quantitative analyses, engineering calculations, interpretations, and conclusions were developed by the author, who takes full responsibility for the content, accuracy, and conclusions of this manuscript. The author reviewed and independently verified all quantitative claims, citations, and factual statements introduced or modified with AI assistance prior to submission.</w:t>
      </w:r>
    </w:p>
    <w:p>
      <w:pPr>
        <w:pStyle w:val="Heading1"/>
        <w:spacing w:after="160" w:before="320"/>
      </w:pPr>
      <w:r>
        <w:rPr>
          <w:rFonts w:ascii="Times New Roman" w:cs="Times New Roman" w:eastAsia="Times New Roman" w:hAnsi="Times New Roman"/>
          <w:b/>
          <w:bCs/>
          <w:color w:val="1F4E79"/>
          <w:sz w:val="28"/>
          <w:szCs w:val="28"/>
        </w:rPr>
        <w:t xml:space="preserve">Declaration of Competing Interests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declares that he has no known competing financial interests or personal relationships that could have appeared to influence the work reported in this paper. This research received no external funding.</w:t>
      </w:r>
    </w:p>
    <w:p>
      <w:pPr>
        <w:pStyle w:val="Heading1"/>
        <w:spacing w:after="160" w:before="320"/>
      </w:pPr>
      <w:r>
        <w:rPr>
          <w:rFonts w:ascii="Times New Roman" w:cs="Times New Roman" w:eastAsia="Times New Roman" w:hAnsi="Times New Roman"/>
          <w:b/>
          <w:bCs/>
          <w:color w:val="1F4E79"/>
          <w:sz w:val="28"/>
          <w:szCs w:val="28"/>
        </w:rPr>
        <w:t xml:space="preserve">Open Research</w:t>
      </w:r>
    </w:p>
    <w:p>
      <w:pPr>
        <w:spacing w:after="160" w:line="276"/>
        <w:jc w:val="both"/>
      </w:pPr>
      <w:r>
        <w:t>The relativistic Boris-pusher simulation code, geometry builders, and validation/parameter-sweep code underlying the SEP-attenuation physics of Sections 3–7 are openly available, without access restriction, at https://github.com/sandlerleon/magdome (MIT license) and are archived at the specific version cited here on Zenodo (Sandler, 2026a; https://doi.org/10.5281/zenodo.21179710, MIT license), and are cited in text at each point where they underpin a quantitative claim in Sections 3–7, consistent with AGU's data and software availability policy. The permanent-magnet feasibility calculation, engineering mass-budget Monte Carlo, ISRU allocation and regolith-multiplier sweep, and CSDA energy-fluence model underlying Sections 7–10 and their associated tables are openly available, without access restriction, at https://github.com/sandlerleon/lunar-isru-magnetic-shield-mass (MIT license) and are archived at the specific version cited here on Zenodo (Sandler, 2026b; https://doi.org/10.5281/zenodo.22548034, MIT license), including a machine-readable results file (mass_isru_results.json) reproducing every quantitative figure in Sections 7–10. The first-order engineering feasibility estimates in Section 11 are hand calculations reproduced in full in the text and tables of that section and do not require a separate code archive.</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40" w:line="264"/>
        <w:ind w:left="431" w:hanging="431"/>
      </w:pPr>
      <w:r>
        <w:rPr>
          <w:rFonts w:ascii="Times New Roman" w:cs="Times New Roman" w:eastAsia="Times New Roman" w:hAnsi="Times New Roman"/>
          <w:sz w:val="20"/>
          <w:szCs w:val="20"/>
        </w:rPr>
        <w:t xml:space="preserve">Agostinelli, S., et al. (2003). Geant4—a simulation toolkit. Nuclear Instruments and Methods in Physics Research A, 506(3), 250–303. https://doi.org/10.1016/S0168-9002(03)01368-8</w:t>
      </w:r>
    </w:p>
    <w:p>
      <w:pPr>
        <w:spacing w:after="140" w:line="264"/>
        <w:ind w:left="431" w:hanging="431"/>
      </w:pPr>
      <w:r>
        <w:rPr>
          <w:rFonts w:ascii="Times New Roman" w:cs="Times New Roman" w:eastAsia="Times New Roman" w:hAnsi="Times New Roman"/>
          <w:sz w:val="20"/>
          <w:szCs w:val="20"/>
        </w:rPr>
        <w:t xml:space="preserve">Bamford, R., Gibson, K.J., Thornton, A.J., et al. (2008). The interaction of a flowing plasma with a dipole magnetic field: measurements and modelling of a diamagnetic cavity relevant to spacecraft protection. Plasma Physics and Controlled Fusion, 50(12), 124025.</w:t>
      </w:r>
    </w:p>
    <w:p>
      <w:pPr>
        <w:spacing w:after="140" w:line="264"/>
        <w:ind w:left="431" w:hanging="431"/>
      </w:pPr>
      <w:r>
        <w:rPr>
          <w:rFonts w:ascii="Times New Roman" w:cs="Times New Roman" w:eastAsia="Times New Roman" w:hAnsi="Times New Roman"/>
          <w:sz w:val="20"/>
          <w:szCs w:val="20"/>
        </w:rPr>
        <w:t xml:space="preserve">Bamford, R.A., Kellett, B., Bradford, J., et al. (2014). An exploration of the effectiveness of artificial mini-magnetospheres as a potential solar storm shelter for long term human space missions. Acta Astronautica, 105(2), 385–394.</w:t>
      </w:r>
    </w:p>
    <w:p>
      <w:pPr>
        <w:spacing w:after="140" w:line="264"/>
        <w:ind w:left="431" w:hanging="431"/>
      </w:pPr>
      <w:r>
        <w:t>Blue Origin (2025). Blue Moon Mark 1. https://www.blueorigin.com/blue-moon/mark-1</w:t>
      </w:r>
    </w:p>
    <w:p>
      <w:pPr>
        <w:spacing w:after="140" w:line="264"/>
        <w:ind w:left="431" w:hanging="431"/>
      </w:pPr>
      <w:r>
        <w:rPr>
          <w:rFonts w:ascii="Times New Roman" w:cs="Times New Roman" w:eastAsia="Times New Roman" w:hAnsi="Times New Roman"/>
          <w:sz w:val="20"/>
          <w:szCs w:val="20"/>
        </w:rPr>
        <w:t xml:space="preserve">Boris, J.P. (1970). Relativistic plasma simulation—optimization of a hybrid code. Proceedings of the Fourth Conference on Numerical Simulation of Plasmas, 3–67. Naval Research Laboratory.</w:t>
      </w:r>
    </w:p>
    <w:p>
      <w:pPr>
        <w:spacing w:after="140" w:line="264"/>
        <w:ind w:left="431" w:hanging="431"/>
      </w:pPr>
      <w:r>
        <w:t>Creech, S., Chojnacki, K., Ortega, R., Percy, T.K., Van Dyke, M., Pearson, T., Criswell, K., Polsgrove, T., Lockett, T., Stott, J., &amp; Perry, B. (2025). Update on NASA's Human Landing System (HLS) Program: Public-Private Partnership Advancing Artemis Sustainable Lunar Exploration. Proceedings of the 76th International Astronautical Congress. NASA Technical Reports Server. https://ntrs.nasa.gov/citations/20250008727</w:t>
      </w:r>
    </w:p>
    <w:p>
      <w:pPr>
        <w:spacing w:after="140" w:line="264"/>
        <w:ind w:left="431" w:hanging="431"/>
      </w:pPr>
      <w:r>
        <w:rPr>
          <w:rFonts w:ascii="Times New Roman" w:cs="Times New Roman" w:eastAsia="Times New Roman" w:hAnsi="Times New Roman"/>
          <w:sz w:val="20"/>
          <w:szCs w:val="20"/>
        </w:rPr>
        <w:t xml:space="preserve">Deca, J., Divin, A., et al. (2018). Reiner Gamma albedo features reproduced by modeling solar wind standoff. Communications Physics, 1, 12.</w:t>
      </w:r>
    </w:p>
    <w:p>
      <w:pPr>
        <w:spacing w:after="140" w:line="264"/>
        <w:ind w:left="431" w:hanging="431"/>
      </w:pPr>
      <w:r>
        <w:rPr>
          <w:rFonts w:ascii="Times New Roman" w:cs="Times New Roman" w:eastAsia="Times New Roman" w:hAnsi="Times New Roman"/>
          <w:sz w:val="20"/>
          <w:szCs w:val="20"/>
        </w:rPr>
        <w:t xml:space="preserve">Garrick-Bethell, I., et al. (2019). Reiner Gamma: A Magnetized Elliptical Disk on the Moon. Geophysical Research Letters, 46, 5065–5074.</w:t>
      </w:r>
    </w:p>
    <w:p>
      <w:pPr>
        <w:spacing w:after="140" w:line="264"/>
        <w:ind w:left="431" w:hanging="431"/>
      </w:pPr>
      <w:r>
        <w:rPr>
          <w:rFonts w:ascii="Times New Roman" w:cs="Times New Roman" w:eastAsia="Times New Roman" w:hAnsi="Times New Roman"/>
          <w:sz w:val="20"/>
          <w:szCs w:val="20"/>
        </w:rPr>
        <w:t xml:space="preserve">Halbach, K. (1980). Design of permanent multipole magnets with oriented rare earth cobalt material. Nuclear Instruments and Methods, 169(1), 1–10.</w:t>
      </w:r>
    </w:p>
    <w:p>
      <w:pPr>
        <w:spacing w:after="140" w:line="264"/>
        <w:ind w:left="431" w:hanging="431"/>
      </w:pPr>
      <w:r>
        <w:rPr>
          <w:rFonts w:ascii="Times New Roman" w:cs="Times New Roman" w:eastAsia="Times New Roman" w:hAnsi="Times New Roman"/>
          <w:sz w:val="20"/>
          <w:szCs w:val="20"/>
        </w:rPr>
        <w:t xml:space="preserve">Hood, L.L., &amp; Schubert, G. (1980). Lunar magnetic anomalies and surface optical properties. Science, 208(4439), 49–51.</w:t>
      </w:r>
    </w:p>
    <w:p>
      <w:pPr>
        <w:spacing w:after="140" w:line="264"/>
        <w:ind w:left="431" w:hanging="431"/>
      </w:pPr>
      <w:r>
        <w:rPr>
          <w:rFonts w:ascii="Times New Roman" w:cs="Times New Roman" w:eastAsia="Times New Roman" w:hAnsi="Times New Roman"/>
          <w:sz w:val="20"/>
          <w:szCs w:val="20"/>
        </w:rPr>
        <w:t xml:space="preserve">International Astronautical Congress (2024). First data-based evaluation of the radiation protection capabilities of the AstroRad vest as flown onboard Artemis I. Proceedings of the 75th International Astronautical Congress, paper IAC-24,A1,5,7,x90503.</w:t>
      </w:r>
    </w:p>
    <w:p>
      <w:pPr>
        <w:spacing w:after="140" w:line="264"/>
        <w:ind w:left="431" w:hanging="431"/>
      </w:pPr>
      <w:r>
        <w:rPr>
          <w:rFonts w:ascii="Times New Roman" w:cs="Times New Roman" w:eastAsia="Times New Roman" w:hAnsi="Times New Roman"/>
          <w:sz w:val="20"/>
          <w:szCs w:val="20"/>
        </w:rPr>
        <w:t xml:space="preserve">NASA (2022). NASA-STD-3001, Volume 1, Revision B, Technical Brief OCHMO-TB-020: Design for Ionizing Radiation Protection. NASA Office of the Chief Health and Medical Officer.</w:t>
      </w:r>
    </w:p>
    <w:p>
      <w:pPr>
        <w:spacing w:after="140" w:line="264"/>
        <w:ind w:left="431" w:hanging="431"/>
      </w:pPr>
      <w:r>
        <w:rPr>
          <w:rFonts w:ascii="Times New Roman" w:cs="Times New Roman" w:eastAsia="Times New Roman" w:hAnsi="Times New Roman"/>
          <w:sz w:val="20"/>
          <w:szCs w:val="20"/>
        </w:rPr>
        <w:t xml:space="preserve">National Academies of Sciences, Engineering, and Medicine (2021). Space Radiation and Astronaut Health: Managing and Communicating Cancer Risks. Washington, DC: The National Academies Press.</w:t>
      </w:r>
    </w:p>
    <w:p>
      <w:pPr>
        <w:spacing w:after="140" w:line="264"/>
        <w:ind w:left="431" w:hanging="431"/>
      </w:pPr>
      <w:r>
        <w:rPr>
          <w:rFonts w:ascii="Times New Roman" w:cs="Times New Roman" w:eastAsia="Times New Roman" w:hAnsi="Times New Roman"/>
          <w:sz w:val="20"/>
          <w:szCs w:val="20"/>
        </w:rPr>
        <w:t xml:space="preserve">Reames, D.V. (2021). Solar Energetic Particles: A Modern Primer on Understanding Sources, Acceleration and Transport (2nd ed.). Springer.</w:t>
      </w:r>
    </w:p>
    <w:p>
      <w:pPr>
        <w:spacing w:after="140" w:line="264"/>
        <w:ind w:left="431" w:hanging="431"/>
      </w:pPr>
      <w:r>
        <w:rPr>
          <w:rFonts w:ascii="Times New Roman" w:cs="Times New Roman" w:eastAsia="Times New Roman" w:hAnsi="Times New Roman"/>
          <w:sz w:val="20"/>
          <w:szCs w:val="20"/>
        </w:rPr>
        <w:t xml:space="preserve">Sandler, L. (2026a). A Magnetic Dome for Lunar Surface Radiation Protection: A Magnetic Net Concept [Data set and code]. Zenodo. https://doi.org/10.5281/zenodo.21179710</w:t>
      </w:r>
    </w:p>
    <w:p>
      <w:pPr>
        <w:spacing w:after="140" w:line="264"/>
        <w:ind w:left="431" w:hanging="431"/>
      </w:pPr>
      <w:r>
        <w:t>Sandler, L. (2026b). Lunar ISRU Magnetic Shield Mass and Feasibility Analysis [Data set and code]. Zenodo. https://doi.org/10.5281/zenodo.22548034</w:t>
      </w:r>
    </w:p>
    <w:p>
      <w:pPr>
        <w:spacing w:after="140" w:line="264"/>
        <w:ind w:left="431" w:hanging="431"/>
      </w:pPr>
      <w:r>
        <w:rPr>
          <w:rFonts w:ascii="Times New Roman" w:cs="Times New Roman" w:eastAsia="Times New Roman" w:hAnsi="Times New Roman"/>
          <w:sz w:val="20"/>
          <w:szCs w:val="20"/>
        </w:rPr>
        <w:t xml:space="preserve">Schwadron, N.A., et al. (2010). Earth-Moon-Mars Radiation Environment Module framework. Space Weather, 8, S00E02.</w:t>
      </w:r>
    </w:p>
    <w:p>
      <w:pPr>
        <w:spacing w:after="140" w:line="264"/>
        <w:ind w:left="431" w:hanging="431"/>
      </w:pPr>
      <w:r>
        <w:rPr>
          <w:rFonts w:ascii="Times New Roman" w:cs="Times New Roman" w:eastAsia="Times New Roman" w:hAnsi="Times New Roman"/>
          <w:sz w:val="20"/>
          <w:szCs w:val="20"/>
        </w:rPr>
        <w:t xml:space="preserve">Simonsen, L.C., Nealy, J.E., Sauer, H.H., &amp; Townsend, L.W. (1990). Solar flare protection for manned lunar missions: analysis of the October 1989 proton flare event. NASA Technical Paper. Historical BFO dose estimates for the August 1972, November 1960, and February 1956 events as reported in the space radiation protection literature.</w:t>
      </w:r>
    </w:p>
    <w:p>
      <w:pPr>
        <w:spacing w:after="140" w:line="264"/>
        <w:ind w:left="431" w:hanging="431"/>
      </w:pPr>
      <w:r>
        <w:rPr>
          <w:rFonts w:ascii="Times New Roman" w:cs="Times New Roman" w:eastAsia="Times New Roman" w:hAnsi="Times New Roman"/>
          <w:sz w:val="20"/>
          <w:szCs w:val="20"/>
        </w:rPr>
        <w:t xml:space="preserve">Slaba, T., Wilson, J., Werneth, C., &amp; Whitman, K. (2020). Updated deterministic radiation transport for future deep space missions. Life Sciences in Space Research, 27, 6–18. https://doi.org/10.1016/j.lssr.2020.06.004</w:t>
      </w:r>
    </w:p>
    <w:p>
      <w:pPr>
        <w:spacing w:after="140" w:line="264"/>
        <w:ind w:left="431" w:hanging="431"/>
      </w:pPr>
      <w:r>
        <w:rPr>
          <w:rFonts w:ascii="Times New Roman" w:cs="Times New Roman" w:eastAsia="Times New Roman" w:hAnsi="Times New Roman"/>
          <w:sz w:val="20"/>
          <w:szCs w:val="20"/>
        </w:rPr>
        <w:t xml:space="preserve">Wilson, J.W., Townsend, L.W., Schimmerling, W., et al. (1991). Transport methods and interactions for space radiations. NASA Reference Publication 1257.</w:t>
      </w:r>
    </w:p>
    <w:p>
      <w:pPr>
        <w:spacing w:after="140" w:line="264"/>
        <w:ind w:left="431" w:hanging="431"/>
      </w:pPr>
      <w:r>
        <w:rPr>
          <w:rFonts w:ascii="Times New Roman" w:cs="Times New Roman" w:eastAsia="Times New Roman" w:hAnsi="Times New Roman"/>
          <w:sz w:val="20"/>
          <w:szCs w:val="20"/>
        </w:rPr>
        <w:t xml:space="preserve">Winglee, R.M., Slough, J., Ziemba, T., &amp; Goodson, A. (2000). Mini-Magnetospheric Plasma Propulsion: Tapping the energy of the solar wind for spacecraft propulsion. Journal of Geophysical Research: Space Physics, 105(A9), 21067–21077.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Mass-Minimized Lunar Radiation Protection Using In-Situ Regolith and Distributed Magnetic Shielding</dc:title>
  <dc:creator>Leon Sandler</dc:creator>
  <cp:lastModifiedBy>Un-named</cp:lastModifiedBy>
  <cp:revision>1</cp:revision>
  <dcterms:created xsi:type="dcterms:W3CDTF">2026-09-06T15:07:08.356Z</dcterms:created>
  <dcterms:modified xsi:type="dcterms:W3CDTF">2026-09-06T15:07:08.356Z</dcterms:modified>
</cp:coreProperties>
</file>

<file path=docProps/custom.xml><?xml version="1.0" encoding="utf-8"?>
<Properties xmlns="http://schemas.openxmlformats.org/officeDocument/2006/custom-properties" xmlns:vt="http://schemas.openxmlformats.org/officeDocument/2006/docPropsVTypes"/>
</file>