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Response to Editor Comments — Manuscript 2026SW005387</w:t>
      </w:r>
    </w:p>
    <w:p>
      <w:r>
        <w:t>Below, each point raised in the editor's decision letter of September 4, 2026 is quoted or paraphrased, followed by a description of how the manuscript has been modified in response. Section and table numbers refer to the revised manuscript.</w:t>
      </w:r>
    </w:p>
    <w:p>
      <w:pPr>
        <w:pStyle w:val="Heading2"/>
      </w:pPr>
      <w:r>
        <w:t>Editor Comment 1</w:t>
      </w:r>
    </w:p>
    <w:p>
      <w:r>
        <w:t>“The present manuscript builds on, and refers to, prior unpublished work (Sandler 2026, archived at Zenodo). Where the work relies on previous unpublished work by the author this should be included in the present manuscript so that it can be adequately assessed in the peer review process.”</w:t>
      </w:r>
    </w:p>
    <w:p>
      <w:r>
        <w:t>Response:</w:t>
      </w:r>
    </w:p>
    <w:p>
      <w:r>
        <w:t>I agree, and this was the single largest structural change made in this revision. Sections 3 (Shield Architectures), 4 (Particle Simulation Method), 5 (Numerical Verification and Convergence), and 6 (Shielding Performance: Baseline Comparison, Scaling Laws, and Helical Winding) now present, in full narrative and quantitative detail, the dipole field model, the relativistic Boris-pusher integration scheme and its adaptive time-stepping, the three independent verification checks (analytic gyroradius convergence, time-step insensitivity of the transmission metric, and Monte Carlo particle-count convergence), the baseline transmission results (Table 1), the E50 ∝ M² moment-budget scaling law and its physical derivation, the site-spacing design rule, and the chiral-winding transport effect — all of which were previously described only summarily, with the reader referred to the unpublished Zenodo archive for detail.</w:t>
      </w:r>
    </w:p>
    <w:p>
      <w:r>
        <w:t>The Zenodo record (Sandler, 2026a) is now cited solely as a code and data repository in the Open Research section, consistent with AGU's data and software availability policy, and no scientific claim in the manuscript depends on content that is not also explained or reproduced in the manuscript body itself. I believe the manuscript can now be assessed as a self-contained study without reference to any unpublished external material.</w:t>
      </w:r>
    </w:p>
    <w:p>
      <w:pPr>
        <w:pStyle w:val="Heading2"/>
      </w:pPr>
      <w:r>
        <w:t>Editor Comment 2</w:t>
      </w:r>
    </w:p>
    <w:p>
      <w:r>
        <w:t>“I note also that the feasibility does not sufficiently address things like available launch capacity, required cooling, power feasibility, etc.”</w:t>
      </w:r>
    </w:p>
    <w:p>
      <w:r>
        <w:t>Response:</w:t>
      </w:r>
    </w:p>
    <w:p>
      <w:r>
        <w:t>I have added an entirely new Section 11, “Engineering Feasibility: Launch, Cooling, Power, and Reliability,” with four subsections directly addressing this comment.</w:t>
      </w:r>
    </w:p>
    <w:p>
      <w:r>
        <w:t>Section 11.1 (Launch and deployment feasibility) compares this paper's Earth-launched mass figures (81.0 t and 46.4 t) against publicly reported lunar-surface delivery capacities of vehicles under development for the Artemis program (the NASA/Blue Origin Human-Class Delivery Lander cargo variant and the Blue Moon Mark 1 lander, the two capacities NASA and Blue Origin have each publicly quantified by name), presented in Table 6, and discusses the modular, multi-flight delivery profile the 22-coil array's footprint requires regardless of any single vehicle's payload capacity.</w:t>
      </w:r>
    </w:p>
    <w:p>
      <w:r>
        <w:t>Section 11.2 (Cryogenic and thermal feasibility) provides first-order estimates of per-coil and total cryogenic heat load, cryocooler electrical power demand (≈55 kW), and identifies lunar diurnal radiator sizing as the critical open parameter, consistent with the thermal-cycling margin already carried in the Section 9 mass budget (Table 7).</w:t>
      </w:r>
    </w:p>
    <w:p>
      <w:r>
        <w:t>Section 11.3 (Power feasibility) extends this to a total continuous electrical power estimate (≈60–65 kW), a photovoltaic array sizing estimate for lunar daytime operation, and an explicit discussion of the lunar-night power gap, which I identify as most plausibly requiring a nuclear surface power source such as NASA's Fission Surface Power program, or acceptance of day-only shield operation.</w:t>
      </w:r>
    </w:p>
    <w:p>
      <w:r>
        <w:t>I have labeled all of these estimates explicitly as first-order, order-of-magnitude engineering figures, not the output of a detailed thermal or power-system design study, and have identified detailed follow-on engineering work as a specific item in the Limitations and Future Work section (Section 14), so that the manuscript does not overstate the maturity of this analysis.</w:t>
      </w:r>
    </w:p>
    <w:p>
      <w:pPr>
        <w:pStyle w:val="Heading2"/>
      </w:pPr>
      <w:r>
        <w:t>Editor Comment 3</w:t>
      </w:r>
    </w:p>
    <w:p>
      <w:r>
        <w:t>“On a related note, the level of shielding should be related to human or technological impact. If the primary aim is protection of humans, the level of shielding should relate to dose rates and should also provide comparison to current approaches (e.g., habitats, water-filled wearable shielding, etc.)”</w:t>
      </w:r>
    </w:p>
    <w:p>
      <w:r>
        <w:t>Response:</w:t>
      </w:r>
    </w:p>
    <w:p>
      <w:r>
        <w:t>Section 10 has been substantially expanded to address this directly. Section 10.2 (“What the shielding metric means for human and technological risk”) is new and connects the paper's ΔF_E metric to NASA's actual permissible exposure limits (250 mGy-Eq 30-day BFO limit; 600 mSv career effective-dose limit) and to historical unshielded SEP-event BFO dose estimates (62–411 cSv for the largest 20th-century events), making explicit why fluence reduction matters and what threshold it must be evaluated against.</w:t>
      </w:r>
    </w:p>
    <w:p>
      <w:r>
        <w:t>Section 10.3 (“Benchmark comparison against current shielding approaches”) is new and directly responds to the request for comparison against current approaches. Table 5 places the AstroRad wearable vest's flight-validated dose-reduction figures (40–62%, event-dependent, from the Artemis I MARE experiment) alongside this paper's regolith-cladding and magnetic-fence fluence-reduction figures, and discusses both the encouraging numerical similarity and the important caveat that a dose-based figure for my own architecture is not yet available.</w:t>
      </w:r>
    </w:p>
    <w:p>
      <w:r>
        <w:t>I have been careful not to overstate this comparison: because my own architecture's numbers remain fluence-based (ΔF_E) rather than dose-based (ΔD), Section 10.4 fully specifies, as the paper's required next step, the HZETRN2020/Geant4 transport calculation chain that would produce a directly comparable dose figure. I regard this as the single highest-priority follow-on task identified anywhere in the paper (see also Section 14) and would rather state this limitation plainly than claim a dose-equivalence the present analysis does not support.</w:t>
      </w:r>
    </w:p>
    <w:p>
      <w:pPr>
        <w:pStyle w:val="Heading2"/>
      </w:pPr>
      <w:r>
        <w:t>Editor Comment 4</w:t>
      </w:r>
    </w:p>
    <w:p>
      <w:r>
        <w:t>“The structure of the manuscript also needs revision. Each subsection is either a paragraph or a table — this is unnecessarily brief and given the short length of the manuscript, an appropriate amount of background, context from extant literature, and relevant discussion should be given.”</w:t>
      </w:r>
    </w:p>
    <w:p>
      <w:r>
        <w:t>Response:</w:t>
      </w:r>
    </w:p>
    <w:p>
      <w:r>
        <w:t>Every subsection in the manuscript has been rewritten as full narrative prose; none consists solely of a table or a single short paragraph. Section 1 (Introduction) has been expanded substantially to review the lunar SEP radiation environment, historical event severity, passive shielding's applicability limits, the mini-magnetosphere literature (Winglee et al., 2000; Bamford et al., 2008, 2014), and lunar magnetic-anomaly analogs (Hood &amp; Schubert, 1980; Deca et al., 2018; Garrick-Bethell et al., 2019), before motivating the distributed-fence concept and this paper's specific contributions.</w:t>
      </w:r>
    </w:p>
    <w:p>
      <w:r>
        <w:t>A new Section 2 (“Radiation Protection Requirements for Lunar Surface Assets”) provides the asset-class framework — habitats, fixed equipment, rovers, EVA crew, distributed infrastructure — that the editor's comment on shielding-versus-impact (Comment 3) and the paper's own architectural conclusion both depend on, and which was entirely absent from the original submission.</w:t>
      </w:r>
    </w:p>
    <w:p>
      <w:r>
        <w:t>A new Section 13 (Discussion) has been added between the technology-readiness assessment and the limitations/conclusion, interpreting the results, stating the paper’s central asset-dependent architectural conclusion explicitly, and discussing the interaction between the mass, dose, and engineering-feasibility findings rather than leaving each in an isolated results section. In addition, the paper now opens with an executive-summary table (Table 1) that states, for each claim tested, the literature-anchored constraint and the outcome, and Sections 7–11 are framed explicitly as a set of independent consistency tests, each of which can be evaluated — and can fail — without requiring the whole architecture to be redesigned. Three figures accompany the quantitative sections and are regenerated directly from the archived model code.</w:t>
      </w:r>
    </w:p>
    <w:p>
      <w:pPr>
        <w:pStyle w:val="Heading2"/>
      </w:pPr>
      <w:r>
        <w:t>Editor Comment 5</w:t>
      </w:r>
    </w:p>
    <w:p>
      <w:r>
        <w:t>“The manuscript should also include a brief statement about any use of LLMs in the preparation of the manuscript.”</w:t>
      </w:r>
    </w:p>
    <w:p>
      <w:r>
        <w:t>Response:</w:t>
      </w:r>
    </w:p>
    <w:p>
      <w:r>
        <w:t>A “Use of Artificial Intelligence Tools” statement has been added directly after the Conclusion, disclosing the specific uses made of a large language model (language editing, organizational restructuring, drafting assistance in previously compressed subsections, and literature identification subsequently verified by the author) and affirming that all scientific content, analysis, and conclusions are the author's own and were independently verified.</w:t>
      </w:r>
    </w:p>
    <w:p>
      <w:pPr>
        <w:pStyle w:val="Heading2"/>
      </w:pPr>
      <w:r>
        <w:t>Editor Comment 6</w:t>
      </w:r>
    </w:p>
    <w:p>
      <w:r>
        <w:t>AGU checklist and policy items: response-to-reviewer file, marked-changes copy, final files, conflicts-of-interest declaration, Open Research/data availability statement with in-text citations, and ORCID registration.</w:t>
      </w:r>
    </w:p>
    <w:p>
      <w:r>
        <w:t>Response:</w:t>
      </w:r>
    </w:p>
    <w:p>
      <w:r>
        <w:t>This document serves as the response-to-reviewer file. A copy of the manuscript with changes tracked and a clean final copy are provided separately, together with the three figure files. The figures are produced by a generation script deposited alongside the model code, so each plotted value traces to the same archived calculation that produces the corresponding table.</w:t>
      </w:r>
    </w:p>
    <w:p>
      <w:r>
        <w:t>A “Declaration of Competing Interests” section is included in the manuscript stating that the author has no competing interests and that the work received no external funding.</w:t>
      </w:r>
    </w:p>
    <w:p>
      <w:r>
        <w:t>A dedicated “Open Research” section is included, with in-text citations to both Zenodo/GitHub repositories (Sandler, 2026a for the Sections 3–7 simulation code; Sandler, 2026b for the Sections 7–10 feasibility, ISRU, and CSDA calculations) and full citations in the reference list, consistent with AGU's Data &amp; Software for Authors guidance.</w:t>
      </w:r>
    </w:p>
    <w:p>
      <w:r>
        <w:t>The author will register for and provide an ORCID identifier in the submission portal prior to resubmission, as requested.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