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Leon Sandler</w:t>
      </w:r>
    </w:p>
    <w:p>
      <w:r>
        <w:t>Independent Researcher</w:t>
      </w:r>
    </w:p>
    <w:p>
      <w:r>
        <w:t>Northbrook, Illinois, USA</w:t>
      </w:r>
    </w:p>
    <w:p>
      <w:r>
        <w:t>sandler.leon@gmail.com</w:t>
      </w:r>
    </w:p>
    <w:p>
      <w:r>
        <w:t>September 5, 2026</w:t>
      </w:r>
    </w:p>
    <w:p>
      <w:r>
        <w:t>Editor-in-Chief</w:t>
      </w:r>
    </w:p>
    <w:p>
      <w:r>
        <w:t>Neuroscience &amp; Biobehavioral Reviews</w:t>
      </w:r>
    </w:p>
    <w:p>
      <w:r>
        <w:t>Elsevier</w:t>
      </w:r>
    </w:p>
    <w:p>
      <w:r>
        <w:t>Dear Editor,</w:t>
      </w:r>
    </w:p>
    <w:p>
      <w:r>
        <w:t>I am pleased to submit my manuscript, “Endocrine State and Soluble Proteoforms as Convergent Regulators of Synaptic Plasticity: Implications for Menopause and Early Neurodegeneration,” for consideration as a review article in Neuroscience &amp; Biobehavioral Reviews.</w:t>
      </w:r>
    </w:p>
    <w:p>
      <w:r>
        <w:t>The manuscript synthesizes two literatures that are usually studied in almost complete isolation: the neuroendocrinology of the menopause transition, and the molecular synaptotoxicity of soluble, pre-plaque amyloid-β (Aβ) oligomers in early Alzheimer’s-type neurodegeneration. Both bodies of evidence converge, independently, on overlapping hippocampal synaptic machinery: estrogen and the neurosteroid allopregnanolone regulate excitatory-inhibitory balance through ERβ, GPER1, and GABA-A δ-subunit-containing receptors, while soluble Aβ oligomers facilitate NMDA-receptor- and mGluR1-dependent long-term depression (LTD) through convergent calcineurin/AKAP150 signaling. We situate both literatures within Bienenstock-Cooper-Munro (BCM) metaplasticity theory and propose a specific, falsifiable hypothesis: that declining endocrine tone and rising proteoform burden act on convergent postsynaptic machinery to jointly shift the threshold for pathologically facilitated synaptic weakening.</w:t>
      </w:r>
    </w:p>
    <w:p>
      <w:r>
        <w:t>The manuscript is deliberately structured around the mechanistic question — does endocrine state alter susceptibility to proteoform-driven synaptic metaplasticity? — rather than around any treatment proposal. We explicitly distinguish perimenopausal mood symptoms, subjective cognitive complaints, objective mild cognitive impairment, and diagnosed Alzheimer’s disease as clinically separate entities that should not be conflated; weigh the central convergence hypothesis against four competing explanatory models (independent parallel pathways, one-directional gating, reverse causation, and a shared upstream driver); and present a structured, falsifiable research agenda specifying the experiments needed to confirm, partially confirm, or refute the proposed convergence. We believe this cross-disciplinary synthesis, and the accompanying evidence-weighted table separating what is independently established from what is hypothesized, will be of direct interest to NBR’s readership at the intersection of neuroendocrinology, synaptic plasticity, and sex differences in neurodegeneration.</w:t>
      </w:r>
    </w:p>
    <w:p>
      <w:r>
        <w:t>The manuscript is explicit about what is and is not yet established: it is a conceptual/theoretical review reporting no new clinical or preclinical data, the estrogen-plasticity literature is more heterogeneous than a simple “estrogen opposes LTD” narrative (Section 3.1), the hormone-therapy/cognition randomized-trial literature is substantially null-to-mixed (Section 3.3), and the central convergence hypothesis has not been directly tested in any single experimental system (Section 8). We state plainly that the review does not establish, and should not be read as establishing, a clinical indication for hormone therapy, anti-amyloid therapy, or any other intervention in perimenopausal mood or cognitive symptoms (Sections 6–7).</w:t>
      </w:r>
    </w:p>
    <w:p>
      <w:r>
        <w:t>This manuscript is original, has not been published previously, and is not under consideration at any other journal. I am the sole author and have approved the manuscript for submission. I have no conflicts of interest to declare, and this work received no external funding.</w:t>
      </w:r>
    </w:p>
    <w:p>
      <w:r>
        <w:t>The conceptual-framework figures and structured evidence tables described in the manuscript are openly available at https://github.com/sandlerleon/menopause-proteoform-synaptic-metaplasticity (MIT license) and archived with a permanent DOI on Zenodo: https://doi.org/10.5281/zenodo.22421311. The manuscript itself is additionally archived as a preprint on Zenodo: https://doi.org/10.5281/zenodo.22421316.</w:t>
      </w:r>
    </w:p>
    <w:p>
      <w:r>
        <w:t>Thank you for considering this manuscript. I would be glad to suggest potential reviewers or provide any further information the editorial office may need.</w:t>
      </w:r>
    </w:p>
    <w:p>
      <w:r>
        <w:t>Sincerely,</w:t>
      </w:r>
    </w:p>
    <w:p>
      <w:r>
        <w:t>Leon Sandler</w:t>
      </w:r>
    </w:p>
    <w:p>
      <w:r>
        <w:t>Independent Researcher</w:t>
      </w:r>
    </w:p>
    <w:p>
      <w:r>
        <w:t>sandler.leon@gmail.com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