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i w:val="0"/>
        </w:rPr>
        <w:t>Leon Sandler</w:t>
      </w:r>
    </w:p>
    <w:p>
      <w:pPr>
        <w:spacing w:after="0"/>
      </w:pPr>
      <w:r>
        <w:rPr>
          <w:b w:val="0"/>
          <w:i w:val="0"/>
        </w:rPr>
        <w:t>Independent Researcher</w:t>
      </w:r>
    </w:p>
    <w:p>
      <w:pPr>
        <w:spacing w:after="0"/>
      </w:pPr>
      <w:r>
        <w:rPr>
          <w:b w:val="0"/>
          <w:i w:val="0"/>
        </w:rPr>
        <w:t>Northbrook, IL, USA</w:t>
      </w:r>
    </w:p>
    <w:p>
      <w:pPr>
        <w:spacing w:after="320"/>
      </w:pPr>
      <w:r>
        <w:rPr>
          <w:b w:val="0"/>
          <w:i w:val="0"/>
        </w:rPr>
        <w:t>sandler.leon@gmail.com</w:t>
      </w:r>
    </w:p>
    <w:p>
      <w:pPr>
        <w:spacing w:after="320"/>
      </w:pPr>
      <w:r>
        <w:rPr>
          <w:b w:val="0"/>
          <w:i w:val="0"/>
        </w:rPr>
        <w:t>September 12, 2026</w:t>
      </w:r>
    </w:p>
    <w:p>
      <w:pPr>
        <w:spacing w:after="0"/>
      </w:pPr>
      <w:r>
        <w:rPr>
          <w:b w:val="0"/>
          <w:i w:val="0"/>
        </w:rPr>
        <w:t>Editor-in-Chief</w:t>
      </w:r>
    </w:p>
    <w:p>
      <w:pPr>
        <w:spacing w:after="0"/>
      </w:pPr>
      <w:r>
        <w:rPr>
          <w:b w:val="0"/>
          <w:i w:val="0"/>
        </w:rPr>
        <w:t>Advanced Immunology</w:t>
      </w:r>
    </w:p>
    <w:p>
      <w:pPr>
        <w:spacing w:after="320"/>
      </w:pPr>
      <w:r>
        <w:rPr>
          <w:b w:val="0"/>
          <w:i w:val="0"/>
        </w:rPr>
        <w:t>Wiley</w:t>
      </w:r>
    </w:p>
    <w:p>
      <w:pPr>
        <w:spacing w:after="240"/>
      </w:pPr>
      <w:r>
        <w:rPr>
          <w:b w:val="0"/>
          <w:i w:val="0"/>
        </w:rPr>
        <w:t>Dear Dr. Bream,</w:t>
      </w:r>
    </w:p>
    <w:p>
      <w:pPr>
        <w:spacing w:after="200"/>
      </w:pPr>
      <w:r>
        <w:rPr>
          <w:b w:val="0"/>
          <w:i w:val="0"/>
        </w:rPr>
        <w:t>I am pleased to submit my manuscript, “Targeting Neuroimmune Interfaces in Depression with Engineered Autologous Immune Cells: A Falsifiable Preclinical Framework,” for consideration as a hypothesis/perspective article in Advanced Immunology. It is a conceptual paper: it reports no new experimental data, and I would be glad to have it considered under whichever article type the journal deems appropriate for theoretical contributions of this kind.</w:t>
      </w:r>
    </w:p>
    <w:p>
      <w:pPr>
        <w:spacing w:after="200"/>
      </w:pPr>
      <w:r>
        <w:rPr>
          <w:b w:val="0"/>
          <w:i w:val="0"/>
        </w:rPr>
        <w:t>The manuscript proposes an immunotherapy design paradigm rather than a psychiatric treatment. Peripheral immune dysregulation is an established feature of a biologically identifiable subset of depression, but immunological intervention in psychiatry has so far consisted of systemic anti-cytokine biologics borrowed from rheumatology, which distribute indiscriminately and have shown benefit only in biomarker-selected patients. I ask instead what it would take to build a cell-based intervention that acts at a specific immunological niche: the CNS border compartments — the meningeal and dural sinus spaces and the choroid plexus — where immune cells are already known to modulate mood- and cognition-relevant circuits without crossing the parenchymal blood–brain barrier.</w:t>
      </w:r>
    </w:p>
    <w:p>
      <w:pPr>
        <w:spacing w:after="200"/>
      </w:pPr>
      <w:r>
        <w:rPr>
          <w:b w:val="0"/>
          <w:i w:val="0"/>
        </w:rPr>
        <w:t>Because the paper's contribution is mechanistic rather than clinical, most of its length is devoted to the immunology that would have to hold for the hypothesis to be viable: the cellular targets at each interface, including border-associated macrophage populations and meningeal T-cell subsets; the specific receptor–ligand cascades through which a locally secreted payload would act (IL-10R→JAK1/TYK2→STAT3→SOCS3 suppression of NF-κB-driven transcription; TGF-βR→SMAD2/3 maintenance of the microglial homeostatic signature); the synthetic-biology controls that locality and dose regulation would require; and an explicit enumeration of the mechanisms by which the approach could cause harm, with CAR-T-associated neurotoxicity and its endothelial/blood–brain barrier component treated as the closest available human safety signal rather than as an unrelated precedent.</w:t>
      </w:r>
    </w:p>
    <w:p>
      <w:pPr>
        <w:spacing w:after="200"/>
      </w:pPr>
      <w:r>
        <w:rPr>
          <w:b w:val="0"/>
          <w:i w:val="0"/>
        </w:rPr>
        <w:t>Three features may be of particular interest to reviewers. First, the manuscript includes a mechanistic evidence chain assigning each link an explicit status — Demonstrated, Supported, Contested, or Proposed — so that the weakest steps are identifiable at a glance rather than obscured by the framing; four of the twelve links are labelled Proposed, with no supporting data. Second, the engineering payloads are tiered by evidence strength, and the most speculative of them (engineered immune-cell dopaminergic signalling) is explicitly confined to the lowest tier and flagged as the component most likely to be falsified. Third, the preclinical programme inverts the usual hierarchy for this subject matter: trafficking, cell persistence, and interface immune-state endpoints are primary, behavioural endpoints are tertiary, and forced-swim immobility is excluded as a primary measure. Eight falsification criteria are specified, including two under which immune-state matching would be shown to increase rather than reduce immunological risk.</w:t>
      </w:r>
    </w:p>
    <w:p>
      <w:pPr>
        <w:spacing w:after="200"/>
      </w:pPr>
      <w:r>
        <w:rPr>
          <w:b w:val="0"/>
          <w:i w:val="0"/>
        </w:rPr>
        <w:t>I have been deliberate about what the paper does not claim. Dopamine is not proposed as a delivery mechanism — it does not cross the blood–brain barrier, and the manuscript says so directly. The four depression-associated phenotypes discussed (postpartum, chronic treatment-resistant, post-deployment, and perimenopausal) are treated as test cases for whether partially overlapping immune states can be identified and manipulated, not as conditions asserted to share a common signature, since no cross-phenotype study has tested that. No construct has been built and no animal or human study has been performed.</w:t>
      </w:r>
    </w:p>
    <w:p>
      <w:pPr>
        <w:spacing w:after="200"/>
      </w:pPr>
      <w:r>
        <w:rPr>
          <w:b w:val="0"/>
          <w:i w:val="0"/>
        </w:rPr>
        <w:t>This manuscript is original, has not been published previously, and is not under consideration at any other journal. I am the sole author and have approved it for submission. I have no competing interests to declare, and this work received no external funding. Generative AI (Claude, Anthropic) was used to assist with literature synthesis and drafting; this is disclosed in the manuscript, no AI tool is listed as an author, and I take full responsibility for the content.</w:t>
      </w:r>
    </w:p>
    <w:p>
      <w:pPr>
        <w:spacing w:after="200"/>
      </w:pPr>
      <w:r>
        <w:rPr>
          <w:b w:val="0"/>
          <w:i w:val="0"/>
        </w:rPr>
        <w:t>The code generating the two conceptual figures, together with the script used to verify every reference in the bibliography against Crossref, is openly available at https://github.com/sandlerleon/neuroimmune-interfaces-depression (MIT licence) and archived with a permanent DOI on Zenodo: https://doi.org/10.5281/zenodo.22730126 (concept DOI, always resolves to the latest version). The manuscript itself is additionally archived as a preprint on Zenodo: https://doi.org/10.5281/zenodo.22730124.</w:t>
      </w:r>
    </w:p>
    <w:p>
      <w:pPr>
        <w:spacing w:after="200"/>
      </w:pPr>
      <w:r>
        <w:rPr>
          <w:b w:val="0"/>
          <w:i w:val="0"/>
        </w:rPr>
        <w:t>Thank you for considering this manuscript. I would be glad to suggest potential reviewers with expertise in border immunology, engineered cell therapy, or neuroimmune contributions to mood disorders, and I am happy to revise the formatting — abstract length, figure and reference counts, article-type designation — to match the journal's author guidelines for this article type.</w:t>
      </w:r>
    </w:p>
    <w:p>
      <w:pPr>
        <w:spacing w:after="0"/>
      </w:pPr>
      <w:r>
        <w:rPr>
          <w:b w:val="0"/>
          <w:i w:val="0"/>
        </w:rPr>
        <w:t>Sincerely,</w:t>
      </w:r>
    </w:p>
    <w:p>
      <w:pPr>
        <w:spacing w:after="0"/>
      </w:pPr>
      <w:r>
        <w:rPr>
          <w:b w:val="0"/>
          <w:i w:val="0"/>
        </w:rPr>
        <w:t>Leon Sandler</w:t>
      </w:r>
    </w:p>
    <w:p>
      <w:pPr>
        <w:spacing w:after="0"/>
      </w:pPr>
      <w:r>
        <w:rPr>
          <w:b w:val="0"/>
          <w:i w:val="0"/>
        </w:rPr>
        <w:t>Independent Researcher</w:t>
      </w:r>
    </w:p>
    <w:p>
      <w:pPr>
        <w:spacing w:after="0"/>
      </w:pPr>
      <w:r>
        <w:rPr>
          <w:b w:val="0"/>
          <w:i w:val="0"/>
        </w:rPr>
        <w:t>sandler.leon@gmail.com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