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val="0"/>
          <w:sz w:val="21"/>
        </w:rPr>
        <w:t>Leon Sandler</w:t>
      </w:r>
    </w:p>
    <w:p>
      <w:pPr>
        <w:spacing w:after="0"/>
      </w:pPr>
      <w:r>
        <w:rPr>
          <w:b w:val="0"/>
          <w:sz w:val="21"/>
        </w:rPr>
        <w:t>Independent Researcher</w:t>
      </w:r>
    </w:p>
    <w:p>
      <w:pPr>
        <w:spacing w:after="0"/>
      </w:pPr>
      <w:r>
        <w:rPr>
          <w:b w:val="0"/>
          <w:sz w:val="21"/>
        </w:rPr>
        <w:t>Northbrook, Illinois 60062, United States</w:t>
      </w:r>
    </w:p>
    <w:p>
      <w:pPr>
        <w:spacing w:after="280"/>
      </w:pPr>
      <w:r>
        <w:rPr>
          <w:b w:val="0"/>
          <w:sz w:val="21"/>
        </w:rPr>
        <w:t>sandler.leon@gmail.com | ORCID 0009-0007-4584-808X</w:t>
      </w:r>
    </w:p>
    <w:p>
      <w:pPr>
        <w:spacing w:after="0"/>
      </w:pPr>
      <w:r>
        <w:rPr>
          <w:b w:val="0"/>
          <w:sz w:val="21"/>
        </w:rPr>
        <w:t>The Editors</w:t>
      </w:r>
    </w:p>
    <w:p>
      <w:pPr>
        <w:spacing w:after="280"/>
      </w:pPr>
      <w:r>
        <w:rPr>
          <w:b w:val="0"/>
          <w:sz w:val="21"/>
        </w:rPr>
        <w:t>BioEssays</w:t>
      </w:r>
    </w:p>
    <w:p>
      <w:pPr>
        <w:spacing w:after="200"/>
      </w:pPr>
      <w:r>
        <w:rPr>
          <w:b w:val="0"/>
          <w:sz w:val="22"/>
        </w:rPr>
        <w:t>Dear Editors,</w:t>
      </w:r>
    </w:p>
    <w:p>
      <w:pPr>
        <w:spacing w:after="200"/>
      </w:pPr>
      <w:r>
        <w:rPr>
          <w:b w:val="0"/>
          <w:sz w:val="22"/>
        </w:rPr>
        <w:t>I am submitting the enclosed manuscript, “Repair Fidelity as a Control Parameter Linking Cancer Resistance and Longevity: a bistable order–repair hypothesis inspired by the bowhead whale,” for consideration as a Hypotheses article.</w:t>
      </w:r>
    </w:p>
    <w:p>
      <w:pPr>
        <w:spacing w:after="200"/>
      </w:pPr>
      <w:r>
        <w:rPr>
          <w:b w:val="0"/>
          <w:sz w:val="22"/>
        </w:rPr>
        <w:t>The central proposal is that DNA-repair fidelity is not simply a determinant of mutation rate but a control parameter governing whether multicellular tissue remains in a stable cooperative state. The recent demonstration that the bowhead whale resists cancer through enhanced and accurate repair rather than through additional tumour-suppressor barriers (Firsanov et al., Nature, 2025) is the empirical entry point, but the hypothesis is general: it asks whether cancer resistance and age-associated tissue decline are two readouts of a single repair parameter rather than two traits that happen to co-occur.</w:t>
      </w:r>
    </w:p>
    <w:p>
      <w:pPr>
        <w:spacing w:after="80"/>
      </w:pPr>
      <w:r>
        <w:rPr>
          <w:b/>
          <w:sz w:val="22"/>
        </w:rPr>
        <w:t>Why this may suit BioEssays</w:t>
      </w:r>
    </w:p>
    <w:p>
      <w:pPr>
        <w:spacing w:after="200"/>
      </w:pPr>
      <w:r>
        <w:rPr>
          <w:b w:val="0"/>
          <w:sz w:val="22"/>
        </w:rPr>
        <w:t>The paper is a conceptual framework with explicit predictions rather than a report of new data, and it engages a question of broad interest across cancer biology, ageing research and comparative physiology. It also makes a point of separating what is published, what the model contributes as interpretation, and what remains speculation — a distinction carried through a dedicated table and repeated in the limitations. BioEssays has published closely related conceptual work on the atavistic model of cancer, to which this hypothesis is compatible but which it deliberately does not require.</w:t>
      </w:r>
    </w:p>
    <w:p>
      <w:pPr>
        <w:spacing w:after="80"/>
      </w:pPr>
      <w:r>
        <w:rPr>
          <w:b/>
          <w:sz w:val="22"/>
        </w:rPr>
        <w:t>What the model contributes</w:t>
      </w:r>
    </w:p>
    <w:p>
      <w:pPr>
        <w:spacing w:after="200"/>
      </w:pPr>
      <w:r>
        <w:rPr>
          <w:b w:val="0"/>
          <w:sz w:val="22"/>
        </w:rPr>
        <w:t>The order–repair model is deliberately phenomenological and the manuscript says so before presenting any result: bistability follows from the assumed positive feedback rather than being discovered. What is not assumed is how the tipping point responds to repair fidelity, and this yields three results that I believe are new:</w:t>
      </w:r>
    </w:p>
    <w:p>
      <w:pPr>
        <w:pStyle w:val="ListBullet"/>
        <w:spacing w:after="120"/>
      </w:pPr>
      <w:r>
        <w:rPr>
          <w:sz w:val="22"/>
        </w:rPr>
        <w:t>When repair is scaled uniformly, the stress threshold is exactly proportional to the repair multiplier, and the fold position is invariant. This is algebraic, not fitted: the scaling factor cancels from the fold condition. Computing the threshold independently at 64 values confirms it to a relative deviation of 3e-16.</w:t>
      </w:r>
    </w:p>
    <w:p>
      <w:pPr>
        <w:pStyle w:val="ListBullet"/>
        <w:spacing w:after="120"/>
      </w:pPr>
      <w:r>
        <w:rPr>
          <w:sz w:val="22"/>
        </w:rPr>
        <w:t>The direction of the effect survives across 17,583 randomly drawn parameter sets, in 100% of cases, under three different ways of implementing repair enhancement. The qualitative claim does not depend on the functional form.</w:t>
      </w:r>
    </w:p>
    <w:p>
      <w:pPr>
        <w:pStyle w:val="ListBullet"/>
        <w:spacing w:after="120"/>
      </w:pPr>
      <w:r>
        <w:rPr>
          <w:sz w:val="22"/>
        </w:rPr>
        <w:t>The magnitude does depend on implementation, by roughly twofold — and enhancement confined to constitutive repair abolishes bistability above a threshold multiplier of 2.60, converting catastrophic collapse into graded decline. This was not anticipated, and it turns a modelling detail into a measurable prediction that discriminates between mechanisms.</w:t>
      </w:r>
    </w:p>
    <w:p>
      <w:pPr>
        <w:spacing w:after="200"/>
      </w:pPr>
      <w:r>
        <w:rPr>
          <w:b w:val="0"/>
          <w:sz w:val="22"/>
        </w:rPr>
        <w:t>The manuscript closes with five predictions running from molecular to organismal, of which the last — that a single repair intervention should move cancer resistance and age-associated decline together — is the one on which I would ask the hypothesis to be judged. If it fails, the framework loses most of its distinctive value, and the manuscript says so.</w:t>
      </w:r>
    </w:p>
    <w:p>
      <w:pPr>
        <w:spacing w:after="80"/>
      </w:pPr>
      <w:r>
        <w:rPr>
          <w:b/>
          <w:sz w:val="22"/>
        </w:rPr>
        <w:t>Openness and reproducibility</w:t>
      </w:r>
    </w:p>
    <w:p>
      <w:pPr>
        <w:spacing w:after="200"/>
      </w:pPr>
      <w:r>
        <w:rPr>
          <w:b w:val="0"/>
          <w:sz w:val="22"/>
        </w:rPr>
        <w:t>The model implementation, parameter set, random seed and figure generators are openly available at https://github.com/sandlerleon/order-repair-model and archived at https://doi.org/10.5281/zenodo.22851970. The manuscript is deposited at https://doi.org/10.5281/zenodo.22851972. Every number in the paper is read programmatically from the model output rather than transcribed, and an audit script re-checks the built document against the model. All 17 references were verified against Crossref.</w:t>
      </w:r>
    </w:p>
    <w:p>
      <w:pPr>
        <w:spacing w:after="80"/>
      </w:pPr>
      <w:r>
        <w:rPr>
          <w:b/>
          <w:sz w:val="22"/>
        </w:rPr>
        <w:t>Declarations</w:t>
      </w:r>
    </w:p>
    <w:p>
      <w:pPr>
        <w:spacing w:after="200"/>
      </w:pPr>
      <w:r>
        <w:rPr>
          <w:b w:val="0"/>
          <w:sz w:val="22"/>
        </w:rPr>
        <w:t>This manuscript is original, is not under consideration elsewhere, and has not been published previously other than as the archived preprint noted above. I am the sole author. I have no competing interests and the work received no external funding. As an unfunded independent researcher I am submitting under the standard subscription option rather than open access. Generative AI (Claude, Anthropic) was used to assist with literature synthesis, model implementation and drafting; I reviewed and edited all content, verified every reference, and take full responsibility for the manuscript, as stated in the Declarations.</w:t>
      </w:r>
    </w:p>
    <w:p>
      <w:pPr>
        <w:spacing w:after="200"/>
      </w:pPr>
      <w:r>
        <w:rPr>
          <w:b w:val="0"/>
          <w:sz w:val="22"/>
        </w:rPr>
        <w:t>References are given in author–year form under Wiley's free-format initial submission policy, and will be converted to the journal's style on revision if required.</w:t>
      </w:r>
    </w:p>
    <w:p>
      <w:pPr>
        <w:spacing w:after="280"/>
      </w:pPr>
      <w:r>
        <w:rPr>
          <w:b w:val="0"/>
          <w:sz w:val="22"/>
        </w:rPr>
        <w:t>Thank you for considering the manuscript.</w:t>
      </w:r>
    </w:p>
    <w:p>
      <w:pPr>
        <w:spacing w:after="0"/>
      </w:pPr>
      <w:r>
        <w:rPr>
          <w:b w:val="0"/>
          <w:sz w:val="22"/>
        </w:rPr>
        <w:t>Yours sincerely,</w:t>
      </w:r>
    </w:p>
    <w:p>
      <w:pPr>
        <w:spacing w:after="0"/>
      </w:pPr>
      <w:r>
        <w:rPr>
          <w:b w:val="0"/>
          <w:sz w:val="22"/>
        </w:rPr>
        <w:t>Leon Sandler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