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6 October 2026</w:t>
      </w:r>
    </w:p>
    <w:p>
      <w:pPr>
        <w:spacing w:after="200"/>
      </w:pPr>
      <w:r>
        <w:t>The Editor</w:t>
        <w:br/>
        <w:t>Journal of Pharmaceutical Innovation</w:t>
      </w:r>
    </w:p>
    <w:p>
      <w:pPr>
        <w:spacing w:after="200"/>
      </w:pPr>
      <w:r>
        <w:rPr>
          <w:b/>
        </w:rPr>
        <w:t>Submission of a Research Article: “A Literature-Based Modular Route-Design Strategy for Scalable Manufacture of PN6047”</w:t>
      </w:r>
    </w:p>
    <w:p>
      <w:pPr>
        <w:spacing w:after="120"/>
      </w:pPr>
      <w:r>
        <w:t>Dear Editor,</w:t>
      </w:r>
    </w:p>
    <w:p>
      <w:pPr>
        <w:spacing w:after="120"/>
      </w:pPr>
      <w:r>
        <w:t>I submit the enclosed paper for consideration in the Journal of Pharmaceutical Innovation as a Research Article. It asks a question that arises before any process chemistry is run on a new drug substance: which operations of the only publicly exemplified route would limit manufacture, and how strong is the public evidence for the alternatives that would replace them? The case is PN6047, a clinical-stage δ-opioid receptor agonist whose discovery-scale route is public only as milligram-to-gram patent examples.</w:t>
      </w:r>
    </w:p>
    <w:p>
      <w:pPr>
        <w:spacing w:after="60"/>
      </w:pPr>
      <w:r>
        <w:rPr>
          <w:b/>
        </w:rPr>
        <w:t>What the paper does</w:t>
      </w:r>
    </w:p>
    <w:p>
      <w:pPr>
        <w:pStyle w:val="ListBullet"/>
        <w:spacing w:after="60"/>
      </w:pPr>
      <w:r>
        <w:t>It inventories the operations exemplified in WO 2016/099393 and WO 2022/013153 and grades each transformation, and its conditions, in four evidence classes (direct, close precedent, general precedent, hypothesis), so that what is established, inferred and proposed is never mixed.</w:t>
      </w:r>
    </w:p>
    <w:p>
      <w:pPr>
        <w:pStyle w:val="ListBullet"/>
        <w:spacing w:after="60"/>
      </w:pPr>
      <w:r>
        <w:t>It flags documented regulatory and hazard attributes of the exemplified route (11 flag instances, including an ICH Q3C Class 1 solvent, palladium, a benzotriazole-derived reagent and preparative HPLC) and screens two process-oriented variants: they carry 3 flags each, but their validation burden is higher (11 and 15 against 2 on the linear scale), because their conditions are untested.</w:t>
      </w:r>
    </w:p>
    <w:p>
      <w:pPr>
        <w:pStyle w:val="ListBullet"/>
        <w:spacing w:after="60"/>
      </w:pPr>
      <w:r>
        <w:t>It tests how robust the ranking of a twelve-item risk register is to the author's own uncertainty; two risks, impurity purge when crystallisation replaces chromatography and the undisclosed upstream route to the vinyl bromide building block, dominate.</w:t>
      </w:r>
    </w:p>
    <w:p>
      <w:pPr>
        <w:pStyle w:val="ListBullet"/>
        <w:spacing w:after="60"/>
      </w:pPr>
      <w:r>
        <w:t>It ends with a stage-gated experimental programme, and states what is not claimed: no synthesis was performed, and no yield, impurity level, cost or timeline is predicted.</w:t>
      </w:r>
    </w:p>
    <w:p>
      <w:pPr>
        <w:spacing w:after="120"/>
      </w:pPr>
      <w:r>
        <w:t>The paper also corrects a mapping on which an earlier outline of the idea rested: pramipexole is a useful benchmark for manufacture of a basic thiazole-containing API, but its benzothiazole core is not a fragment of PN6047.</w:t>
      </w:r>
    </w:p>
    <w:p>
      <w:pPr>
        <w:spacing w:after="60"/>
      </w:pPr>
      <w:r>
        <w:rPr>
          <w:b/>
        </w:rPr>
        <w:t>Why the journal</w:t>
      </w:r>
    </w:p>
    <w:p>
      <w:pPr>
        <w:spacing w:after="120"/>
      </w:pPr>
      <w:r>
        <w:t>The study concerns route selection, process risk, impurity control, starting-material justification (ICH Q11) and the evidence needed before scale-up, which I believe fall within the journal's coverage of manufacturing and applied pharmaceutical science, and it is offered as a method that can be applied to other compounds whose discovery routes are public. It follows the Research Article format and the abstract, summary and teaser requirements.</w:t>
      </w:r>
    </w:p>
    <w:p>
      <w:pPr>
        <w:spacing w:after="60"/>
      </w:pPr>
      <w:r>
        <w:rPr>
          <w:b/>
        </w:rPr>
        <w:t>Data, code and disclosures</w:t>
      </w:r>
    </w:p>
    <w:p>
      <w:pPr>
        <w:spacing w:after="120"/>
      </w:pPr>
      <w:r>
        <w:t>All inputs, model code, tests and figure scripts are public at https://github.com/sandlerleon/pn6047-route-design and archived at https://doi.org/10.5281/zenodo.23200174; the manuscript is available as a preprint at https://doi.org/10.5281/zenodo.23200178. A large language model (Claude, Anthropic) was used to assist with retrieval, code, figures and drafting; I reviewed and verified the content, resolved every reference through Crossref, and take full responsibility, as stated in Section 2.9. I am the sole author, have no competing interests, received no funding and have no affiliation with the applicant of the patents analysed. An earlier, shorter and unpublished outline of the route concept was submitted to an open-innovation challenge, as disclosed in the Declarations. The manuscript has not been published and is not under consideration by any other journal.</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