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eastAsia="Times New Roman"/>
          <w:b/>
          <w:i w:val="0"/>
          <w:sz w:val="32"/>
        </w:rPr>
        <w:t>Self-Maintained Order and Hysteretic Collapse in a Non-Equilibrium Rotational Lattice</w:t>
      </w:r>
    </w:p>
    <w:p>
      <w:r>
        <w:rPr>
          <w:rFonts w:ascii="Times New Roman" w:hAnsi="Times New Roman" w:eastAsia="Times New Roman"/>
          <w:b w:val="0"/>
          <w:i/>
          <w:sz w:val="22"/>
        </w:rPr>
        <w:t>Order-dependent degradation and repair as a source of nonlinear feedback, bistability, and active maintenance</w:t>
      </w:r>
    </w:p>
    <w:p>
      <w:pPr>
        <w:spacing w:after="0"/>
      </w:pPr>
      <w:r>
        <w:rPr>
          <w:rFonts w:ascii="Times New Roman" w:hAnsi="Times New Roman" w:eastAsia="Times New Roman"/>
          <w:b w:val="0"/>
          <w:i w:val="0"/>
          <w:sz w:val="21"/>
        </w:rPr>
        <w:t>Leon Sandler</w:t>
      </w:r>
    </w:p>
    <w:p>
      <w:pPr>
        <w:spacing w:after="0"/>
      </w:pPr>
      <w:r>
        <w:rPr>
          <w:rFonts w:ascii="Times New Roman" w:hAnsi="Times New Roman" w:eastAsia="Times New Roman"/>
          <w:b w:val="0"/>
          <w:i w:val="0"/>
          <w:sz w:val="21"/>
        </w:rPr>
        <w:t>Independent Researcher, Northbrook, Illinois, USA</w:t>
      </w:r>
    </w:p>
    <w:p>
      <w:pPr>
        <w:spacing w:after="0"/>
      </w:pPr>
      <w:r>
        <w:rPr>
          <w:rFonts w:ascii="Times New Roman" w:hAnsi="Times New Roman" w:eastAsia="Times New Roman"/>
          <w:b w:val="0"/>
          <w:i w:val="0"/>
          <w:sz w:val="21"/>
        </w:rPr>
        <w:t>Corresponding author: sandler.leon@gmail.com</w:t>
      </w:r>
    </w:p>
    <w:p>
      <w:pPr>
        <w:spacing w:after="0"/>
      </w:pPr>
      <w:r>
        <w:rPr>
          <w:rFonts w:ascii="Times New Roman" w:hAnsi="Times New Roman" w:eastAsia="Times New Roman"/>
          <w:b w:val="0"/>
          <w:i w:val="0"/>
          <w:sz w:val="21"/>
        </w:rPr>
        <w:t>ORCID: https://orcid.org/0009-0007-4584-808X</w:t>
      </w:r>
    </w:p>
    <w:p/>
    <w:p>
      <w:pPr>
        <w:pStyle w:val="Heading1"/>
      </w:pPr>
      <w:r>
        <w:rPr>
          <w:rFonts w:ascii="Times New Roman" w:hAnsi="Times New Roman" w:eastAsia="Times New Roman"/>
          <w:b w:val="0"/>
          <w:i w:val="0"/>
        </w:rPr>
        <w:t>Abstract</w:t>
      </w:r>
    </w:p>
    <w:p>
      <w:pPr>
        <w:jc w:val="both"/>
      </w:pPr>
      <w:r>
        <w:rPr>
          <w:rFonts w:ascii="Times New Roman" w:hAnsi="Times New Roman" w:eastAsia="Times New Roman"/>
          <w:b w:val="0"/>
          <w:i w:val="0"/>
        </w:rPr>
        <w:t>We study the maintenance of directional order in a non-equilibrium rotational lattice: a two-dimensional array of interacting rotors whose ordering couplings are removed by an order-dependent flux and restored by repair. Because degradation accelerates with local orientational disorder, the stationary state is a non-equilibrium steady state (NESS). In an annealed mean-field reduction controlled by the ratio ρ of repair to shielded degradation, the feedback makes order bistable: for cooperativity h &gt; 1 and gain above a computed threshold, two saddle-node bifurcations bound a hysteresis window, whereas without feedback there is one fixed point, I* = 1/(1 + ρ). Kinetic Monte Carlo tests this. When degradation senses only the nearest neighbours the lattice is not bistable: the hysteresis loop closes as the sweep slows, its area vanishing in the quasi-static limit for L = 16–64, and ordered and collapsed starts converge throughout the window, because averaging the steep feedback over a broad distribution of local disorder flattens it. When degradation senses disorder over larger regions bistability returns, robustly up to L = 96 when the closure itself is imposed on the lattice. Two further results are established: an exact order–entropy relation, dS/dU</w:t>
      </w:r>
      <w:r>
        <w:rPr>
          <w:rFonts w:ascii="Times New Roman" w:hAnsi="Times New Roman" w:eastAsia="Times New Roman"/>
          <w:b w:val="0"/>
          <w:i w:val="0"/>
          <w:vertAlign w:val="subscript"/>
        </w:rPr>
        <w:t>χ</w:t>
      </w:r>
      <w:r>
        <w:rPr>
          <w:rFonts w:ascii="Times New Roman" w:hAnsi="Times New Roman" w:eastAsia="Times New Roman"/>
          <w:b w:val="0"/>
          <w:i w:val="0"/>
        </w:rPr>
        <w:t xml:space="preserve"> = −κ for the maximum-entropy von Mises law, and finite-size scaling (L = 16–96) estimating the field-free loss of stiffness at a diluted fraction f</w:t>
      </w:r>
      <w:r>
        <w:rPr>
          <w:rFonts w:ascii="Times New Roman" w:hAnsi="Times New Roman" w:eastAsia="Times New Roman"/>
          <w:b w:val="0"/>
          <w:i w:val="0"/>
          <w:vertAlign w:val="subscript"/>
        </w:rPr>
        <w:t>KT</w:t>
      </w:r>
      <w:r>
        <w:rPr>
          <w:rFonts w:ascii="Times New Roman" w:hAnsi="Times New Roman" w:eastAsia="Times New Roman"/>
          <w:b w:val="0"/>
          <w:i w:val="0"/>
        </w:rPr>
        <w:t xml:space="preserve"> ≈ 0.205, far below site percolation (0.407), a Berezinskii–Kosterlitz–Thouless mechanism. The measured maintenance current peaks where order is most fragile. Static hysteresis is predicted only when degradation senses order over an extended range.</w:t>
      </w:r>
    </w:p>
    <w:p>
      <w:r>
        <w:rPr>
          <w:rFonts w:ascii="Times New Roman" w:hAnsi="Times New Roman" w:eastAsia="Times New Roman"/>
          <w:b/>
          <w:i w:val="0"/>
        </w:rPr>
        <w:t>Keywords:</w:t>
      </w:r>
      <w:r>
        <w:rPr>
          <w:rFonts w:ascii="Times New Roman" w:hAnsi="Times New Roman" w:eastAsia="Times New Roman"/>
          <w:b w:val="0"/>
          <w:i w:val="0"/>
        </w:rPr>
        <w:t xml:space="preserve"> nonlinear dynamics; non-equilibrium statistical mechanics; bistability and hysteresis; Berezinskii–Kosterlitz–Thouless transition; entropy production; kinetic Monte Carlo</w:t>
      </w:r>
    </w:p>
    <w:p>
      <w:pPr>
        <w:pStyle w:val="Heading1"/>
      </w:pPr>
      <w:r>
        <w:rPr>
          <w:rFonts w:ascii="Times New Roman" w:hAnsi="Times New Roman" w:eastAsia="Times New Roman"/>
          <w:b w:val="0"/>
          <w:i w:val="0"/>
        </w:rPr>
        <w:t>1. Introduction</w:t>
      </w:r>
    </w:p>
    <w:p>
      <w:pPr>
        <w:jc w:val="both"/>
      </w:pPr>
      <w:r>
        <w:rPr>
          <w:rFonts w:ascii="Times New Roman" w:hAnsi="Times New Roman" w:eastAsia="Times New Roman"/>
          <w:b w:val="0"/>
          <w:i w:val="0"/>
        </w:rPr>
        <w:t>Many physical systems maintain order not as a thermodynamic ground state but as a dynamical balance: a directionally ordered medium is continuously eroded by an external flux while a maintenance process restores it [1–3]. Order then persists or collapses according to a competition of rates. When the erosion depends on the current state of the medium, the balance is governed by feedback, which admits the multistability and the dissipation characteristic of non-equilibrium systems [4–6]. Instances include the orientational order of a polymer film under photodegradation with self-healing [7], the alignment of magnetic domains under thermally activated flips [8] with active error-correcting rewrites, and the directional order of a molecular monolayer under chemical attack with turnover [9].</w:t>
      </w:r>
    </w:p>
    <w:p>
      <w:pPr>
        <w:jc w:val="both"/>
      </w:pPr>
      <w:r>
        <w:rPr>
          <w:rFonts w:ascii="Times New Roman" w:hAnsi="Times New Roman" w:eastAsia="Times New Roman"/>
          <w:b w:val="0"/>
          <w:i w:val="0"/>
        </w:rPr>
        <w:t>The setting differs from the best-known orientational non-equilibrium systems. In flocking and active-matter models, driving generates and stabilizes order through self-propulsion and alignment, and long-range order can survive in two dimensions where the equilibrium XY model cannot [10, 11]; in the equilibrium XY model, order is lost through the Berezinskii–Kosterlitz–Thouless (BKT) transition [12]. Here order is neither generated by the drive nor protected by an equilibrium ground state: it is maintained against a state-dependent loss. Keeping information-bearing order away from equilibrium also has a thermodynamic price [13, 14], of which kinetic proofreading is the classic example in which dissipation buys fidelity [15], and which stochastic thermodynamics makes quantitative [16, 17].</w:t>
      </w:r>
    </w:p>
    <w:p>
      <w:pPr>
        <w:jc w:val="both"/>
      </w:pPr>
      <w:r>
        <w:rPr>
          <w:rFonts w:ascii="Times New Roman" w:hAnsi="Times New Roman" w:eastAsia="Times New Roman"/>
          <w:b w:val="0"/>
          <w:i w:val="0"/>
        </w:rPr>
        <w:t>We formulate this as a non-equilibrium interacting particle system [18] in which reversible rotor dynamics is coupled to a non-conservative, order-dependent site process. The coupling produces a nonlinear mean-field reduction that is bistable, with saddle-node bifurcations bounding a hysteresis window in which a maintained and a collapsed NESS coexist (Section 4.2), a behavior absent without the feedback (Section 4.1). We then test the reduction on the lattice by kinetic Monte Carlo designed to separate static from rate-dependent hysteresis (Section 4.3) and find that its bistability survives only when degradation senses order over an extended region; with nearest-neighbour sensing the lattice has a single NESS, and we identify why (Section 4.4). Three further contributions support the picture: an exact relation between a directional order parameter and configurational entropy, stated in the form needed here from exponential-family theory (Section 3); a finite-size-scaling analysis locating the field-free transition relative to site percolation and identifying a BKT mechanism (Section 5); and the measured maintenance current, with the entropy production of an auxiliary cycle as an illustrative thermodynamic reading (Section 6). The order-dependence of the degradation, a site in a disordered neighborhood degrading faster, is what makes the stationary state a genuine NESS rather than a product of an uncoupled two-state chain and an equilibrium rotor gas, and is the source of the nonlinear phenomenology.</w:t>
      </w:r>
    </w:p>
    <w:p>
      <w:pPr>
        <w:pStyle w:val="Heading1"/>
      </w:pPr>
      <w:r>
        <w:rPr>
          <w:rFonts w:ascii="Times New Roman" w:hAnsi="Times New Roman" w:eastAsia="Times New Roman"/>
          <w:b w:val="0"/>
          <w:i w:val="0"/>
        </w:rPr>
        <w:t>2. The model</w:t>
      </w:r>
    </w:p>
    <w:p>
      <w:pPr>
        <w:jc w:val="both"/>
      </w:pPr>
      <w:r>
        <w:rPr>
          <w:rFonts w:ascii="Times New Roman" w:hAnsi="Times New Roman" w:eastAsia="Times New Roman"/>
          <w:b w:val="0"/>
          <w:i w:val="0"/>
        </w:rPr>
        <w:t>Let Λ = {1, …, L}</w:t>
      </w:r>
      <w:r>
        <w:rPr>
          <w:rFonts w:ascii="Times New Roman" w:hAnsi="Times New Roman" w:eastAsia="Times New Roman"/>
          <w:b w:val="0"/>
          <w:i w:val="0"/>
          <w:vertAlign w:val="superscript"/>
        </w:rPr>
        <w:t>2</w:t>
      </w:r>
      <w:r>
        <w:rPr>
          <w:rFonts w:ascii="Times New Roman" w:hAnsi="Times New Roman" w:eastAsia="Times New Roman"/>
          <w:b w:val="0"/>
          <w:i w:val="0"/>
        </w:rPr>
        <w:t xml:space="preserve"> be a square lattice with N = L</w:t>
      </w:r>
      <w:r>
        <w:rPr>
          <w:rFonts w:ascii="Times New Roman" w:hAnsi="Times New Roman" w:eastAsia="Times New Roman"/>
          <w:b w:val="0"/>
          <w:i w:val="0"/>
          <w:vertAlign w:val="superscript"/>
        </w:rPr>
        <w:t>2</w:t>
      </w:r>
      <w:r>
        <w:rPr>
          <w:rFonts w:ascii="Times New Roman" w:hAnsi="Times New Roman" w:eastAsia="Times New Roman"/>
          <w:b w:val="0"/>
          <w:i w:val="0"/>
        </w:rPr>
        <w:t xml:space="preserve"> sites and periodic boundaries. Each site i carries a rotor orientation θ</w:t>
      </w:r>
      <w:r>
        <w:rPr>
          <w:rFonts w:ascii="Times New Roman" w:hAnsi="Times New Roman" w:eastAsia="Times New Roman"/>
          <w:b w:val="0"/>
          <w:i w:val="0"/>
          <w:vertAlign w:val="subscript"/>
        </w:rPr>
        <w:t>i</w:t>
      </w:r>
      <w:r>
        <w:rPr>
          <w:rFonts w:ascii="Times New Roman" w:hAnsi="Times New Roman" w:eastAsia="Times New Roman"/>
          <w:b w:val="0"/>
          <w:i w:val="0"/>
        </w:rPr>
        <w:t xml:space="preserve"> ∈ [0, 2π) and a binary integrity g</w:t>
      </w:r>
      <w:r>
        <w:rPr>
          <w:rFonts w:ascii="Times New Roman" w:hAnsi="Times New Roman" w:eastAsia="Times New Roman"/>
          <w:b w:val="0"/>
          <w:i w:val="0"/>
          <w:vertAlign w:val="subscript"/>
        </w:rPr>
        <w:t>i</w:t>
      </w:r>
      <w:r>
        <w:rPr>
          <w:rFonts w:ascii="Times New Roman" w:hAnsi="Times New Roman" w:eastAsia="Times New Roman"/>
          <w:b w:val="0"/>
          <w:i w:val="0"/>
        </w:rPr>
        <w:t xml:space="preserve"> ∈ {1, g</w:t>
      </w:r>
      <w:r>
        <w:rPr>
          <w:rFonts w:ascii="Times New Roman" w:hAnsi="Times New Roman" w:eastAsia="Times New Roman"/>
          <w:b w:val="0"/>
          <w:i w:val="0"/>
          <w:vertAlign w:val="subscript"/>
        </w:rPr>
        <w:t>0</w:t>
      </w:r>
      <w:r>
        <w:rPr>
          <w:rFonts w:ascii="Times New Roman" w:hAnsi="Times New Roman" w:eastAsia="Times New Roman"/>
          <w:b w:val="0"/>
          <w:i w:val="0"/>
        </w:rPr>
        <w:t>}, 0 &lt; g</w:t>
      </w:r>
      <w:r>
        <w:rPr>
          <w:rFonts w:ascii="Times New Roman" w:hAnsi="Times New Roman" w:eastAsia="Times New Roman"/>
          <w:b w:val="0"/>
          <w:i w:val="0"/>
          <w:vertAlign w:val="subscript"/>
        </w:rPr>
        <w:t>0</w:t>
      </w:r>
      <w:r>
        <w:rPr>
          <w:rFonts w:ascii="Times New Roman" w:hAnsi="Times New Roman" w:eastAsia="Times New Roman"/>
          <w:b w:val="0"/>
          <w:i w:val="0"/>
        </w:rPr>
        <w:t xml:space="preserve"> ≪ 1. The energy is</w:t>
      </w:r>
    </w:p>
    <w:p>
      <w:pPr>
        <w:keepLines/>
        <w:tabs>
          <w:tab w:pos="4680" w:val="center"/>
          <w:tab w:pos="9360" w:val="right"/>
        </w:tabs>
        <w:spacing w:before="120" w:after="120"/>
      </w:pPr>
      <w:r>
        <w:tab/>
      </w:r>
      <m:oMath>
        <m:r>
          <m:rPr>
            <m:sty m:val="i"/>
          </m:rPr>
          <w:rPr>
            <w:rFonts w:ascii="Cambria Math" w:hAnsi="Cambria Math"/>
            <w:i/>
          </w:rPr>
          <m:t xml:space="preserve">H</m:t>
        </m:r>
        <m:d>
          <m:dPr>
            <m:begChr m:val="("/>
            <m:endChr m:val=")"/>
            <m:ctrlPr>
              <w:rPr>
                <w:rFonts w:ascii="Cambria Math" w:hAnsi="Cambria Math"/>
                <w:i/>
              </w:rPr>
            </m:ctrlPr>
          </m:dPr>
          <m:e>
            <m:r>
              <m:rPr>
                <m:sty m:val="i"/>
              </m:rPr>
              <w:rPr>
                <w:rFonts w:ascii="Cambria Math" w:hAnsi="Cambria Math"/>
                <w:i/>
              </w:rPr>
              <m:t xml:space="preserve">θ</m:t>
            </m:r>
            <m:r>
              <m:rPr>
                <m:nor/>
              </m:rPr>
              <w:rPr>
                <w:rFonts w:ascii="Cambria Math" w:hAnsi="Cambria Math"/>
                <w:i w:val="0"/>
              </w:rPr>
              <m:t xml:space="preserve">,</m:t>
            </m:r>
            <m:r>
              <m:rPr>
                <m:sty m:val="i"/>
              </m:rPr>
              <w:rPr>
                <w:rFonts w:ascii="Cambria Math" w:hAnsi="Cambria Math"/>
                <w:i/>
              </w:rPr>
              <m:t xml:space="preserve">g</m:t>
            </m:r>
          </m:e>
        </m:d>
        <m:r>
          <m:rPr>
            <m:nor/>
          </m:rPr>
          <w:rPr>
            <w:rFonts w:ascii="Cambria Math" w:hAnsi="Cambria Math"/>
            <w:i w:val="0"/>
          </w:rPr>
          <m:t xml:space="preserve"> = </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0</m:t>
            </m:r>
          </m:sub>
        </m:sSub>
        <m:nary>
          <m:naryPr>
            <m:chr m:val="∑"/>
            <m:limLoc m:val="undOvr"/>
            <m:supHide m:val="1"/>
            <m:ctrlPr>
              <w:rPr>
                <w:rFonts w:ascii="Cambria Math" w:hAnsi="Cambria Math"/>
                <w:i/>
              </w:rPr>
            </m:ctrlPr>
          </m:naryPr>
          <m:sub>
            <m:r>
              <m:rPr>
                <m:nor/>
              </m:rPr>
              <w:rPr>
                <w:rFonts w:ascii="Cambria Math" w:hAnsi="Cambria Math"/>
                <w:i w:val="0"/>
              </w:rPr>
              <m:t xml:space="preserve">⟨</m:t>
            </m:r>
            <m:r>
              <m:rPr>
                <m:sty m:val="i"/>
              </m:rPr>
              <w:rPr>
                <w:rFonts w:ascii="Cambria Math" w:hAnsi="Cambria Math"/>
                <w:i/>
              </w:rPr>
              <m:t xml:space="preserve">i</m:t>
            </m:r>
            <m:r>
              <m:rPr>
                <m:sty m:val="i"/>
              </m:rPr>
              <w:rPr>
                <w:rFonts w:ascii="Cambria Math" w:hAnsi="Cambria Math"/>
                <w:i/>
              </w:rPr>
              <m:t xml:space="preserve">j</m:t>
            </m:r>
            <m:r>
              <m:rPr>
                <m:nor/>
              </m:rPr>
              <w:rPr>
                <w:rFonts w:ascii="Cambria Math" w:hAnsi="Cambria Math"/>
                <w:i w:val="0"/>
              </w:rPr>
              <m:t xml:space="preserve">⟩</m:t>
            </m:r>
          </m:sub>
          <m:sup/>
          <m:e>
            <m:sSub>
              <m:sSubPr>
                <m:ctrlPr>
                  <w:rPr>
                    <w:rFonts w:ascii="Cambria Math" w:hAnsi="Cambria Math"/>
                    <w:i/>
                  </w:rPr>
                </m:ctrlPr>
              </m:sSubPr>
              <m:e>
                <m:r>
                  <m:rPr>
                    <m:sty m:val="i"/>
                  </m:rPr>
                  <w:rPr>
                    <w:rFonts w:ascii="Cambria Math" w:hAnsi="Cambria Math"/>
                    <w:i/>
                  </w:rPr>
                  <m:t xml:space="preserve">g</m:t>
                </m:r>
              </m:e>
              <m:sub>
                <m:r>
                  <m:rPr>
                    <m:nor/>
                  </m:rPr>
                  <w:rPr>
                    <w:rFonts w:ascii="Cambria Math" w:hAnsi="Cambria Math"/>
                    <w:i w:val="0"/>
                  </w:rPr>
                  <m:t xml:space="preserve">i</m:t>
                </m:r>
              </m:sub>
            </m:sSub>
            <m:sSub>
              <m:sSubPr>
                <m:ctrlPr>
                  <w:rPr>
                    <w:rFonts w:ascii="Cambria Math" w:hAnsi="Cambria Math"/>
                    <w:i/>
                  </w:rPr>
                </m:ctrlPr>
              </m:sSubPr>
              <m:e>
                <m:r>
                  <m:rPr>
                    <m:sty m:val="i"/>
                  </m:rPr>
                  <w:rPr>
                    <w:rFonts w:ascii="Cambria Math" w:hAnsi="Cambria Math"/>
                    <w:i/>
                  </w:rPr>
                  <m:t xml:space="preserve">g</m:t>
                </m:r>
              </m:e>
              <m:sub>
                <m:r>
                  <m:rPr>
                    <m:nor/>
                  </m:rPr>
                  <w:rPr>
                    <w:rFonts w:ascii="Cambria Math" w:hAnsi="Cambria Math"/>
                    <w:i w:val="0"/>
                  </w:rPr>
                  <m:t xml:space="preserve">j</m:t>
                </m:r>
              </m:sub>
            </m:sSub>
            <m:r>
              <m:rPr>
                <m:nor/>
              </m:rPr>
              <w:rPr>
                <w:rFonts w:ascii="Cambria Math" w:hAnsi="Cambria Math"/>
                <w:i w:val="0"/>
              </w:rPr>
              <m:t xml:space="preserve">cos</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θ</m:t>
                    </m:r>
                  </m:e>
                  <m:sub>
                    <m:r>
                      <m:rPr>
                        <m:nor/>
                      </m:rPr>
                      <w:rPr>
                        <w:rFonts w:ascii="Cambria Math" w:hAnsi="Cambria Math"/>
                        <w:i w:val="0"/>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θ</m:t>
                    </m:r>
                  </m:e>
                  <m:sub>
                    <m:r>
                      <m:rPr>
                        <m:nor/>
                      </m:rPr>
                      <w:rPr>
                        <w:rFonts w:ascii="Cambria Math" w:hAnsi="Cambria Math"/>
                        <w:i w:val="0"/>
                      </w:rPr>
                      <m:t xml:space="preserve">j</m:t>
                    </m:r>
                  </m:sub>
                </m:sSub>
              </m:e>
            </m:d>
          </m:e>
        </m:nary>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h</m:t>
            </m:r>
          </m:e>
          <m:sub>
            <m:r>
              <m:rPr>
                <m:nor/>
              </m:rPr>
              <w:rPr>
                <w:rFonts w:ascii="Cambria Math" w:hAnsi="Cambria Math"/>
                <w:i w:val="0"/>
              </w:rPr>
              <m:t xml:space="preserve">0</m:t>
            </m:r>
          </m:sub>
        </m:sSub>
        <m:nary>
          <m:naryPr>
            <m:chr m:val="∑"/>
            <m:limLoc m:val="undOvr"/>
            <m:supHide m:val="1"/>
            <m:ctrlPr>
              <w:rPr>
                <w:rFonts w:ascii="Cambria Math" w:hAnsi="Cambria Math"/>
                <w:i/>
              </w:rPr>
            </m:ctrlPr>
          </m:naryPr>
          <m:sub>
            <m:r>
              <m:rPr>
                <m:sty m:val="i"/>
              </m:rPr>
              <w:rPr>
                <w:rFonts w:ascii="Cambria Math" w:hAnsi="Cambria Math"/>
                <w:i/>
              </w:rPr>
              <m:t xml:space="preserve">i</m:t>
            </m:r>
          </m:sub>
          <m:sup/>
          <m:e>
            <m:sSub>
              <m:sSubPr>
                <m:ctrlPr>
                  <w:rPr>
                    <w:rFonts w:ascii="Cambria Math" w:hAnsi="Cambria Math"/>
                    <w:i/>
                  </w:rPr>
                </m:ctrlPr>
              </m:sSubPr>
              <m:e>
                <m:r>
                  <m:rPr>
                    <m:sty m:val="i"/>
                  </m:rPr>
                  <w:rPr>
                    <w:rFonts w:ascii="Cambria Math" w:hAnsi="Cambria Math"/>
                    <w:i/>
                  </w:rPr>
                  <m:t xml:space="preserve">g</m:t>
                </m:r>
              </m:e>
              <m:sub>
                <m:r>
                  <m:rPr>
                    <m:sty m:val="i"/>
                  </m:rPr>
                  <w:rPr>
                    <w:rFonts w:ascii="Cambria Math" w:hAnsi="Cambria Math"/>
                    <w:i/>
                  </w:rPr>
                  <m:t xml:space="preserve">i</m:t>
                </m:r>
              </m:sub>
            </m:sSub>
            <m:r>
              <m:rPr>
                <m:nor/>
              </m:rPr>
              <w:rPr>
                <w:rFonts w:ascii="Cambria Math" w:hAnsi="Cambria Math"/>
                <w:i w:val="0"/>
              </w:rPr>
              <m:t xml:space="preserve">cos</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θ</m:t>
                </m:r>
              </m:e>
              <m:sub>
                <m:r>
                  <m:rPr>
                    <m:sty m:val="i"/>
                  </m:rPr>
                  <w:rPr>
                    <w:rFonts w:ascii="Cambria Math" w:hAnsi="Cambria Math"/>
                    <w:i/>
                  </w:rPr>
                  <m:t xml:space="preserve">i</m:t>
                </m:r>
              </m:sub>
            </m:sSub>
          </m:e>
        </m:nary>
        <m:r>
          <m:rPr>
            <m:nor/>
          </m:rPr>
          <w:rPr>
            <w:rFonts w:ascii="Cambria Math" w:hAnsi="Cambria Math"/>
            <w:i w:val="0"/>
          </w:rPr>
          <m:t xml:space="preserve">.</m:t>
        </m:r>
      </m:oMath>
      <w:r>
        <w:tab/>
        <w:t xml:space="preserve">(1)</w:t>
      </w:r>
    </w:p>
    <w:p>
      <w:pPr>
        <w:jc w:val="both"/>
      </w:pPr>
      <w:r>
        <w:rPr>
          <w:rFonts w:ascii="Times New Roman" w:hAnsi="Times New Roman" w:eastAsia="Times New Roman"/>
          <w:b w:val="0"/>
          <w:i w:val="0"/>
        </w:rPr>
        <w:t>The dynamics interleaves a reversible rotor relaxation with a non-conservative, order-dependent site process.</w:t>
      </w:r>
    </w:p>
    <w:p>
      <w:pPr>
        <w:jc w:val="both"/>
      </w:pPr>
      <w:r>
        <w:rPr>
          <w:rFonts w:ascii="Times New Roman" w:hAnsi="Times New Roman" w:eastAsia="Times New Roman"/>
          <w:b w:val="0"/>
          <w:i/>
        </w:rPr>
        <w:t>Reversible rotor relaxation.</w:t>
      </w:r>
      <w:r>
        <w:rPr>
          <w:rFonts w:ascii="Times New Roman" w:hAnsi="Times New Roman" w:eastAsia="Times New Roman"/>
          <w:b w:val="0"/>
          <w:i w:val="0"/>
        </w:rPr>
        <w:t xml:space="preserve"> At fixed g, the orientations evolve by a Metropolis kernel reversible with respect to the Gibbs measure ∝ e</w:t>
      </w:r>
      <w:r>
        <w:rPr>
          <w:rFonts w:ascii="Times New Roman" w:hAnsi="Times New Roman" w:eastAsia="Times New Roman"/>
          <w:b w:val="0"/>
          <w:i w:val="0"/>
          <w:vertAlign w:val="superscript"/>
        </w:rPr>
        <w:t>−H/T</w:t>
      </w:r>
      <w:r>
        <w:rPr>
          <w:rFonts w:ascii="Times New Roman" w:hAnsi="Times New Roman" w:eastAsia="Times New Roman"/>
          <w:b w:val="0"/>
          <w:i w:val="0"/>
        </w:rPr>
        <w:t xml:space="preserve"> (k</w:t>
      </w:r>
      <w:r>
        <w:rPr>
          <w:rFonts w:ascii="Times New Roman" w:hAnsi="Times New Roman" w:eastAsia="Times New Roman"/>
          <w:b w:val="0"/>
          <w:i w:val="0"/>
          <w:vertAlign w:val="subscript"/>
        </w:rPr>
        <w:t>B</w:t>
      </w:r>
      <w:r>
        <w:rPr>
          <w:rFonts w:ascii="Times New Roman" w:hAnsi="Times New Roman" w:eastAsia="Times New Roman"/>
          <w:b w:val="0"/>
          <w:i w:val="0"/>
        </w:rPr>
        <w:t xml:space="preserve"> T = 1); alone, this equilibrates the rotors in the quenched integrity landscape and satisfies detailed balance.</w:t>
      </w:r>
    </w:p>
    <w:p>
      <w:pPr>
        <w:jc w:val="both"/>
      </w:pPr>
      <w:r>
        <w:rPr>
          <w:rFonts w:ascii="Times New Roman" w:hAnsi="Times New Roman" w:eastAsia="Times New Roman"/>
          <w:b w:val="0"/>
          <w:i/>
        </w:rPr>
        <w:t>Order-dependent site process.</w:t>
      </w:r>
      <w:r>
        <w:rPr>
          <w:rFonts w:ascii="Times New Roman" w:hAnsi="Times New Roman" w:eastAsia="Times New Roman"/>
          <w:b w:val="0"/>
          <w:i w:val="0"/>
        </w:rPr>
        <w:t xml:space="preserve"> Each intact site (g</w:t>
      </w:r>
      <w:r>
        <w:rPr>
          <w:rFonts w:ascii="Times New Roman" w:hAnsi="Times New Roman" w:eastAsia="Times New Roman"/>
          <w:b w:val="0"/>
          <w:i w:val="0"/>
          <w:vertAlign w:val="subscript"/>
        </w:rPr>
        <w:t>i</w:t>
      </w:r>
      <w:r>
        <w:rPr>
          <w:rFonts w:ascii="Times New Roman" w:hAnsi="Times New Roman" w:eastAsia="Times New Roman"/>
          <w:b w:val="0"/>
          <w:i w:val="0"/>
        </w:rPr>
        <w:t xml:space="preserve"> = 1) is </w:t>
      </w:r>
      <w:r>
        <w:rPr>
          <w:rFonts w:ascii="Times New Roman" w:hAnsi="Times New Roman" w:eastAsia="Times New Roman"/>
          <w:b w:val="0"/>
          <w:i/>
        </w:rPr>
        <w:t>diluted</w:t>
      </w:r>
      <w:r>
        <w:rPr>
          <w:rFonts w:ascii="Times New Roman" w:hAnsi="Times New Roman" w:eastAsia="Times New Roman"/>
          <w:b w:val="0"/>
          <w:i w:val="0"/>
        </w:rPr>
        <w:t xml:space="preserve"> (g</w:t>
      </w:r>
      <w:r>
        <w:rPr>
          <w:rFonts w:ascii="Times New Roman" w:hAnsi="Times New Roman" w:eastAsia="Times New Roman"/>
          <w:b w:val="0"/>
          <w:i w:val="0"/>
          <w:vertAlign w:val="subscript"/>
        </w:rPr>
        <w:t>i</w:t>
      </w:r>
      <w:r>
        <w:rPr>
          <w:rFonts w:ascii="Times New Roman" w:hAnsi="Times New Roman" w:eastAsia="Times New Roman"/>
          <w:b w:val="0"/>
          <w:i w:val="0"/>
        </w:rPr>
        <w:t xml:space="preserve"> → g</w:t>
      </w:r>
      <w:r>
        <w:rPr>
          <w:rFonts w:ascii="Times New Roman" w:hAnsi="Times New Roman" w:eastAsia="Times New Roman"/>
          <w:b w:val="0"/>
          <w:i w:val="0"/>
          <w:vertAlign w:val="subscript"/>
        </w:rPr>
        <w:t>0</w:t>
      </w:r>
      <w:r>
        <w:rPr>
          <w:rFonts w:ascii="Times New Roman" w:hAnsi="Times New Roman" w:eastAsia="Times New Roman"/>
          <w:b w:val="0"/>
          <w:i w:val="0"/>
        </w:rPr>
        <w:t>) at a rate that depends on its local orientational disorder,</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λ</m:t>
            </m:r>
          </m:e>
          <m:sub>
            <m:r>
              <m:rPr>
                <m:sty m:val="i"/>
              </m:rPr>
              <w:rPr>
                <w:rFonts w:ascii="Cambria Math" w:hAnsi="Cambria Math"/>
                <w:i/>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λ</m:t>
            </m:r>
          </m:e>
          <m:sub>
            <m:r>
              <m:rPr>
                <m:nor/>
              </m:rPr>
              <w:rPr>
                <w:rFonts w:ascii="Cambria Math" w:hAnsi="Cambria Math"/>
                <w:i w:val="0"/>
              </w:rPr>
              <m:t xml:space="preserve">0</m:t>
            </m:r>
          </m:sub>
        </m:sSub>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β</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δ</m:t>
                        </m:r>
                      </m:e>
                      <m:sub>
                        <m:r>
                          <m:rPr>
                            <m:sty m:val="i"/>
                          </m:rPr>
                          <w:rPr>
                            <w:rFonts w:ascii="Cambria Math" w:hAnsi="Cambria Math"/>
                            <w:i/>
                          </w:rPr>
                          <m:t xml:space="preserve">i</m:t>
                        </m:r>
                      </m:sub>
                    </m:sSub>
                  </m:e>
                  <m:sup>
                    <m:r>
                      <m:rPr>
                        <m:sty m:val="i"/>
                      </m:rPr>
                      <w:rPr>
                        <w:rFonts w:ascii="Cambria Math" w:hAnsi="Cambria Math"/>
                        <w:i/>
                      </w:rPr>
                      <m:t xml:space="preserve">h</m:t>
                    </m:r>
                  </m:sup>
                </m:sSup>
              </m:num>
              <m:den>
                <m:sSup>
                  <m:sSupPr>
                    <m:ctrlPr>
                      <w:rPr>
                        <w:rFonts w:ascii="Cambria Math" w:hAnsi="Cambria Math"/>
                        <w:i/>
                      </w:rPr>
                    </m:ctrlPr>
                  </m:sSupPr>
                  <m:e>
                    <m:r>
                      <m:rPr>
                        <m:sty m:val="i"/>
                      </m:rPr>
                      <w:rPr>
                        <w:rFonts w:ascii="Cambria Math" w:hAnsi="Cambria Math"/>
                        <w:i/>
                      </w:rPr>
                      <m:t xml:space="preserve">K</m:t>
                    </m:r>
                  </m:e>
                  <m:sup>
                    <m:r>
                      <m:rPr>
                        <m:sty m:val="i"/>
                      </m:rPr>
                      <w:rPr>
                        <w:rFonts w:ascii="Cambria Math" w:hAnsi="Cambria Math"/>
                        <w:i/>
                      </w:rPr>
                      <m:t xml:space="preserve">h</m:t>
                    </m:r>
                  </m:sup>
                </m:sSup>
                <m:r>
                  <m:rPr>
                    <m:nor/>
                  </m:rPr>
                  <w:rPr>
                    <w:rFonts w:ascii="Cambria Math" w:hAnsi="Cambria Math"/>
                    <w:i w:val="0"/>
                  </w:rPr>
                  <m:t xml:space="preserve"> + </m:t>
                </m:r>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δ</m:t>
                        </m:r>
                      </m:e>
                      <m:sub>
                        <m:r>
                          <m:rPr>
                            <m:sty m:val="i"/>
                          </m:rPr>
                          <w:rPr>
                            <w:rFonts w:ascii="Cambria Math" w:hAnsi="Cambria Math"/>
                            <w:i/>
                          </w:rPr>
                          <m:t xml:space="preserve">i</m:t>
                        </m:r>
                      </m:sub>
                    </m:sSub>
                  </m:e>
                  <m:sup>
                    <m:r>
                      <m:rPr>
                        <m:sty m:val="i"/>
                      </m:rPr>
                      <w:rPr>
                        <w:rFonts w:ascii="Cambria Math" w:hAnsi="Cambria Math"/>
                        <w:i/>
                      </w:rPr>
                      <m:t xml:space="preserve">h</m:t>
                    </m:r>
                  </m:sup>
                </m:sSup>
              </m:den>
            </m:f>
          </m:e>
        </m:d>
      </m:oMath>
      <w:r>
        <w:tab/>
        <w:t xml:space="preserve">(2)</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δ</m:t>
            </m:r>
          </m:e>
          <m:sub>
            <m:r>
              <m:rPr>
                <m:sty m:val="i"/>
              </m:rPr>
              <w:rPr>
                <w:rFonts w:ascii="Cambria Math" w:hAnsi="Cambria Math"/>
                <w:i/>
              </w:rPr>
              <m:t xml:space="preserve">i</m:t>
            </m:r>
          </m:sub>
        </m:sSub>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 − </m:t>
        </m:r>
        <m:d>
          <m:dPr>
            <m:begChr m:val="|"/>
            <m:endChr m:val="|"/>
            <m:ctrlPr>
              <w:rPr>
                <w:rFonts w:ascii="Cambria Math" w:hAnsi="Cambria Math"/>
                <w:i/>
              </w:rPr>
            </m:ctrlPr>
          </m:dPr>
          <m:e>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4</m:t>
                </m:r>
              </m:den>
            </m:f>
            <m:nary>
              <m:naryPr>
                <m:chr m:val="∑"/>
                <m:limLoc m:val="undOvr"/>
                <m:supHide m:val="1"/>
                <m:ctrlPr>
                  <w:rPr>
                    <w:rFonts w:ascii="Cambria Math" w:hAnsi="Cambria Math"/>
                    <w:i/>
                  </w:rPr>
                </m:ctrlPr>
              </m:naryPr>
              <m:sub>
                <m:r>
                  <m:rPr>
                    <m:sty m:val="i"/>
                  </m:rPr>
                  <w:rPr>
                    <w:rFonts w:ascii="Cambria Math" w:hAnsi="Cambria Math"/>
                    <w:i/>
                  </w:rPr>
                  <m:t xml:space="preserve">j</m:t>
                </m:r>
                <m:r>
                  <m:rPr>
                    <m:nor/>
                  </m:rPr>
                  <w:rPr>
                    <w:rFonts w:ascii="Cambria Math" w:hAnsi="Cambria Math"/>
                    <w:i w:val="0"/>
                  </w:rPr>
                  <m:t xml:space="preserve">∈</m:t>
                </m:r>
                <m:r>
                  <m:rPr>
                    <m:nor/>
                  </m:rPr>
                  <w:rPr>
                    <w:rFonts w:ascii="Cambria Math" w:hAnsi="Cambria Math"/>
                    <w:i w:val="0"/>
                  </w:rPr>
                  <m:t xml:space="preserve">∂</m:t>
                </m:r>
                <m:r>
                  <m:rPr>
                    <m:sty m:val="i"/>
                  </m:rPr>
                  <w:rPr>
                    <w:rFonts w:ascii="Cambria Math" w:hAnsi="Cambria Math"/>
                    <w:i/>
                  </w:rPr>
                  <m:t xml:space="preserve">i</m:t>
                </m:r>
              </m:sub>
              <m:sup/>
              <m:e>
                <m:sSup>
                  <m:sSupPr>
                    <m:ctrlPr>
                      <w:rPr>
                        <w:rFonts w:ascii="Cambria Math" w:hAnsi="Cambria Math"/>
                        <w:i/>
                      </w:rPr>
                    </m:ctrlPr>
                  </m:sSupPr>
                  <m:e>
                    <m:r>
                      <m:rPr>
                        <m:sty m:val="i"/>
                      </m:rPr>
                      <w:rPr>
                        <w:rFonts w:ascii="Cambria Math" w:hAnsi="Cambria Math"/>
                        <w:i/>
                      </w:rPr>
                      <m:t xml:space="preserve">e</m:t>
                    </m:r>
                  </m:e>
                  <m:sup>
                    <m:r>
                      <m:rPr>
                        <m:sty m:val="i"/>
                      </m:rPr>
                      <w:rPr>
                        <w:rFonts w:ascii="Cambria Math" w:hAnsi="Cambria Math"/>
                        <w:i/>
                      </w:rPr>
                      <m:t xml:space="preserve">i</m:t>
                    </m:r>
                    <m:sSub>
                      <m:sSubPr>
                        <m:ctrlPr>
                          <w:rPr>
                            <w:rFonts w:ascii="Cambria Math" w:hAnsi="Cambria Math"/>
                            <w:i/>
                          </w:rPr>
                        </m:ctrlPr>
                      </m:sSubPr>
                      <m:e>
                        <m:r>
                          <m:rPr>
                            <m:sty m:val="i"/>
                          </m:rPr>
                          <w:rPr>
                            <w:rFonts w:ascii="Cambria Math" w:hAnsi="Cambria Math"/>
                            <w:i/>
                          </w:rPr>
                          <m:t xml:space="preserve">θ</m:t>
                        </m:r>
                      </m:e>
                      <m:sub>
                        <m:r>
                          <m:rPr>
                            <m:sty m:val="i"/>
                          </m:rPr>
                          <w:rPr>
                            <w:rFonts w:ascii="Cambria Math" w:hAnsi="Cambria Math"/>
                            <w:i/>
                          </w:rPr>
                          <m:t xml:space="preserve">j</m:t>
                        </m:r>
                      </m:sub>
                    </m:sSub>
                  </m:sup>
                </m:sSup>
              </m:e>
            </m:nary>
          </m:e>
        </m:d>
      </m:oMath>
      <w:r>
        <w:tab/>
        <w:t xml:space="preserve">(3)</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λ</m:t>
            </m:r>
          </m:e>
          <m:sub>
            <m:r>
              <m:rPr>
                <m:nor/>
              </m:rPr>
              <w:rPr>
                <w:rFonts w:ascii="Cambria Math" w:hAnsi="Cambria Math"/>
                <w:i w:val="0"/>
              </w:rPr>
              <m:t xml:space="preserve">0</m:t>
            </m:r>
          </m:sub>
        </m:sSub>
        <m:r>
          <m:rPr>
            <m:nor/>
          </m:rPr>
          <w:rPr>
            <w:rFonts w:ascii="Cambria Math" w:hAnsi="Cambria Math"/>
            <w:i w:val="0"/>
          </w:rPr>
          <m:t xml:space="preserve"> = </m:t>
        </m:r>
        <m:r>
          <m:rPr>
            <m:sty m:val="i"/>
          </m:rPr>
          <w:rPr>
            <w:rFonts w:ascii="Cambria Math" w:hAnsi="Cambria Math"/>
            <w:i/>
          </w:rPr>
          <m:t xml:space="preserve">k</m:t>
        </m:r>
        <m:r>
          <m:rPr>
            <m:sty m:val="i"/>
          </m:rPr>
          <w:rPr>
            <w:rFonts w:ascii="Cambria Math" w:hAnsi="Cambria Math"/>
            <w:i/>
          </w:rPr>
          <m:t xml:space="preserve">G</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s</m:t>
            </m:r>
            <m:sSub>
              <m:sSubPr>
                <m:ctrlPr>
                  <w:rPr>
                    <w:rFonts w:ascii="Cambria Math" w:hAnsi="Cambria Math"/>
                    <w:i/>
                  </w:rPr>
                </m:ctrlPr>
              </m:sSubPr>
              <m:e>
                <m:r>
                  <m:rPr>
                    <m:sty m:val="i"/>
                  </m:rPr>
                  <w:rPr>
                    <w:rFonts w:ascii="Cambria Math" w:hAnsi="Cambria Math"/>
                    <w:i/>
                  </w:rPr>
                  <m:t xml:space="preserve">u</m:t>
                </m:r>
              </m:e>
              <m:sub>
                <m:r>
                  <m:rPr>
                    <m:nor/>
                  </m:rPr>
                  <w:rPr>
                    <w:rFonts w:ascii="Cambria Math" w:hAnsi="Cambria Math"/>
                    <w:i w:val="0"/>
                  </w:rPr>
                  <m:t xml:space="preserve">s</m:t>
                </m:r>
              </m:sub>
            </m:sSub>
          </m:e>
        </m:d>
        <m:r>
          <m:rPr>
            <m:nor/>
          </m:rPr>
          <w:rPr>
            <w:rFonts w:ascii="Cambria Math" w:hAnsi="Cambria Math"/>
            <w:i w:val="0"/>
          </w:rPr>
          <m:t xml:space="preserve">.</m:t>
        </m:r>
      </m:oMath>
      <w:r>
        <w:tab/>
        <w:t xml:space="preserve">(4)</w:t>
      </w:r>
    </w:p>
    <w:p>
      <w:pPr>
        <w:jc w:val="both"/>
      </w:pPr>
      <w:r>
        <w:rPr>
          <w:rFonts w:ascii="Times New Roman" w:hAnsi="Times New Roman" w:eastAsia="Times New Roman"/>
          <w:b w:val="0"/>
          <w:i w:val="0"/>
        </w:rPr>
        <w:t>so an aligned neighborhood shields a site (λ</w:t>
      </w:r>
      <w:r>
        <w:rPr>
          <w:rFonts w:ascii="Times New Roman" w:hAnsi="Times New Roman" w:eastAsia="Times New Roman"/>
          <w:b w:val="0"/>
          <w:i w:val="0"/>
          <w:vertAlign w:val="subscript"/>
        </w:rPr>
        <w:t>i</w:t>
      </w:r>
      <w:r>
        <w:rPr>
          <w:rFonts w:ascii="Times New Roman" w:hAnsi="Times New Roman" w:eastAsia="Times New Roman"/>
          <w:b w:val="0"/>
          <w:i w:val="0"/>
        </w:rPr>
        <w:t xml:space="preserve"> → λ</w:t>
      </w:r>
      <w:r>
        <w:rPr>
          <w:rFonts w:ascii="Times New Roman" w:hAnsi="Times New Roman" w:eastAsia="Times New Roman"/>
          <w:b w:val="0"/>
          <w:i w:val="0"/>
          <w:vertAlign w:val="subscript"/>
        </w:rPr>
        <w:t>0</w:t>
      </w:r>
      <w:r>
        <w:rPr>
          <w:rFonts w:ascii="Times New Roman" w:hAnsi="Times New Roman" w:eastAsia="Times New Roman"/>
          <w:b w:val="0"/>
          <w:i w:val="0"/>
        </w:rPr>
        <w:t>) while a disordered neighborhood accelerates its degradation (λ</w:t>
      </w:r>
      <w:r>
        <w:rPr>
          <w:rFonts w:ascii="Times New Roman" w:hAnsi="Times New Roman" w:eastAsia="Times New Roman"/>
          <w:b w:val="0"/>
          <w:i w:val="0"/>
          <w:vertAlign w:val="subscript"/>
        </w:rPr>
        <w:t>i</w:t>
      </w:r>
      <w:r>
        <w:rPr>
          <w:rFonts w:ascii="Times New Roman" w:hAnsi="Times New Roman" w:eastAsia="Times New Roman"/>
          <w:b w:val="0"/>
          <w:i w:val="0"/>
        </w:rPr>
        <w:t xml:space="preserve"> → λ</w:t>
      </w:r>
      <w:r>
        <w:rPr>
          <w:rFonts w:ascii="Times New Roman" w:hAnsi="Times New Roman" w:eastAsia="Times New Roman"/>
          <w:b w:val="0"/>
          <w:i w:val="0"/>
          <w:vertAlign w:val="subscript"/>
        </w:rPr>
        <w:t>0</w:t>
      </w:r>
      <w:r>
        <w:rPr>
          <w:rFonts w:ascii="Times New Roman" w:hAnsi="Times New Roman" w:eastAsia="Times New Roman"/>
          <w:b w:val="0"/>
          <w:i w:val="0"/>
        </w:rPr>
        <w:t xml:space="preserve">(1 + β)); degradation is thus </w:t>
      </w:r>
      <w:r>
        <w:rPr>
          <w:rFonts w:ascii="Times New Roman" w:hAnsi="Times New Roman" w:eastAsia="Times New Roman"/>
          <w:b w:val="0"/>
          <w:i/>
        </w:rPr>
        <w:t>autocatalytic in disorder</w:t>
      </w:r>
      <w:r>
        <w:rPr>
          <w:rFonts w:ascii="Times New Roman" w:hAnsi="Times New Roman" w:eastAsia="Times New Roman"/>
          <w:b w:val="0"/>
          <w:i w:val="0"/>
        </w:rPr>
        <w:t xml:space="preserve">. Each diluted site is </w:t>
      </w:r>
      <w:r>
        <w:rPr>
          <w:rFonts w:ascii="Times New Roman" w:hAnsi="Times New Roman" w:eastAsia="Times New Roman"/>
          <w:b w:val="0"/>
          <w:i/>
        </w:rPr>
        <w:t>repaired</w:t>
      </w:r>
      <w:r>
        <w:rPr>
          <w:rFonts w:ascii="Times New Roman" w:hAnsi="Times New Roman" w:eastAsia="Times New Roman"/>
          <w:b w:val="0"/>
          <w:i w:val="0"/>
        </w:rPr>
        <w:t xml:space="preserve"> (g</w:t>
      </w:r>
      <w:r>
        <w:rPr>
          <w:rFonts w:ascii="Times New Roman" w:hAnsi="Times New Roman" w:eastAsia="Times New Roman"/>
          <w:b w:val="0"/>
          <w:i w:val="0"/>
          <w:vertAlign w:val="subscript"/>
        </w:rPr>
        <w:t>0</w:t>
      </w:r>
      <w:r>
        <w:rPr>
          <w:rFonts w:ascii="Times New Roman" w:hAnsi="Times New Roman" w:eastAsia="Times New Roman"/>
          <w:b w:val="0"/>
          <w:i w:val="0"/>
        </w:rPr>
        <w:t xml:space="preserve"> → 1, θ</w:t>
      </w:r>
      <w:r>
        <w:rPr>
          <w:rFonts w:ascii="Times New Roman" w:hAnsi="Times New Roman" w:eastAsia="Times New Roman"/>
          <w:b w:val="0"/>
          <w:i w:val="0"/>
          <w:vertAlign w:val="subscript"/>
        </w:rPr>
        <w:t>i</w:t>
      </w:r>
      <w:r>
        <w:rPr>
          <w:rFonts w:ascii="Times New Roman" w:hAnsi="Times New Roman" w:eastAsia="Times New Roman"/>
          <w:b w:val="0"/>
          <w:i w:val="0"/>
        </w:rPr>
        <w:t xml:space="preserve"> reset toward 0) at rate R. The bare susceptibility k, drive G, geometric shielding (1 − s u</w:t>
      </w:r>
      <w:r>
        <w:rPr>
          <w:rFonts w:ascii="Times New Roman" w:hAnsi="Times New Roman" w:eastAsia="Times New Roman"/>
          <w:b w:val="0"/>
          <w:i w:val="0"/>
          <w:vertAlign w:val="subscript"/>
        </w:rPr>
        <w:t>s</w:t>
      </w:r>
      <w:r>
        <w:rPr>
          <w:rFonts w:ascii="Times New Roman" w:hAnsi="Times New Roman" w:eastAsia="Times New Roman"/>
          <w:b w:val="0"/>
          <w:i w:val="0"/>
        </w:rPr>
        <w:t>), cooperativity h and gain β parameterize the flux. This state dependence couples the site process to the rotor field: the two cannot be treated separately, and detailed balance is broken, driving the joint system to a NESS.</w:t>
      </w:r>
    </w:p>
    <w:p>
      <w:pPr>
        <w:jc w:val="both"/>
      </w:pPr>
      <w:r>
        <w:rPr>
          <w:rFonts w:ascii="Times New Roman" w:hAnsi="Times New Roman" w:eastAsia="Times New Roman"/>
          <w:b w:val="0"/>
          <w:i/>
        </w:rPr>
        <w:t>Discrete steps and continuous rates.</w:t>
      </w:r>
      <w:r>
        <w:rPr>
          <w:rFonts w:ascii="Times New Roman" w:hAnsi="Times New Roman" w:eastAsia="Times New Roman"/>
          <w:b w:val="0"/>
          <w:i w:val="0"/>
        </w:rPr>
        <w:t xml:space="preserve"> The simulations advance in discrete steps: the rotors are relaxed, then every site is updated synchronously, with λ</w:t>
      </w:r>
      <w:r>
        <w:rPr>
          <w:rFonts w:ascii="Times New Roman" w:hAnsi="Times New Roman" w:eastAsia="Times New Roman"/>
          <w:b w:val="0"/>
          <w:i w:val="0"/>
          <w:vertAlign w:val="subscript"/>
        </w:rPr>
        <w:t>i</w:t>
      </w:r>
      <w:r>
        <w:rPr>
          <w:rFonts w:ascii="Times New Roman" w:hAnsi="Times New Roman" w:eastAsia="Times New Roman"/>
          <w:b w:val="0"/>
          <w:i w:val="0"/>
        </w:rPr>
        <w:t xml:space="preserve"> and R used as per-step probabilities (Appendix A). The rate equations of Section 4 are the continuous-time description of the same process, which the discrete chain approaches when λ</w:t>
      </w:r>
      <w:r>
        <w:rPr>
          <w:rFonts w:ascii="Times New Roman" w:hAnsi="Times New Roman" w:eastAsia="Times New Roman"/>
          <w:b w:val="0"/>
          <w:i w:val="0"/>
          <w:vertAlign w:val="subscript"/>
        </w:rPr>
        <w:t>i</w:t>
      </w:r>
      <w:r>
        <w:rPr>
          <w:rFonts w:ascii="Times New Roman" w:hAnsi="Times New Roman" w:eastAsia="Times New Roman"/>
          <w:b w:val="0"/>
          <w:i w:val="0"/>
        </w:rPr>
        <w:t>, R ≪ 1; the control ratio ρ = R/λ</w:t>
      </w:r>
      <w:r>
        <w:rPr>
          <w:rFonts w:ascii="Times New Roman" w:hAnsi="Times New Roman" w:eastAsia="Times New Roman"/>
          <w:b w:val="0"/>
          <w:i w:val="0"/>
          <w:vertAlign w:val="subscript"/>
        </w:rPr>
        <w:t>0</w:t>
      </w:r>
      <w:r>
        <w:rPr>
          <w:rFonts w:ascii="Times New Roman" w:hAnsi="Times New Roman" w:eastAsia="Times New Roman"/>
          <w:b w:val="0"/>
          <w:i w:val="0"/>
        </w:rPr>
        <w:t xml:space="preserve"> is the same in both, and where the discrete update shifts a result (Section 4.1) the shift is stated.</w:t>
      </w:r>
    </w:p>
    <w:p>
      <w:pPr>
        <w:jc w:val="both"/>
      </w:pPr>
      <w:r>
        <w:rPr>
          <w:rFonts w:ascii="Times New Roman" w:hAnsi="Times New Roman" w:eastAsia="Times New Roman"/>
          <w:b w:val="0"/>
          <w:i w:val="0"/>
        </w:rPr>
        <w:t>The order parameter and the information variable are</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U</m:t>
            </m:r>
          </m:e>
          <m:sub>
            <m:r>
              <m:rPr>
                <m:nor/>
              </m:rPr>
              <w:rPr>
                <w:rFonts w:ascii="Cambria Math" w:hAnsi="Cambria Math"/>
                <w:i w:val="0"/>
              </w:rPr>
              <m:t xml:space="preserve">χ</m:t>
            </m:r>
          </m:sub>
        </m:sSub>
        <m:r>
          <m:rPr>
            <m:nor/>
          </m:rPr>
          <w:rPr>
            <w:rFonts w:ascii="Cambria Math" w:hAnsi="Cambria Math"/>
            <w:i w:val="0"/>
          </w:rPr>
          <m:t xml:space="preserve"> = </m:t>
        </m:r>
        <m:d>
          <m:dPr>
            <m:begChr m:val="|"/>
            <m:endChr m:val="|"/>
            <m:ctrlPr>
              <w:rPr>
                <w:rFonts w:ascii="Cambria Math" w:hAnsi="Cambria Math"/>
                <w:i/>
              </w:rPr>
            </m:ctrlPr>
          </m:dPr>
          <m:e>
            <m:sSup>
              <m:sSupPr>
                <m:ctrlPr>
                  <w:rPr>
                    <w:rFonts w:ascii="Cambria Math" w:hAnsi="Cambria Math"/>
                    <w:i/>
                  </w:rPr>
                </m:ctrlPr>
              </m:sSupPr>
              <m:e>
                <m:r>
                  <m:rPr>
                    <m:sty m:val="i"/>
                  </m:rPr>
                  <w:rPr>
                    <w:rFonts w:ascii="Cambria Math" w:hAnsi="Cambria Math"/>
                    <w:i/>
                  </w:rPr>
                  <m:t xml:space="preserve">N</m:t>
                </m:r>
              </m:e>
              <m:sup>
                <m:r>
                  <m:rPr>
                    <m:nor/>
                  </m:rPr>
                  <w:rPr>
                    <w:rFonts w:ascii="Cambria Math" w:hAnsi="Cambria Math"/>
                    <w:i w:val="0"/>
                  </w:rPr>
                  <m:t xml:space="preserve">−1</m:t>
                </m:r>
              </m:sup>
            </m:sSup>
            <m:nary>
              <m:naryPr>
                <m:chr m:val="∑"/>
                <m:limLoc m:val="undOvr"/>
                <m:supHide m:val="1"/>
                <m:ctrlPr>
                  <w:rPr>
                    <w:rFonts w:ascii="Cambria Math" w:hAnsi="Cambria Math"/>
                    <w:i/>
                  </w:rPr>
                </m:ctrlPr>
              </m:naryPr>
              <m:sub>
                <m:r>
                  <m:rPr>
                    <m:sty m:val="i"/>
                  </m:rPr>
                  <w:rPr>
                    <w:rFonts w:ascii="Cambria Math" w:hAnsi="Cambria Math"/>
                    <w:i/>
                  </w:rPr>
                  <m:t xml:space="preserve">i</m:t>
                </m:r>
              </m:sub>
              <m:sup/>
              <m:e>
                <m:sSup>
                  <m:sSupPr>
                    <m:ctrlPr>
                      <w:rPr>
                        <w:rFonts w:ascii="Cambria Math" w:hAnsi="Cambria Math"/>
                        <w:i/>
                      </w:rPr>
                    </m:ctrlPr>
                  </m:sSupPr>
                  <m:e>
                    <m:r>
                      <m:rPr>
                        <m:sty m:val="i"/>
                      </m:rPr>
                      <w:rPr>
                        <w:rFonts w:ascii="Cambria Math" w:hAnsi="Cambria Math"/>
                        <w:i/>
                      </w:rPr>
                      <m:t xml:space="preserve">e</m:t>
                    </m:r>
                  </m:e>
                  <m:sup>
                    <m:r>
                      <m:rPr>
                        <m:sty m:val="i"/>
                      </m:rPr>
                      <w:rPr>
                        <w:rFonts w:ascii="Cambria Math" w:hAnsi="Cambria Math"/>
                        <w:i/>
                      </w:rPr>
                      <m:t xml:space="preserve">i</m:t>
                    </m:r>
                    <m:sSub>
                      <m:sSubPr>
                        <m:ctrlPr>
                          <w:rPr>
                            <w:rFonts w:ascii="Cambria Math" w:hAnsi="Cambria Math"/>
                            <w:i/>
                          </w:rPr>
                        </m:ctrlPr>
                      </m:sSubPr>
                      <m:e>
                        <m:r>
                          <m:rPr>
                            <m:sty m:val="i"/>
                          </m:rPr>
                          <w:rPr>
                            <w:rFonts w:ascii="Cambria Math" w:hAnsi="Cambria Math"/>
                            <w:i/>
                          </w:rPr>
                          <m:t xml:space="preserve">θ</m:t>
                        </m:r>
                      </m:e>
                      <m:sub>
                        <m:r>
                          <m:rPr>
                            <m:sty m:val="i"/>
                          </m:rPr>
                          <w:rPr>
                            <w:rFonts w:ascii="Cambria Math" w:hAnsi="Cambria Math"/>
                            <w:i/>
                          </w:rPr>
                          <m:t xml:space="preserve">i</m:t>
                        </m:r>
                      </m:sub>
                    </m:sSub>
                  </m:sup>
                </m:sSup>
              </m:e>
            </m:nary>
          </m:e>
        </m:d>
        <m:r>
          <m:rPr>
            <m:nor/>
          </m:rPr>
          <w:rPr>
            <w:rFonts w:ascii="Cambria Math" w:hAnsi="Cambria Math"/>
            <w:i w:val="0"/>
          </w:rPr>
          <m:t xml:space="preserve">,</m:t>
        </m:r>
        <m:r>
          <m:rPr>
            <m:nor/>
          </m:rPr>
          <w:rPr>
            <w:rFonts w:ascii="Cambria Math" w:hAnsi="Cambria Math"/>
            <w:i w:val="0"/>
          </w:rPr>
          <m:t xml:space="preserve"> </m:t>
        </m:r>
        <m:r>
          <m:rPr>
            <m:sty m:val="i"/>
          </m:rPr>
          <w:rPr>
            <w:rFonts w:ascii="Cambria Math" w:hAnsi="Cambria Math"/>
            <w:i/>
          </w:rPr>
          <m:t xml:space="preserve">I</m:t>
        </m:r>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U</m:t>
            </m:r>
          </m:e>
          <m:sub>
            <m:r>
              <m:rPr>
                <m:nor/>
              </m:rPr>
              <w:rPr>
                <w:rFonts w:ascii="Cambria Math" w:hAnsi="Cambria Math"/>
                <w:i w:val="0"/>
              </w:rPr>
              <m:t xml:space="preserve">χ</m:t>
            </m:r>
          </m:sub>
        </m:sSub>
        <m:r>
          <m:rPr>
            <m:nor/>
          </m:rPr>
          <w:rPr>
            <w:rFonts w:ascii="Cambria Math" w:hAnsi="Cambria Math"/>
            <w:i w:val="0"/>
          </w:rPr>
          <m:t xml:space="preserve">.</m:t>
        </m:r>
      </m:oMath>
      <w:r>
        <w:tab/>
        <w:t xml:space="preserve">(5)</w:t>
      </w:r>
    </w:p>
    <w:p>
      <w:pPr>
        <w:pStyle w:val="Heading1"/>
      </w:pPr>
      <w:r>
        <w:rPr>
          <w:rFonts w:ascii="Times New Roman" w:hAnsi="Times New Roman" w:eastAsia="Times New Roman"/>
          <w:b w:val="0"/>
          <w:i w:val="0"/>
        </w:rPr>
        <w:t>3. The order–entropy bridge</w:t>
      </w:r>
    </w:p>
    <w:p>
      <w:pPr>
        <w:jc w:val="both"/>
      </w:pPr>
      <w:r>
        <w:rPr>
          <w:rFonts w:ascii="Times New Roman" w:hAnsi="Times New Roman" w:eastAsia="Times New Roman"/>
          <w:b w:val="0"/>
          <w:i w:val="0"/>
        </w:rPr>
        <w:t>Fixing the mean resultant length and maximizing differential entropy over circular densities yields the von Mises law vM(κ) [19, 20], with density</w:t>
      </w:r>
    </w:p>
    <w:p>
      <w:pPr>
        <w:keepLines/>
        <w:tabs>
          <w:tab w:pos="4680" w:val="center"/>
          <w:tab w:pos="9360" w:val="right"/>
        </w:tabs>
        <w:spacing w:before="120" w:after="120"/>
      </w:pPr>
      <w:r>
        <w:tab/>
      </w:r>
      <m:oMath>
        <m:r>
          <m:rPr>
            <m:sty m:val="i"/>
          </m:rPr>
          <w:rPr>
            <w:rFonts w:ascii="Cambria Math" w:hAnsi="Cambria Math"/>
            <w:i/>
          </w:rPr>
          <m:t xml:space="preserve">f</m:t>
        </m:r>
        <m:d>
          <m:dPr>
            <m:begChr m:val="("/>
            <m:endChr m:val=")"/>
            <m:ctrlPr>
              <w:rPr>
                <w:rFonts w:ascii="Cambria Math" w:hAnsi="Cambria Math"/>
                <w:i/>
              </w:rPr>
            </m:ctrlPr>
          </m:dPr>
          <m:e>
            <m:r>
              <m:rPr>
                <m:sty m:val="i"/>
              </m:rPr>
              <w:rPr>
                <w:rFonts w:ascii="Cambria Math" w:hAnsi="Cambria Math"/>
                <w:i/>
              </w:rPr>
              <m:t xml:space="preserve">θ</m:t>
            </m:r>
          </m:e>
        </m:d>
        <m:r>
          <m:rPr>
            <m:nor/>
          </m:rPr>
          <w:rPr>
            <w:rFonts w:ascii="Cambria Math" w:hAnsi="Cambria Math"/>
            <w:i w:val="0"/>
          </w:rPr>
          <m:t xml:space="preserve"> = </m:t>
        </m:r>
        <m:f>
          <m:fPr>
            <m:ctrlPr>
              <w:rPr>
                <w:rFonts w:ascii="Cambria Math" w:hAnsi="Cambria Math"/>
                <w:i/>
              </w:rPr>
            </m:ctrlPr>
          </m:fPr>
          <m:num>
            <m:sSup>
              <m:sSupPr>
                <m:ctrlPr>
                  <w:rPr>
                    <w:rFonts w:ascii="Cambria Math" w:hAnsi="Cambria Math"/>
                    <w:i/>
                  </w:rPr>
                </m:ctrlPr>
              </m:sSupPr>
              <m:e>
                <m:r>
                  <m:rPr>
                    <m:sty m:val="i"/>
                  </m:rPr>
                  <w:rPr>
                    <w:rFonts w:ascii="Cambria Math" w:hAnsi="Cambria Math"/>
                    <w:i/>
                  </w:rPr>
                  <m:t xml:space="preserve">e</m:t>
                </m:r>
              </m:e>
              <m:sup>
                <m:r>
                  <m:rPr>
                    <m:sty m:val="i"/>
                  </m:rPr>
                  <w:rPr>
                    <w:rFonts w:ascii="Cambria Math" w:hAnsi="Cambria Math"/>
                    <w:i/>
                  </w:rPr>
                  <m:t xml:space="preserve">κ</m:t>
                </m:r>
                <m:r>
                  <m:rPr>
                    <m:nor/>
                  </m:rPr>
                  <w:rPr>
                    <w:rFonts w:ascii="Cambria Math" w:hAnsi="Cambria Math"/>
                    <w:i w:val="0"/>
                  </w:rPr>
                  <m:t xml:space="preserve"> cos </m:t>
                </m:r>
                <m:r>
                  <m:rPr>
                    <m:sty m:val="i"/>
                  </m:rPr>
                  <w:rPr>
                    <w:rFonts w:ascii="Cambria Math" w:hAnsi="Cambria Math"/>
                    <w:i/>
                  </w:rPr>
                  <m:t xml:space="preserve">θ</m:t>
                </m:r>
              </m:sup>
            </m:sSup>
          </m:num>
          <m:den>
            <m:r>
              <m:rPr>
                <m:nor/>
              </m:rPr>
              <w:rPr>
                <w:rFonts w:ascii="Cambria Math" w:hAnsi="Cambria Math"/>
                <w:i w:val="0"/>
              </w:rPr>
              <m:t xml:space="preserve">2</m:t>
            </m:r>
            <m:r>
              <m:rPr>
                <m:sty m:val="i"/>
              </m:rPr>
              <w:rPr>
                <w:rFonts w:ascii="Cambria Math" w:hAnsi="Cambria Math"/>
                <w:i/>
              </w:rPr>
              <m:t xml:space="preserve">π</m:t>
            </m:r>
            <m:sSub>
              <m:sSubPr>
                <m:ctrlPr>
                  <w:rPr>
                    <w:rFonts w:ascii="Cambria Math" w:hAnsi="Cambria Math"/>
                    <w:i/>
                  </w:rPr>
                </m:ctrlPr>
              </m:sSubPr>
              <m:e>
                <m:r>
                  <m:rPr>
                    <m:sty m:val="i"/>
                  </m:rPr>
                  <w:rPr>
                    <w:rFonts w:ascii="Cambria Math" w:hAnsi="Cambria Math"/>
                    <w:i/>
                  </w:rPr>
                  <m:t xml:space="preserve">I</m:t>
                </m:r>
              </m:e>
              <m:sub>
                <m:r>
                  <m:rPr>
                    <m:nor/>
                  </m:rPr>
                  <w:rPr>
                    <w:rFonts w:ascii="Cambria Math" w:hAnsi="Cambria Math"/>
                    <w:i w:val="0"/>
                  </w:rPr>
                  <m:t xml:space="preserve">0</m:t>
                </m:r>
              </m:sub>
            </m:sSub>
            <m:d>
              <m:dPr>
                <m:begChr m:val="("/>
                <m:endChr m:val=")"/>
                <m:ctrlPr>
                  <w:rPr>
                    <w:rFonts w:ascii="Cambria Math" w:hAnsi="Cambria Math"/>
                    <w:i/>
                  </w:rPr>
                </m:ctrlPr>
              </m:dPr>
              <m:e>
                <m:r>
                  <m:rPr>
                    <m:sty m:val="i"/>
                  </m:rPr>
                  <w:rPr>
                    <w:rFonts w:ascii="Cambria Math" w:hAnsi="Cambria Math"/>
                    <w:i/>
                  </w:rPr>
                  <m:t xml:space="preserve">κ</m:t>
                </m:r>
              </m:e>
            </m:d>
          </m:den>
        </m:f>
        <m:r>
          <m:rPr>
            <m:nor/>
          </m:rPr>
          <w:rPr>
            <w:rFonts w:ascii="Cambria Math" w:hAnsi="Cambria Math"/>
            <w:i w:val="0"/>
          </w:rPr>
          <m:t xml:space="preserve">,</m:t>
        </m:r>
        <m:r>
          <m:rPr>
            <m:nor/>
          </m:rPr>
          <w:rPr>
            <w:rFonts w:ascii="Cambria Math" w:hAnsi="Cambria Math"/>
            <w:i w:val="0"/>
          </w:rPr>
          <m:t xml:space="preserve"> </m:t>
        </m:r>
        <m:r>
          <m:rPr>
            <m:sty m:val="i"/>
          </m:rPr>
          <w:rPr>
            <w:rFonts w:ascii="Cambria Math" w:hAnsi="Cambria Math"/>
            <w:i/>
          </w:rPr>
          <m:t xml:space="preserve">A</m:t>
        </m:r>
        <m:d>
          <m:dPr>
            <m:begChr m:val="("/>
            <m:endChr m:val=")"/>
            <m:ctrlPr>
              <w:rPr>
                <w:rFonts w:ascii="Cambria Math" w:hAnsi="Cambria Math"/>
                <w:i/>
              </w:rPr>
            </m:ctrlPr>
          </m:dPr>
          <m:e>
            <m:r>
              <m:rPr>
                <m:sty m:val="i"/>
              </m:rPr>
              <w:rPr>
                <w:rFonts w:ascii="Cambria Math" w:hAnsi="Cambria Math"/>
                <w:i/>
              </w:rPr>
              <m:t xml:space="preserve">κ</m:t>
            </m:r>
          </m:e>
        </m:d>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I</m:t>
                </m:r>
              </m:e>
              <m:sub>
                <m:r>
                  <m:rPr>
                    <m:nor/>
                  </m:rPr>
                  <w:rPr>
                    <w:rFonts w:ascii="Cambria Math" w:hAnsi="Cambria Math"/>
                    <w:i w:val="0"/>
                  </w:rPr>
                  <m:t xml:space="preserve">1</m:t>
                </m:r>
              </m:sub>
            </m:sSub>
            <m:d>
              <m:dPr>
                <m:begChr m:val="("/>
                <m:endChr m:val=")"/>
                <m:ctrlPr>
                  <w:rPr>
                    <w:rFonts w:ascii="Cambria Math" w:hAnsi="Cambria Math"/>
                    <w:i/>
                  </w:rPr>
                </m:ctrlPr>
              </m:dPr>
              <m:e>
                <m:r>
                  <m:rPr>
                    <m:sty m:val="i"/>
                  </m:rPr>
                  <w:rPr>
                    <w:rFonts w:ascii="Cambria Math" w:hAnsi="Cambria Math"/>
                    <w:i/>
                  </w:rPr>
                  <m:t xml:space="preserve">κ</m:t>
                </m:r>
              </m:e>
            </m:d>
          </m:num>
          <m:den>
            <m:sSub>
              <m:sSubPr>
                <m:ctrlPr>
                  <w:rPr>
                    <w:rFonts w:ascii="Cambria Math" w:hAnsi="Cambria Math"/>
                    <w:i/>
                  </w:rPr>
                </m:ctrlPr>
              </m:sSubPr>
              <m:e>
                <m:r>
                  <m:rPr>
                    <m:sty m:val="i"/>
                  </m:rPr>
                  <w:rPr>
                    <w:rFonts w:ascii="Cambria Math" w:hAnsi="Cambria Math"/>
                    <w:i/>
                  </w:rPr>
                  <m:t xml:space="preserve">I</m:t>
                </m:r>
              </m:e>
              <m:sub>
                <m:r>
                  <m:rPr>
                    <m:nor/>
                  </m:rPr>
                  <w:rPr>
                    <w:rFonts w:ascii="Cambria Math" w:hAnsi="Cambria Math"/>
                    <w:i w:val="0"/>
                  </w:rPr>
                  <m:t xml:space="preserve">0</m:t>
                </m:r>
              </m:sub>
            </m:sSub>
            <m:d>
              <m:dPr>
                <m:begChr m:val="("/>
                <m:endChr m:val=")"/>
                <m:ctrlPr>
                  <w:rPr>
                    <w:rFonts w:ascii="Cambria Math" w:hAnsi="Cambria Math"/>
                    <w:i/>
                  </w:rPr>
                </m:ctrlPr>
              </m:dPr>
              <m:e>
                <m:r>
                  <m:rPr>
                    <m:sty m:val="i"/>
                  </m:rPr>
                  <w:rPr>
                    <w:rFonts w:ascii="Cambria Math" w:hAnsi="Cambria Math"/>
                    <w:i/>
                  </w:rPr>
                  <m:t xml:space="preserve">κ</m:t>
                </m:r>
              </m:e>
            </m:d>
          </m:den>
        </m:f>
        <m:r>
          <m:rPr>
            <m:nor/>
          </m:rPr>
          <w:rPr>
            <w:rFonts w:ascii="Cambria Math" w:hAnsi="Cambria Math"/>
            <w:i w:val="0"/>
          </w:rPr>
          <m:t xml:space="preserve">.</m:t>
        </m:r>
      </m:oMath>
      <w:r>
        <w:tab/>
        <w:t xml:space="preserve">(6)</w:t>
      </w:r>
    </w:p>
    <w:p>
      <w:pPr>
        <w:jc w:val="both"/>
      </w:pPr>
      <w:r>
        <w:rPr>
          <w:rFonts w:ascii="Times New Roman" w:hAnsi="Times New Roman" w:eastAsia="Times New Roman"/>
          <w:b w:val="0"/>
          <w:i w:val="0"/>
        </w:rPr>
        <w:t>where I</w:t>
      </w:r>
      <w:r>
        <w:rPr>
          <w:rFonts w:ascii="Times New Roman" w:hAnsi="Times New Roman" w:eastAsia="Times New Roman"/>
          <w:b w:val="0"/>
          <w:i w:val="0"/>
          <w:vertAlign w:val="subscript"/>
        </w:rPr>
        <w:t>0</w:t>
      </w:r>
      <w:r>
        <w:rPr>
          <w:rFonts w:ascii="Times New Roman" w:hAnsi="Times New Roman" w:eastAsia="Times New Roman"/>
          <w:b w:val="0"/>
          <w:i w:val="0"/>
        </w:rPr>
        <w:t xml:space="preserve"> and I</w:t>
      </w:r>
      <w:r>
        <w:rPr>
          <w:rFonts w:ascii="Times New Roman" w:hAnsi="Times New Roman" w:eastAsia="Times New Roman"/>
          <w:b w:val="0"/>
          <w:i w:val="0"/>
          <w:vertAlign w:val="subscript"/>
        </w:rPr>
        <w:t>1</w:t>
      </w:r>
      <w:r>
        <w:rPr>
          <w:rFonts w:ascii="Times New Roman" w:hAnsi="Times New Roman" w:eastAsia="Times New Roman"/>
          <w:b w:val="0"/>
          <w:i w:val="0"/>
        </w:rPr>
        <w:t xml:space="preserve"> are modified Bessel functions of the first kind [21].</w:t>
      </w:r>
    </w:p>
    <w:p>
      <w:pPr>
        <w:jc w:val="both"/>
      </w:pPr>
      <w:r>
        <w:rPr>
          <w:rFonts w:ascii="Times New Roman" w:hAnsi="Times New Roman" w:eastAsia="Times New Roman"/>
          <w:b/>
          <w:i w:val="0"/>
        </w:rPr>
        <w:t>Theorem 1 (Order–entropy bridge).</w:t>
      </w:r>
      <w:r>
        <w:rPr>
          <w:rFonts w:ascii="Times New Roman" w:hAnsi="Times New Roman" w:eastAsia="Times New Roman"/>
          <w:b w:val="0"/>
          <w:i w:val="0"/>
        </w:rPr>
        <w:t xml:space="preserve"> </w:t>
      </w:r>
      <w:r>
        <w:rPr>
          <w:rFonts w:ascii="Times New Roman" w:hAnsi="Times New Roman" w:eastAsia="Times New Roman"/>
          <w:b w:val="0"/>
          <w:i/>
        </w:rPr>
        <w:t>For the von Mises family: (i) U</w:t>
      </w:r>
      <w:r>
        <w:rPr>
          <w:rFonts w:ascii="Times New Roman" w:hAnsi="Times New Roman" w:eastAsia="Times New Roman"/>
          <w:b w:val="0"/>
          <w:i/>
          <w:vertAlign w:val="subscript"/>
        </w:rPr>
        <w:t>χ</w:t>
      </w:r>
      <w:r>
        <w:rPr>
          <w:rFonts w:ascii="Times New Roman" w:hAnsi="Times New Roman" w:eastAsia="Times New Roman"/>
          <w:b w:val="0"/>
          <w:i/>
        </w:rPr>
        <w:t xml:space="preserve"> = A(κ) is a smooth strictly increasing bijection [0, ∞) → [0, 1); (ii) S(κ) = ln(2π I</w:t>
      </w:r>
      <w:r>
        <w:rPr>
          <w:rFonts w:ascii="Times New Roman" w:hAnsi="Times New Roman" w:eastAsia="Times New Roman"/>
          <w:b w:val="0"/>
          <w:i/>
          <w:vertAlign w:val="subscript"/>
        </w:rPr>
        <w:t>0</w:t>
      </w:r>
      <w:r>
        <w:rPr>
          <w:rFonts w:ascii="Times New Roman" w:hAnsi="Times New Roman" w:eastAsia="Times New Roman"/>
          <w:b w:val="0"/>
          <w:i/>
        </w:rPr>
        <w:t>(κ)) − κ A(κ) satisfies dS/dκ = −κ A′(κ) &lt; 0 for κ &gt; 0, hence dS/dU</w:t>
      </w:r>
      <w:r>
        <w:rPr>
          <w:rFonts w:ascii="Times New Roman" w:hAnsi="Times New Roman" w:eastAsia="Times New Roman"/>
          <w:b w:val="0"/>
          <w:i/>
          <w:vertAlign w:val="subscript"/>
        </w:rPr>
        <w:t>χ</w:t>
      </w:r>
      <w:r>
        <w:rPr>
          <w:rFonts w:ascii="Times New Roman" w:hAnsi="Times New Roman" w:eastAsia="Times New Roman"/>
          <w:b w:val="0"/>
          <w:i/>
        </w:rPr>
        <w:t xml:space="preserve"> = −κ; (iii) S is a strictly decreasing invertible function of U</w:t>
      </w:r>
      <w:r>
        <w:rPr>
          <w:rFonts w:ascii="Times New Roman" w:hAnsi="Times New Roman" w:eastAsia="Times New Roman"/>
          <w:b w:val="0"/>
          <w:i/>
          <w:vertAlign w:val="subscript"/>
        </w:rPr>
        <w:t>χ</w:t>
      </w:r>
      <w:r>
        <w:rPr>
          <w:rFonts w:ascii="Times New Roman" w:hAnsi="Times New Roman" w:eastAsia="Times New Roman"/>
          <w:b w:val="0"/>
          <w:i/>
        </w:rPr>
        <w:t>, with S = ln 2π at U</w:t>
      </w:r>
      <w:r>
        <w:rPr>
          <w:rFonts w:ascii="Times New Roman" w:hAnsi="Times New Roman" w:eastAsia="Times New Roman"/>
          <w:b w:val="0"/>
          <w:i/>
          <w:vertAlign w:val="subscript"/>
        </w:rPr>
        <w:t>χ</w:t>
      </w:r>
      <w:r>
        <w:rPr>
          <w:rFonts w:ascii="Times New Roman" w:hAnsi="Times New Roman" w:eastAsia="Times New Roman"/>
          <w:b w:val="0"/>
          <w:i/>
        </w:rPr>
        <w:t xml:space="preserve"> = 0 and S → −∞ as U</w:t>
      </w:r>
      <w:r>
        <w:rPr>
          <w:rFonts w:ascii="Times New Roman" w:hAnsi="Times New Roman" w:eastAsia="Times New Roman"/>
          <w:b w:val="0"/>
          <w:i/>
          <w:vertAlign w:val="subscript"/>
        </w:rPr>
        <w:t>χ</w:t>
      </w:r>
      <w:r>
        <w:rPr>
          <w:rFonts w:ascii="Times New Roman" w:hAnsi="Times New Roman" w:eastAsia="Times New Roman"/>
          <w:b w:val="0"/>
          <w:i/>
        </w:rPr>
        <w:t xml:space="preserve"> → 1; (iv) H</w:t>
      </w:r>
      <w:r>
        <w:rPr>
          <w:rFonts w:ascii="Times New Roman" w:hAnsi="Times New Roman" w:eastAsia="Times New Roman"/>
          <w:b w:val="0"/>
          <w:i/>
          <w:vertAlign w:val="subscript"/>
        </w:rPr>
        <w:t>χ</w:t>
      </w:r>
      <w:r>
        <w:rPr>
          <w:rFonts w:ascii="Times New Roman" w:hAnsi="Times New Roman" w:eastAsia="Times New Roman"/>
          <w:b w:val="0"/>
          <w:i/>
        </w:rPr>
        <w:t xml:space="preserve"> = S</w:t>
      </w:r>
      <w:r>
        <w:rPr>
          <w:rFonts w:ascii="Times New Roman" w:hAnsi="Times New Roman" w:eastAsia="Times New Roman"/>
          <w:b w:val="0"/>
          <w:i/>
          <w:vertAlign w:val="subscript"/>
        </w:rPr>
        <w:t>max</w:t>
      </w:r>
      <w:r>
        <w:rPr>
          <w:rFonts w:ascii="Times New Roman" w:hAnsi="Times New Roman" w:eastAsia="Times New Roman"/>
          <w:b w:val="0"/>
          <w:i/>
        </w:rPr>
        <w:t xml:space="preserve"> − S = −½ ln(1 − U</w:t>
      </w:r>
      <w:r>
        <w:rPr>
          <w:rFonts w:ascii="Times New Roman" w:hAnsi="Times New Roman" w:eastAsia="Times New Roman"/>
          <w:b w:val="0"/>
          <w:i/>
          <w:vertAlign w:val="subscript"/>
        </w:rPr>
        <w:t>χ</w:t>
      </w:r>
      <w:r>
        <w:rPr>
          <w:rFonts w:ascii="Times New Roman" w:hAnsi="Times New Roman" w:eastAsia="Times New Roman"/>
          <w:b w:val="0"/>
          <w:i/>
        </w:rPr>
        <w:t>) + ½(ln π − 1) + o(1) as U</w:t>
      </w:r>
      <w:r>
        <w:rPr>
          <w:rFonts w:ascii="Times New Roman" w:hAnsi="Times New Roman" w:eastAsia="Times New Roman"/>
          <w:b w:val="0"/>
          <w:i/>
          <w:vertAlign w:val="subscript"/>
        </w:rPr>
        <w:t>χ</w:t>
      </w:r>
      <w:r>
        <w:rPr>
          <w:rFonts w:ascii="Times New Roman" w:hAnsi="Times New Roman" w:eastAsia="Times New Roman"/>
          <w:b w:val="0"/>
          <w:i/>
        </w:rPr>
        <w:t xml:space="preserve"> → 1.</w:t>
      </w:r>
    </w:p>
    <w:p>
      <w:pPr>
        <w:jc w:val="both"/>
      </w:pPr>
      <w:r>
        <w:rPr>
          <w:rFonts w:ascii="Times New Roman" w:hAnsi="Times New Roman" w:eastAsia="Times New Roman"/>
          <w:b/>
          <w:i w:val="0"/>
        </w:rPr>
        <w:t>Proof.</w:t>
      </w:r>
      <w:r>
        <w:rPr>
          <w:rFonts w:ascii="Times New Roman" w:hAnsi="Times New Roman" w:eastAsia="Times New Roman"/>
          <w:b w:val="0"/>
          <w:i w:val="0"/>
        </w:rPr>
        <w:t xml:space="preserve"> (i) The von Mises family is an exponential family in cos θ with log-partition function ln(2π I</w:t>
      </w:r>
      <w:r>
        <w:rPr>
          <w:rFonts w:ascii="Times New Roman" w:hAnsi="Times New Roman" w:eastAsia="Times New Roman"/>
          <w:b w:val="0"/>
          <w:i w:val="0"/>
          <w:vertAlign w:val="subscript"/>
        </w:rPr>
        <w:t>0</w:t>
      </w:r>
      <w:r>
        <w:rPr>
          <w:rFonts w:ascii="Times New Roman" w:hAnsi="Times New Roman" w:eastAsia="Times New Roman"/>
          <w:b w:val="0"/>
          <w:i w:val="0"/>
        </w:rPr>
        <w:t>(κ)), so A(κ) = d ln I</w:t>
      </w:r>
      <w:r>
        <w:rPr>
          <w:rFonts w:ascii="Times New Roman" w:hAnsi="Times New Roman" w:eastAsia="Times New Roman"/>
          <w:b w:val="0"/>
          <w:i w:val="0"/>
          <w:vertAlign w:val="subscript"/>
        </w:rPr>
        <w:t>0</w:t>
      </w:r>
      <w:r>
        <w:rPr>
          <w:rFonts w:ascii="Times New Roman" w:hAnsi="Times New Roman" w:eastAsia="Times New Roman"/>
          <w:b w:val="0"/>
          <w:i w:val="0"/>
        </w:rPr>
        <w:t>(κ)/dκ = E</w:t>
      </w:r>
      <w:r>
        <w:rPr>
          <w:rFonts w:ascii="Times New Roman" w:hAnsi="Times New Roman" w:eastAsia="Times New Roman"/>
          <w:b w:val="0"/>
          <w:i w:val="0"/>
          <w:vertAlign w:val="subscript"/>
        </w:rPr>
        <w:t>κ</w:t>
      </w:r>
      <w:r>
        <w:rPr>
          <w:rFonts w:ascii="Times New Roman" w:hAnsi="Times New Roman" w:eastAsia="Times New Roman"/>
          <w:b w:val="0"/>
          <w:i w:val="0"/>
        </w:rPr>
        <w:t>[cos θ], and A′(κ) = Var</w:t>
      </w:r>
      <w:r>
        <w:rPr>
          <w:rFonts w:ascii="Times New Roman" w:hAnsi="Times New Roman" w:eastAsia="Times New Roman"/>
          <w:b w:val="0"/>
          <w:i w:val="0"/>
          <w:vertAlign w:val="subscript"/>
        </w:rPr>
        <w:t>κ</w:t>
      </w:r>
      <w:r>
        <w:rPr>
          <w:rFonts w:ascii="Times New Roman" w:hAnsi="Times New Roman" w:eastAsia="Times New Roman"/>
          <w:b w:val="0"/>
          <w:i w:val="0"/>
        </w:rPr>
        <w:t>(cos θ), which is strictly positive for every κ ≥ 0 because cos θ is not almost surely constant under any von Mises law. The Bessel recurrences give the Riccati identity (see [21] for properties of the ratio A)</w:t>
      </w:r>
    </w:p>
    <w:p>
      <w:pPr>
        <w:keepLines/>
        <w:tabs>
          <w:tab w:pos="4680" w:val="center"/>
          <w:tab w:pos="9360" w:val="right"/>
        </w:tabs>
        <w:spacing w:before="120" w:after="120"/>
      </w:pPr>
      <w:r>
        <w:tab/>
      </w:r>
      <m:oMath>
        <m:r>
          <m:rPr>
            <m:sty m:val="i"/>
          </m:rPr>
          <w:rPr>
            <w:rFonts w:ascii="Cambria Math" w:hAnsi="Cambria Math"/>
            <w:i/>
          </w:rPr>
          <m:t xml:space="preserve">A</m:t>
        </m:r>
        <m:r>
          <m:rPr>
            <m:nor/>
          </m:rPr>
          <w:rPr>
            <w:rFonts w:ascii="Cambria Math" w:hAnsi="Cambria Math"/>
            <w:i w:val="0"/>
          </w:rPr>
          <m:t xml:space="preserve">′</m:t>
        </m:r>
        <m:d>
          <m:dPr>
            <m:begChr m:val="("/>
            <m:endChr m:val=")"/>
            <m:ctrlPr>
              <w:rPr>
                <w:rFonts w:ascii="Cambria Math" w:hAnsi="Cambria Math"/>
                <w:i/>
              </w:rPr>
            </m:ctrlPr>
          </m:dPr>
          <m:e>
            <m:r>
              <m:rPr>
                <m:sty m:val="i"/>
              </m:rPr>
              <w:rPr>
                <w:rFonts w:ascii="Cambria Math" w:hAnsi="Cambria Math"/>
                <w:i/>
              </w:rPr>
              <m:t xml:space="preserve">κ</m:t>
            </m:r>
          </m:e>
        </m:d>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A</m:t>
            </m:r>
            <m:d>
              <m:dPr>
                <m:begChr m:val="("/>
                <m:endChr m:val=")"/>
                <m:ctrlPr>
                  <w:rPr>
                    <w:rFonts w:ascii="Cambria Math" w:hAnsi="Cambria Math"/>
                    <w:i/>
                  </w:rPr>
                </m:ctrlPr>
              </m:dPr>
              <m:e>
                <m:r>
                  <m:rPr>
                    <m:sty m:val="i"/>
                  </m:rPr>
                  <w:rPr>
                    <w:rFonts w:ascii="Cambria Math" w:hAnsi="Cambria Math"/>
                    <w:i/>
                  </w:rPr>
                  <m:t xml:space="preserve">κ</m:t>
                </m:r>
              </m:e>
            </m:d>
          </m:num>
          <m:den>
            <m:r>
              <m:rPr>
                <m:sty m:val="i"/>
              </m:rPr>
              <w:rPr>
                <w:rFonts w:ascii="Cambria Math" w:hAnsi="Cambria Math"/>
                <w:i/>
              </w:rPr>
              <m:t xml:space="preserve">κ</m:t>
            </m:r>
          </m:den>
        </m:f>
        <m:r>
          <m:rPr>
            <m:nor/>
          </m:rPr>
          <w:rPr>
            <w:rFonts w:ascii="Cambria Math" w:hAnsi="Cambria Math"/>
            <w:i w:val="0"/>
          </w:rPr>
          <m:t xml:space="preserve"> − </m:t>
        </m:r>
        <m:sSup>
          <m:sSupPr>
            <m:ctrlPr>
              <w:rPr>
                <w:rFonts w:ascii="Cambria Math" w:hAnsi="Cambria Math"/>
                <w:i/>
              </w:rPr>
            </m:ctrlPr>
          </m:sSupPr>
          <m:e>
            <m:r>
              <m:rPr>
                <m:sty m:val="i"/>
              </m:rPr>
              <w:rPr>
                <w:rFonts w:ascii="Cambria Math" w:hAnsi="Cambria Math"/>
                <w:i/>
              </w:rPr>
              <m:t xml:space="preserve">A</m:t>
            </m:r>
            <m:d>
              <m:dPr>
                <m:begChr m:val="("/>
                <m:endChr m:val=")"/>
                <m:ctrlPr>
                  <w:rPr>
                    <w:rFonts w:ascii="Cambria Math" w:hAnsi="Cambria Math"/>
                    <w:i/>
                  </w:rPr>
                </m:ctrlPr>
              </m:dPr>
              <m:e>
                <m:r>
                  <m:rPr>
                    <m:sty m:val="i"/>
                  </m:rPr>
                  <w:rPr>
                    <w:rFonts w:ascii="Cambria Math" w:hAnsi="Cambria Math"/>
                    <w:i/>
                  </w:rPr>
                  <m:t xml:space="preserve">κ</m:t>
                </m:r>
              </m:e>
            </m:d>
          </m:e>
          <m:sup>
            <m:r>
              <m:rPr>
                <m:nor/>
              </m:rPr>
              <w:rPr>
                <w:rFonts w:ascii="Cambria Math" w:hAnsi="Cambria Math"/>
                <w:i w:val="0"/>
              </w:rPr>
              <m:t xml:space="preserve">2</m:t>
            </m:r>
          </m:sup>
        </m:sSup>
        <m:r>
          <m:rPr>
            <m:nor/>
          </m:rPr>
          <w:rPr>
            <w:rFonts w:ascii="Cambria Math" w:hAnsi="Cambria Math"/>
            <w:i w:val="0"/>
          </w:rPr>
          <m:t xml:space="preserve">,</m:t>
        </m:r>
      </m:oMath>
      <w:r>
        <w:tab/>
        <w:t xml:space="preserve">(7)</w:t>
      </w:r>
    </w:p>
    <w:p>
      <w:pPr>
        <w:jc w:val="both"/>
      </w:pPr>
      <w:r>
        <w:rPr>
          <w:rFonts w:ascii="Times New Roman" w:hAnsi="Times New Roman" w:eastAsia="Times New Roman"/>
          <w:b w:val="0"/>
          <w:i w:val="0"/>
        </w:rPr>
        <w:t>and 0 &lt; A(κ) &lt; 1 for κ &gt; 0. With A(0) = 0 and the asymptotics A(κ) = 1 − 1/(2κ) + O(κ</w:t>
      </w:r>
      <w:r>
        <w:rPr>
          <w:rFonts w:ascii="Times New Roman" w:hAnsi="Times New Roman" w:eastAsia="Times New Roman"/>
          <w:b w:val="0"/>
          <w:i w:val="0"/>
          <w:vertAlign w:val="superscript"/>
        </w:rPr>
        <w:t>−2</w:t>
      </w:r>
      <w:r>
        <w:rPr>
          <w:rFonts w:ascii="Times New Roman" w:hAnsi="Times New Roman" w:eastAsia="Times New Roman"/>
          <w:b w:val="0"/>
          <w:i w:val="0"/>
        </w:rPr>
        <w:t>) as κ → ∞, A is a strictly increasing bijection [0, ∞) → [0, 1), which proves (i). (ii) Since (d/dκ) ln(2π I</w:t>
      </w:r>
      <w:r>
        <w:rPr>
          <w:rFonts w:ascii="Times New Roman" w:hAnsi="Times New Roman" w:eastAsia="Times New Roman"/>
          <w:b w:val="0"/>
          <w:i w:val="0"/>
          <w:vertAlign w:val="subscript"/>
        </w:rPr>
        <w:t>0</w:t>
      </w:r>
      <w:r>
        <w:rPr>
          <w:rFonts w:ascii="Times New Roman" w:hAnsi="Times New Roman" w:eastAsia="Times New Roman"/>
          <w:b w:val="0"/>
          <w:i w:val="0"/>
        </w:rPr>
        <w:t>) = A and (d/dκ)(κA) = A + κA′, dS/dκ = −κA′ &lt; 0; dividing by dU</w:t>
      </w:r>
      <w:r>
        <w:rPr>
          <w:rFonts w:ascii="Times New Roman" w:hAnsi="Times New Roman" w:eastAsia="Times New Roman"/>
          <w:b w:val="0"/>
          <w:i w:val="0"/>
          <w:vertAlign w:val="subscript"/>
        </w:rPr>
        <w:t>χ</w:t>
      </w:r>
      <w:r>
        <w:rPr>
          <w:rFonts w:ascii="Times New Roman" w:hAnsi="Times New Roman" w:eastAsia="Times New Roman"/>
          <w:b w:val="0"/>
          <w:i w:val="0"/>
        </w:rPr>
        <w:t>/dκ = A′ gives dS/dU</w:t>
      </w:r>
      <w:r>
        <w:rPr>
          <w:rFonts w:ascii="Times New Roman" w:hAnsi="Times New Roman" w:eastAsia="Times New Roman"/>
          <w:b w:val="0"/>
          <w:i w:val="0"/>
          <w:vertAlign w:val="subscript"/>
        </w:rPr>
        <w:t>χ</w:t>
      </w:r>
      <w:r>
        <w:rPr>
          <w:rFonts w:ascii="Times New Roman" w:hAnsi="Times New Roman" w:eastAsia="Times New Roman"/>
          <w:b w:val="0"/>
          <w:i w:val="0"/>
        </w:rPr>
        <w:t xml:space="preserve"> = −κ. (iii) follows by the inverse-function theorem. (iv) I</w:t>
      </w:r>
      <w:r>
        <w:rPr>
          <w:rFonts w:ascii="Times New Roman" w:hAnsi="Times New Roman" w:eastAsia="Times New Roman"/>
          <w:b w:val="0"/>
          <w:i w:val="0"/>
          <w:vertAlign w:val="subscript"/>
        </w:rPr>
        <w:t>0</w:t>
      </w:r>
      <w:r>
        <w:rPr>
          <w:rFonts w:ascii="Times New Roman" w:hAnsi="Times New Roman" w:eastAsia="Times New Roman"/>
          <w:b w:val="0"/>
          <w:i w:val="0"/>
        </w:rPr>
        <w:t>(κ) ∼ e</w:t>
      </w:r>
      <w:r>
        <w:rPr>
          <w:rFonts w:ascii="Times New Roman" w:hAnsi="Times New Roman" w:eastAsia="Times New Roman"/>
          <w:b w:val="0"/>
          <w:i w:val="0"/>
          <w:vertAlign w:val="superscript"/>
        </w:rPr>
        <w:t>κ</w:t>
      </w:r>
      <w:r>
        <w:rPr>
          <w:rFonts w:ascii="Times New Roman" w:hAnsi="Times New Roman" w:eastAsia="Times New Roman"/>
          <w:b w:val="0"/>
          <w:i w:val="0"/>
        </w:rPr>
        <w:t>/√(2πκ) gives S = ½ + ½ ln 2π − ½ ln κ + o(1), and inverting A(κ) ≈ 1 − 1/(2κ) near U</w:t>
      </w:r>
      <w:r>
        <w:rPr>
          <w:rFonts w:ascii="Times New Roman" w:hAnsi="Times New Roman" w:eastAsia="Times New Roman"/>
          <w:b w:val="0"/>
          <w:i w:val="0"/>
          <w:vertAlign w:val="subscript"/>
        </w:rPr>
        <w:t>χ</w:t>
      </w:r>
      <w:r>
        <w:rPr>
          <w:rFonts w:ascii="Times New Roman" w:hAnsi="Times New Roman" w:eastAsia="Times New Roman"/>
          <w:b w:val="0"/>
          <w:i w:val="0"/>
        </w:rPr>
        <w:t xml:space="preserve"> → 1 (κ ∼ 1/[2(1 − U</w:t>
      </w:r>
      <w:r>
        <w:rPr>
          <w:rFonts w:ascii="Times New Roman" w:hAnsi="Times New Roman" w:eastAsia="Times New Roman"/>
          <w:b w:val="0"/>
          <w:i w:val="0"/>
          <w:vertAlign w:val="subscript"/>
        </w:rPr>
        <w:t>χ</w:t>
      </w:r>
      <w:r>
        <w:rPr>
          <w:rFonts w:ascii="Times New Roman" w:hAnsi="Times New Roman" w:eastAsia="Times New Roman"/>
          <w:b w:val="0"/>
          <w:i w:val="0"/>
        </w:rPr>
        <w:t>)]) yields the stated tail. ∎</w:t>
      </w:r>
    </w:p>
    <w:p>
      <w:pPr>
        <w:jc w:val="both"/>
      </w:pPr>
      <w:r>
        <w:rPr>
          <w:rFonts w:ascii="Times New Roman" w:hAnsi="Times New Roman" w:eastAsia="Times New Roman"/>
          <w:b w:val="0"/>
          <w:i w:val="0"/>
        </w:rPr>
        <w:t>The identity dS/dU</w:t>
      </w:r>
      <w:r>
        <w:rPr>
          <w:rFonts w:ascii="Times New Roman" w:hAnsi="Times New Roman" w:eastAsia="Times New Roman"/>
          <w:b w:val="0"/>
          <w:i w:val="0"/>
          <w:vertAlign w:val="subscript"/>
        </w:rPr>
        <w:t>χ</w:t>
      </w:r>
      <w:r>
        <w:rPr>
          <w:rFonts w:ascii="Times New Roman" w:hAnsi="Times New Roman" w:eastAsia="Times New Roman"/>
          <w:b w:val="0"/>
          <w:i w:val="0"/>
        </w:rPr>
        <w:t xml:space="preserve"> = −κ is exact: the marginal information gained per unit increase in directional order equals the concentration of the underlying law, so the last increments toward perfect order are logarithmically costly (Figure 1).</w:t>
      </w:r>
    </w:p>
    <w:p>
      <w:pPr>
        <w:jc w:val="both"/>
      </w:pPr>
      <w:r>
        <w:rPr>
          <w:rFonts w:ascii="Times New Roman" w:hAnsi="Times New Roman" w:eastAsia="Times New Roman"/>
          <w:b w:val="0"/>
          <w:i w:val="0"/>
        </w:rPr>
        <w:t>Parts (i)–(iii) are instances of standard exponential-family identities: the mean parameter increases because its derivative is a variance, and the derivative of the entropy with respect to the mean parameter is minus the natural parameter [19, 20]. We do not claim the identity as new. Theorem 1 states it in the explicit form needed here, for the circular order parameter U</w:t>
      </w:r>
      <w:r>
        <w:rPr>
          <w:rFonts w:ascii="Times New Roman" w:hAnsi="Times New Roman" w:eastAsia="Times New Roman"/>
          <w:b w:val="0"/>
          <w:i w:val="0"/>
          <w:vertAlign w:val="subscript"/>
        </w:rPr>
        <w:t>χ</w:t>
      </w:r>
      <w:r>
        <w:rPr>
          <w:rFonts w:ascii="Times New Roman" w:hAnsi="Times New Roman" w:eastAsia="Times New Roman"/>
          <w:b w:val="0"/>
          <w:i w:val="0"/>
        </w:rPr>
        <w:t xml:space="preserve"> and with the logarithmic tail (iv), and uses it as an exact tool for translating directional order into configurational information in the rest of the paper.</w:t>
      </w:r>
    </w:p>
    <w:p>
      <w:pPr>
        <w:keepNext/>
        <w:spacing w:before="120"/>
        <w:jc w:val="center"/>
      </w:pPr>
      <w:r>
        <w:drawing>
          <wp:inline xmlns:a="http://schemas.openxmlformats.org/drawingml/2006/main" xmlns:pic="http://schemas.openxmlformats.org/drawingml/2006/picture">
            <wp:extent cx="5669280" cy="2700267"/>
            <wp:docPr id="1" name="Picture 1"/>
            <wp:cNvGraphicFramePr>
              <a:graphicFrameLocks noChangeAspect="1"/>
            </wp:cNvGraphicFramePr>
            <a:graphic>
              <a:graphicData uri="http://schemas.openxmlformats.org/drawingml/2006/picture">
                <pic:pic>
                  <pic:nvPicPr>
                    <pic:cNvPr id="0" name="Fig_bridge.png"/>
                    <pic:cNvPicPr/>
                  </pic:nvPicPr>
                  <pic:blipFill>
                    <a:blip r:embed="rId10"/>
                    <a:stretch>
                      <a:fillRect/>
                    </a:stretch>
                  </pic:blipFill>
                  <pic:spPr>
                    <a:xfrm>
                      <a:off x="0" y="0"/>
                      <a:ext cx="5669280" cy="2700267"/>
                    </a:xfrm>
                    <a:prstGeom prst="rect"/>
                  </pic:spPr>
                </pic:pic>
              </a:graphicData>
            </a:graphic>
          </wp:inline>
        </w:drawing>
      </w:r>
    </w:p>
    <w:p>
      <w:pPr>
        <w:spacing w:line="276" w:lineRule="auto" w:after="200"/>
        <w:jc w:val="both"/>
      </w:pPr>
      <w:r>
        <w:rPr>
          <w:rFonts w:ascii="Times New Roman" w:hAnsi="Times New Roman" w:eastAsia="Times New Roman"/>
          <w:b/>
          <w:i w:val="0"/>
          <w:sz w:val="20"/>
        </w:rPr>
        <w:t>Figure 1.</w:t>
      </w:r>
      <w:r>
        <w:rPr>
          <w:rFonts w:ascii="Times New Roman" w:hAnsi="Times New Roman" w:eastAsia="Times New Roman"/>
          <w:b w:val="0"/>
          <w:i w:val="0"/>
          <w:sz w:val="20"/>
        </w:rPr>
        <w:t xml:space="preserve"> The order–entropy bridge (Theorem 1). (A) S is strictly decreasing in 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(B) H</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xml:space="preserve"> = S</w:t>
      </w:r>
      <w:r>
        <w:rPr>
          <w:rFonts w:ascii="Times New Roman" w:hAnsi="Times New Roman" w:eastAsia="Times New Roman"/>
          <w:b w:val="0"/>
          <w:i w:val="0"/>
          <w:sz w:val="20"/>
          <w:vertAlign w:val="subscript"/>
        </w:rPr>
        <w:t>max</w:t>
      </w:r>
      <w:r>
        <w:rPr>
          <w:rFonts w:ascii="Times New Roman" w:hAnsi="Times New Roman" w:eastAsia="Times New Roman"/>
          <w:b w:val="0"/>
          <w:i w:val="0"/>
          <w:sz w:val="20"/>
        </w:rPr>
        <w:t xml:space="preserve"> − S is a strictly increasing invertible image of 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with the derived logarithmic tail (dashed).</w:t>
      </w:r>
    </w:p>
    <w:p>
      <w:pPr>
        <w:pStyle w:val="Heading1"/>
      </w:pPr>
      <w:r>
        <w:rPr>
          <w:rFonts w:ascii="Times New Roman" w:hAnsi="Times New Roman" w:eastAsia="Times New Roman"/>
          <w:b w:val="0"/>
          <w:i w:val="0"/>
        </w:rPr>
        <w:t>4. Mean-field reduction, feedback and bistability</w:t>
      </w:r>
    </w:p>
    <w:p>
      <w:pPr>
        <w:jc w:val="both"/>
      </w:pPr>
      <w:r>
        <w:rPr>
          <w:rFonts w:ascii="Times New Roman" w:hAnsi="Times New Roman" w:eastAsia="Times New Roman"/>
          <w:b/>
          <w:i w:val="0"/>
        </w:rPr>
        <w:t>4.1 The uncoupled baseline.</w:t>
      </w:r>
      <w:r>
        <w:rPr>
          <w:rFonts w:ascii="Times New Roman" w:hAnsi="Times New Roman" w:eastAsia="Times New Roman"/>
          <w:b w:val="0"/>
          <w:i w:val="0"/>
        </w:rPr>
        <w:t xml:space="preserve"> Setting β = 0 removes the feedback: the integrity of each site is then an exact two-state Markov chain (intact ⇌ diluted at rates λ</w:t>
      </w:r>
      <w:r>
        <w:rPr>
          <w:rFonts w:ascii="Times New Roman" w:hAnsi="Times New Roman" w:eastAsia="Times New Roman"/>
          <w:b w:val="0"/>
          <w:i w:val="0"/>
          <w:vertAlign w:val="subscript"/>
        </w:rPr>
        <w:t>0</w:t>
      </w:r>
      <w:r>
        <w:rPr>
          <w:rFonts w:ascii="Times New Roman" w:hAnsi="Times New Roman" w:eastAsia="Times New Roman"/>
          <w:b w:val="0"/>
          <w:i w:val="0"/>
        </w:rPr>
        <w:t>, R), independent of the rotors. The intact fraction obeys ṗ = R(1 − p) − λ</w:t>
      </w:r>
      <w:r>
        <w:rPr>
          <w:rFonts w:ascii="Times New Roman" w:hAnsi="Times New Roman" w:eastAsia="Times New Roman"/>
          <w:b w:val="0"/>
          <w:i w:val="0"/>
          <w:vertAlign w:val="subscript"/>
        </w:rPr>
        <w:t>0</w:t>
      </w:r>
      <w:r>
        <w:rPr>
          <w:rFonts w:ascii="Times New Roman" w:hAnsi="Times New Roman" w:eastAsia="Times New Roman"/>
          <w:b w:val="0"/>
          <w:i w:val="0"/>
        </w:rPr>
        <w:t xml:space="preserve"> p, so with τ = λ</w:t>
      </w:r>
      <w:r>
        <w:rPr>
          <w:rFonts w:ascii="Times New Roman" w:hAnsi="Times New Roman" w:eastAsia="Times New Roman"/>
          <w:b w:val="0"/>
          <w:i w:val="0"/>
          <w:vertAlign w:val="subscript"/>
        </w:rPr>
        <w:t>0</w:t>
      </w:r>
      <w:r>
        <w:rPr>
          <w:rFonts w:ascii="Times New Roman" w:hAnsi="Times New Roman" w:eastAsia="Times New Roman"/>
          <w:b w:val="0"/>
          <w:i w:val="0"/>
        </w:rPr>
        <w:t xml:space="preserve"> t and ρ = R/λ</w:t>
      </w:r>
      <w:r>
        <w:rPr>
          <w:rFonts w:ascii="Times New Roman" w:hAnsi="Times New Roman" w:eastAsia="Times New Roman"/>
          <w:b w:val="0"/>
          <w:i w:val="0"/>
          <w:vertAlign w:val="subscript"/>
        </w:rPr>
        <w:t>0</w:t>
      </w:r>
      <w:r>
        <w:rPr>
          <w:rFonts w:ascii="Times New Roman" w:hAnsi="Times New Roman" w:eastAsia="Times New Roman"/>
          <w:b w:val="0"/>
          <w:i w:val="0"/>
        </w:rPr>
        <w:t>,</w:t>
      </w:r>
    </w:p>
    <w:p>
      <w:pPr>
        <w:keepLines/>
        <w:tabs>
          <w:tab w:pos="4680" w:val="center"/>
          <w:tab w:pos="9360" w:val="right"/>
        </w:tabs>
        <w:spacing w:before="120" w:after="120"/>
      </w:pPr>
      <w:r>
        <w:tab/>
      </w:r>
      <m:oMath>
        <m:f>
          <m:fPr>
            <m:ctrlPr>
              <w:rPr>
                <w:rFonts w:ascii="Cambria Math" w:hAnsi="Cambria Math"/>
                <w:i/>
              </w:rPr>
            </m:ctrlPr>
          </m:fPr>
          <m:num>
            <m:r>
              <m:rPr>
                <m:nor/>
              </m:rPr>
              <w:rPr>
                <w:rFonts w:ascii="Cambria Math" w:hAnsi="Cambria Math"/>
                <w:i w:val="0"/>
              </w:rPr>
              <m:t xml:space="preserve">d</m:t>
            </m:r>
            <m:r>
              <m:rPr>
                <m:sty m:val="i"/>
              </m:rPr>
              <w:rPr>
                <w:rFonts w:ascii="Cambria Math" w:hAnsi="Cambria Math"/>
                <w:i/>
              </w:rPr>
              <m:t xml:space="preserve">I</m:t>
            </m:r>
          </m:num>
          <m:den>
            <m:r>
              <m:rPr>
                <m:nor/>
              </m:rPr>
              <w:rPr>
                <w:rFonts w:ascii="Cambria Math" w:hAnsi="Cambria Math"/>
                <w:i w:val="0"/>
              </w:rPr>
              <m:t xml:space="preserve">d</m:t>
            </m:r>
            <m:r>
              <m:rPr>
                <m:sty m:val="i"/>
              </m:rPr>
              <w:rPr>
                <w:rFonts w:ascii="Cambria Math" w:hAnsi="Cambria Math"/>
                <w:i/>
              </w:rPr>
              <m:t xml:space="preserve">τ</m:t>
            </m:r>
          </m:den>
        </m:f>
        <m:r>
          <m:rPr>
            <m:nor/>
          </m:rPr>
          <w:rPr>
            <w:rFonts w:ascii="Cambria Math" w:hAnsi="Cambria Math"/>
            <w:i w:val="0"/>
          </w:rPr>
          <m:t xml:space="preserve"> =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I</m:t>
            </m:r>
          </m:e>
        </m:d>
        <m:r>
          <m:rPr>
            <m:nor/>
          </m:rPr>
          <w:rPr>
            <w:rFonts w:ascii="Cambria Math" w:hAnsi="Cambria Math"/>
            <w:i w:val="0"/>
          </w:rPr>
          <m:t xml:space="preserve"> − </m:t>
        </m:r>
        <m:r>
          <m:rPr>
            <m:sty m:val="i"/>
          </m:rPr>
          <w:rPr>
            <w:rFonts w:ascii="Cambria Math" w:hAnsi="Cambria Math"/>
            <w:i/>
          </w:rPr>
          <m:t xml:space="preserve">ρ</m:t>
        </m:r>
        <m:r>
          <m:rPr>
            <m:sty m:val="i"/>
          </m:rPr>
          <w:rPr>
            <w:rFonts w:ascii="Cambria Math" w:hAnsi="Cambria Math"/>
            <w:i/>
          </w:rPr>
          <m:t xml:space="preserve">I</m:t>
        </m:r>
        <m:r>
          <m:rPr>
            <m:nor/>
          </m:rPr>
          <w:rPr>
            <w:rFonts w:ascii="Cambria Math" w:hAnsi="Cambria Math"/>
            <w:i w:val="0"/>
          </w:rPr>
          <m:t xml:space="preserve">,</m:t>
        </m:r>
        <m:r>
          <m:rPr>
            <m:nor/>
          </m:rPr>
          <w:rPr>
            <w:rFonts w:ascii="Cambria Math" w:hAnsi="Cambria Math"/>
            <w:i w:val="0"/>
          </w:rPr>
          <m:t xml:space="preserve"> </m:t>
        </m:r>
        <m:sSup>
          <m:sSupPr>
            <m:ctrlPr>
              <w:rPr>
                <w:rFonts w:ascii="Cambria Math" w:hAnsi="Cambria Math"/>
                <w:i/>
              </w:rPr>
            </m:ctrlPr>
          </m:sSupPr>
          <m:e>
            <m:r>
              <m:rPr>
                <m:sty m:val="i"/>
              </m:rPr>
              <w:rPr>
                <w:rFonts w:ascii="Cambria Math" w:hAnsi="Cambria Math"/>
                <w:i/>
              </w:rPr>
              <m:t xml:space="preserve">I</m:t>
            </m:r>
          </m:e>
          <m:sup>
            <m:r>
              <m:rPr>
                <m:nor/>
              </m:rPr>
              <w:rPr>
                <w:rFonts w:ascii="Cambria Math" w:hAnsi="Cambria Math"/>
                <w:i w:val="0"/>
              </w:rPr>
              <m:t xml:space="preserve">*</m:t>
            </m:r>
          </m:sup>
        </m:sSup>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ρ</m:t>
            </m:r>
          </m:den>
        </m:f>
        <m:r>
          <m:rPr>
            <m:nor/>
          </m:rPr>
          <w:rPr>
            <w:rFonts w:ascii="Cambria Math" w:hAnsi="Cambria Math"/>
            <w:i w:val="0"/>
          </w:rPr>
          <m:t xml:space="preserve">.</m:t>
        </m:r>
      </m:oMath>
      <w:r>
        <w:tab/>
        <w:t xml:space="preserve">(8)</w:t>
      </w:r>
    </w:p>
    <w:p>
      <w:pPr>
        <w:jc w:val="both"/>
      </w:pPr>
      <w:r>
        <w:rPr>
          <w:rFonts w:ascii="Times New Roman" w:hAnsi="Times New Roman" w:eastAsia="Times New Roman"/>
          <w:b w:val="0"/>
          <w:i w:val="0"/>
        </w:rPr>
        <w:t>a globally stable fixed point approached at rate (1 + ρ); the lattice p(t) follows this master equation up to a discrete-time correction: the simulation updates all sites synchronously once per step, so its exact fixed point is R/(λ</w:t>
      </w:r>
      <w:r>
        <w:rPr>
          <w:rFonts w:ascii="Times New Roman" w:hAnsi="Times New Roman" w:eastAsia="Times New Roman"/>
          <w:b w:val="0"/>
          <w:i w:val="0"/>
          <w:vertAlign w:val="subscript"/>
        </w:rPr>
        <w:t>0</w:t>
      </w:r>
      <w:r>
        <w:rPr>
          <w:rFonts w:ascii="Times New Roman" w:hAnsi="Times New Roman" w:eastAsia="Times New Roman"/>
          <w:b w:val="0"/>
          <w:i w:val="0"/>
        </w:rPr>
        <w:t xml:space="preserve"> + R − λ</w:t>
      </w:r>
      <w:r>
        <w:rPr>
          <w:rFonts w:ascii="Times New Roman" w:hAnsi="Times New Roman" w:eastAsia="Times New Roman"/>
          <w:b w:val="0"/>
          <w:i w:val="0"/>
          <w:vertAlign w:val="subscript"/>
        </w:rPr>
        <w:t>0</w:t>
      </w:r>
      <w:r>
        <w:rPr>
          <w:rFonts w:ascii="Times New Roman" w:hAnsi="Times New Roman" w:eastAsia="Times New Roman"/>
          <w:b w:val="0"/>
          <w:i w:val="0"/>
        </w:rPr>
        <w:t>R) rather than R/(λ</w:t>
      </w:r>
      <w:r>
        <w:rPr>
          <w:rFonts w:ascii="Times New Roman" w:hAnsi="Times New Roman" w:eastAsia="Times New Roman"/>
          <w:b w:val="0"/>
          <w:i w:val="0"/>
          <w:vertAlign w:val="subscript"/>
        </w:rPr>
        <w:t>0</w:t>
      </w:r>
      <w:r>
        <w:rPr>
          <w:rFonts w:ascii="Times New Roman" w:hAnsi="Times New Roman" w:eastAsia="Times New Roman"/>
          <w:b w:val="0"/>
          <w:i w:val="0"/>
        </w:rPr>
        <w:t xml:space="preserve"> + R), a relative shift below λ</w:t>
      </w:r>
      <w:r>
        <w:rPr>
          <w:rFonts w:ascii="Times New Roman" w:hAnsi="Times New Roman" w:eastAsia="Times New Roman"/>
          <w:b w:val="0"/>
          <w:i w:val="0"/>
          <w:vertAlign w:val="subscript"/>
        </w:rPr>
        <w:t>0</w:t>
      </w:r>
      <w:r>
        <w:rPr>
          <w:rFonts w:ascii="Times New Roman" w:hAnsi="Times New Roman" w:eastAsia="Times New Roman"/>
          <w:b w:val="0"/>
          <w:i w:val="0"/>
        </w:rPr>
        <w:t>/(1 − λ</w:t>
      </w:r>
      <w:r>
        <w:rPr>
          <w:rFonts w:ascii="Times New Roman" w:hAnsi="Times New Roman" w:eastAsia="Times New Roman"/>
          <w:b w:val="0"/>
          <w:i w:val="0"/>
          <w:vertAlign w:val="subscript"/>
        </w:rPr>
        <w:t>0</w:t>
      </w:r>
      <w:r>
        <w:rPr>
          <w:rFonts w:ascii="Times New Roman" w:hAnsi="Times New Roman" w:eastAsia="Times New Roman"/>
          <w:b w:val="0"/>
          <w:i w:val="0"/>
        </w:rPr>
        <w:t>) ≈ 2% that vanishes as λ</w:t>
      </w:r>
      <w:r>
        <w:rPr>
          <w:rFonts w:ascii="Times New Roman" w:hAnsi="Times New Roman" w:eastAsia="Times New Roman"/>
          <w:b w:val="0"/>
          <w:i w:val="0"/>
          <w:vertAlign w:val="subscript"/>
        </w:rPr>
        <w:t>0</w:t>
      </w:r>
      <w:r>
        <w:rPr>
          <w:rFonts w:ascii="Times New Roman" w:hAnsi="Times New Roman" w:eastAsia="Times New Roman"/>
          <w:b w:val="0"/>
          <w:i w:val="0"/>
        </w:rPr>
        <w:t>, R → 0 (it is checked to Monte Carlo accuracy in Appendix A) and U</w:t>
      </w:r>
      <w:r>
        <w:rPr>
          <w:rFonts w:ascii="Times New Roman" w:hAnsi="Times New Roman" w:eastAsia="Times New Roman"/>
          <w:b w:val="0"/>
          <w:i w:val="0"/>
          <w:vertAlign w:val="subscript"/>
        </w:rPr>
        <w:t>χ</w:t>
      </w:r>
      <w:r>
        <w:rPr>
          <w:rFonts w:ascii="Times New Roman" w:hAnsi="Times New Roman" w:eastAsia="Times New Roman"/>
          <w:b w:val="0"/>
          <w:i w:val="0"/>
        </w:rPr>
        <w:t xml:space="preserve"> is slaved to it (Figure 2). The linear baseline is recovered as the β = 0 limit.</w:t>
      </w:r>
    </w:p>
    <w:p>
      <w:pPr>
        <w:keepNext/>
        <w:spacing w:before="120"/>
        <w:jc w:val="center"/>
      </w:pPr>
      <w:r>
        <w:drawing>
          <wp:inline xmlns:a="http://schemas.openxmlformats.org/drawingml/2006/main" xmlns:pic="http://schemas.openxmlformats.org/drawingml/2006/picture">
            <wp:extent cx="5669280" cy="2094094"/>
            <wp:docPr id="2" name="Picture 2"/>
            <wp:cNvGraphicFramePr>
              <a:graphicFrameLocks noChangeAspect="1"/>
            </wp:cNvGraphicFramePr>
            <a:graphic>
              <a:graphicData uri="http://schemas.openxmlformats.org/drawingml/2006/picture">
                <pic:pic>
                  <pic:nvPicPr>
                    <pic:cNvPr id="0" name="Fig_baseline.png"/>
                    <pic:cNvPicPr/>
                  </pic:nvPicPr>
                  <pic:blipFill>
                    <a:blip r:embed="rId11"/>
                    <a:stretch>
                      <a:fillRect/>
                    </a:stretch>
                  </pic:blipFill>
                  <pic:spPr>
                    <a:xfrm>
                      <a:off x="0" y="0"/>
                      <a:ext cx="5669280" cy="2094094"/>
                    </a:xfrm>
                    <a:prstGeom prst="rect"/>
                  </pic:spPr>
                </pic:pic>
              </a:graphicData>
            </a:graphic>
          </wp:inline>
        </w:drawing>
      </w:r>
    </w:p>
    <w:p>
      <w:pPr>
        <w:spacing w:line="276" w:lineRule="auto" w:after="200"/>
        <w:jc w:val="both"/>
      </w:pPr>
      <w:r>
        <w:rPr>
          <w:rFonts w:ascii="Times New Roman" w:hAnsi="Times New Roman" w:eastAsia="Times New Roman"/>
          <w:b/>
          <w:i w:val="0"/>
          <w:sz w:val="20"/>
        </w:rPr>
        <w:t>Figure 2.</w:t>
      </w:r>
      <w:r>
        <w:rPr>
          <w:rFonts w:ascii="Times New Roman" w:hAnsi="Times New Roman" w:eastAsia="Times New Roman"/>
          <w:b w:val="0"/>
          <w:i w:val="0"/>
          <w:sz w:val="20"/>
        </w:rPr>
        <w:t xml:space="preserve"> Uncoupled baseline (β = 0, L = 48). (A) Lattice intact fraction from a fully intact start (three runs per ρ) and the exact mean of the synchronous two-state chain (dashed). (B) Stationary intact fraction p and order 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xml:space="preserve"> against ρ, with the continuous-time value ρ/(1 + ρ) and the discrete fixed point R/(λ</w:t>
      </w:r>
      <w:r>
        <w:rPr>
          <w:rFonts w:ascii="Times New Roman" w:hAnsi="Times New Roman" w:eastAsia="Times New Roman"/>
          <w:b w:val="0"/>
          <w:i w:val="0"/>
          <w:sz w:val="20"/>
          <w:vertAlign w:val="subscript"/>
        </w:rPr>
        <w:t>0</w:t>
      </w:r>
      <w:r>
        <w:rPr>
          <w:rFonts w:ascii="Times New Roman" w:hAnsi="Times New Roman" w:eastAsia="Times New Roman"/>
          <w:b w:val="0"/>
          <w:i w:val="0"/>
          <w:sz w:val="20"/>
        </w:rPr>
        <w:t xml:space="preserve"> + R − λ</w:t>
      </w:r>
      <w:r>
        <w:rPr>
          <w:rFonts w:ascii="Times New Roman" w:hAnsi="Times New Roman" w:eastAsia="Times New Roman"/>
          <w:b w:val="0"/>
          <w:i w:val="0"/>
          <w:sz w:val="20"/>
          <w:vertAlign w:val="subscript"/>
        </w:rPr>
        <w:t>0</w:t>
      </w:r>
      <w:r>
        <w:rPr>
          <w:rFonts w:ascii="Times New Roman" w:hAnsi="Times New Roman" w:eastAsia="Times New Roman"/>
          <w:b w:val="0"/>
          <w:i w:val="0"/>
          <w:sz w:val="20"/>
        </w:rPr>
        <w:t>R): 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xml:space="preserve"> is slaved to p up to a small boundary-layer correction. (C) Relaxation of the chain to its fixed point against τ = λ</w:t>
      </w:r>
      <w:r>
        <w:rPr>
          <w:rFonts w:ascii="Times New Roman" w:hAnsi="Times New Roman" w:eastAsia="Times New Roman"/>
          <w:b w:val="0"/>
          <w:i w:val="0"/>
          <w:sz w:val="20"/>
          <w:vertAlign w:val="subscript"/>
        </w:rPr>
        <w:t>0</w:t>
      </w:r>
      <w:r>
        <w:rPr>
          <w:rFonts w:ascii="Times New Roman" w:hAnsi="Times New Roman" w:eastAsia="Times New Roman"/>
          <w:b w:val="0"/>
          <w:i w:val="0"/>
          <w:sz w:val="20"/>
        </w:rPr>
        <w:t>t, with the continuous-time rate 1 + ρ (dashed).</w:t>
      </w:r>
    </w:p>
    <w:p>
      <w:pPr>
        <w:jc w:val="both"/>
      </w:pPr>
      <w:r>
        <w:rPr>
          <w:rFonts w:ascii="Times New Roman" w:hAnsi="Times New Roman" w:eastAsia="Times New Roman"/>
          <w:b/>
          <w:i w:val="0"/>
        </w:rPr>
        <w:t>4.2 Nonlinear feedback and bistability.</w:t>
      </w:r>
      <w:r>
        <w:rPr>
          <w:rFonts w:ascii="Times New Roman" w:hAnsi="Times New Roman" w:eastAsia="Times New Roman"/>
          <w:b w:val="0"/>
          <w:i w:val="0"/>
        </w:rPr>
        <w:t xml:space="preserve"> With order-dependent degradation, the annealed mean-field identification δ ≐ I closes the feedback loop and the information variable obeys the nonlinear ODE</w:t>
      </w:r>
    </w:p>
    <w:p>
      <w:pPr>
        <w:keepLines/>
        <w:tabs>
          <w:tab w:pos="4680" w:val="center"/>
          <w:tab w:pos="9360" w:val="right"/>
        </w:tabs>
        <w:spacing w:before="120" w:after="120"/>
      </w:pPr>
      <w:r>
        <w:tab/>
      </w:r>
      <m:oMath>
        <m:f>
          <m:fPr>
            <m:ctrlPr>
              <w:rPr>
                <w:rFonts w:ascii="Cambria Math" w:hAnsi="Cambria Math"/>
                <w:i/>
              </w:rPr>
            </m:ctrlPr>
          </m:fPr>
          <m:num>
            <m:r>
              <m:rPr>
                <m:nor/>
              </m:rPr>
              <w:rPr>
                <w:rFonts w:ascii="Cambria Math" w:hAnsi="Cambria Math"/>
                <w:i w:val="0"/>
              </w:rPr>
              <m:t xml:space="preserve">d</m:t>
            </m:r>
            <m:r>
              <m:rPr>
                <m:sty m:val="i"/>
              </m:rPr>
              <w:rPr>
                <w:rFonts w:ascii="Cambria Math" w:hAnsi="Cambria Math"/>
                <w:i/>
              </w:rPr>
              <m:t xml:space="preserve">I</m:t>
            </m:r>
          </m:num>
          <m:den>
            <m:r>
              <m:rPr>
                <m:nor/>
              </m:rPr>
              <w:rPr>
                <w:rFonts w:ascii="Cambria Math" w:hAnsi="Cambria Math"/>
                <w:i w:val="0"/>
              </w:rPr>
              <m:t xml:space="preserve">d</m:t>
            </m:r>
            <m:r>
              <m:rPr>
                <m:sty m:val="i"/>
              </m:rPr>
              <w:rPr>
                <w:rFonts w:ascii="Cambria Math" w:hAnsi="Cambria Math"/>
                <w:i/>
              </w:rPr>
              <m:t xml:space="preserve">τ</m:t>
            </m:r>
          </m:den>
        </m:f>
        <m:r>
          <m:rPr>
            <m:nor/>
          </m:rPr>
          <w:rPr>
            <w:rFonts w:ascii="Cambria Math" w:hAnsi="Cambria Math"/>
            <w:i w:val="0"/>
          </w:rPr>
          <m:t xml:space="preserve"> = </m:t>
        </m:r>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I</m:t>
            </m:r>
          </m:e>
        </m:d>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I</m:t>
            </m:r>
          </m:e>
        </m:d>
        <m:r>
          <m:rPr>
            <m:nor/>
          </m:rPr>
          <w:rPr>
            <w:rFonts w:ascii="Cambria Math" w:hAnsi="Cambria Math"/>
            <w:i w:val="0"/>
          </w:rPr>
          <m:t xml:space="preserve"> − </m:t>
        </m:r>
        <m:r>
          <m:rPr>
            <m:sty m:val="i"/>
          </m:rPr>
          <w:rPr>
            <w:rFonts w:ascii="Cambria Math" w:hAnsi="Cambria Math"/>
            <w:i/>
          </w:rPr>
          <m:t xml:space="preserve">ρ</m:t>
        </m:r>
        <m:r>
          <m:rPr>
            <m:sty m:val="i"/>
          </m:rPr>
          <w:rPr>
            <w:rFonts w:ascii="Cambria Math" w:hAnsi="Cambria Math"/>
            <w:i/>
          </w:rPr>
          <m:t xml:space="preserve">I</m:t>
        </m:r>
        <m:r>
          <m:rPr>
            <m:nor/>
          </m:rPr>
          <w:rPr>
            <w:rFonts w:ascii="Cambria Math" w:hAnsi="Cambria Math"/>
            <w:i w:val="0"/>
          </w:rPr>
          <m:t xml:space="preserve">,</m:t>
        </m:r>
        <m:r>
          <m:rPr>
            <m:nor/>
          </m:rPr>
          <w:rPr>
            <w:rFonts w:ascii="Cambria Math" w:hAnsi="Cambria Math"/>
            <w:i w:val="0"/>
          </w:rPr>
          <m:t xml:space="preserve"> </m:t>
        </m:r>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I</m:t>
            </m:r>
          </m:e>
        </m:d>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β</m:t>
        </m:r>
        <m:f>
          <m:fPr>
            <m:ctrlPr>
              <w:rPr>
                <w:rFonts w:ascii="Cambria Math" w:hAnsi="Cambria Math"/>
                <w:i/>
              </w:rPr>
            </m:ctrlPr>
          </m:fPr>
          <m:num>
            <m:sSup>
              <m:sSupPr>
                <m:ctrlPr>
                  <w:rPr>
                    <w:rFonts w:ascii="Cambria Math" w:hAnsi="Cambria Math"/>
                    <w:i/>
                  </w:rPr>
                </m:ctrlPr>
              </m:sSupPr>
              <m:e>
                <m:r>
                  <m:rPr>
                    <m:sty m:val="i"/>
                  </m:rPr>
                  <w:rPr>
                    <w:rFonts w:ascii="Cambria Math" w:hAnsi="Cambria Math"/>
                    <w:i/>
                  </w:rPr>
                  <m:t xml:space="preserve">I</m:t>
                </m:r>
              </m:e>
              <m:sup>
                <m:r>
                  <m:rPr>
                    <m:sty m:val="i"/>
                  </m:rPr>
                  <w:rPr>
                    <w:rFonts w:ascii="Cambria Math" w:hAnsi="Cambria Math"/>
                    <w:i/>
                  </w:rPr>
                  <m:t xml:space="preserve">h</m:t>
                </m:r>
              </m:sup>
            </m:sSup>
          </m:num>
          <m:den>
            <m:sSup>
              <m:sSupPr>
                <m:ctrlPr>
                  <w:rPr>
                    <w:rFonts w:ascii="Cambria Math" w:hAnsi="Cambria Math"/>
                    <w:i/>
                  </w:rPr>
                </m:ctrlPr>
              </m:sSupPr>
              <m:e>
                <m:r>
                  <m:rPr>
                    <m:sty m:val="i"/>
                  </m:rPr>
                  <w:rPr>
                    <w:rFonts w:ascii="Cambria Math" w:hAnsi="Cambria Math"/>
                    <w:i/>
                  </w:rPr>
                  <m:t xml:space="preserve">K</m:t>
                </m:r>
              </m:e>
              <m:sup>
                <m:r>
                  <m:rPr>
                    <m:sty m:val="i"/>
                  </m:rPr>
                  <w:rPr>
                    <w:rFonts w:ascii="Cambria Math" w:hAnsi="Cambria Math"/>
                    <w:i/>
                  </w:rPr>
                  <m:t xml:space="preserve">h</m:t>
                </m:r>
              </m:sup>
            </m:sSup>
            <m:r>
              <m:rPr>
                <m:nor/>
              </m:rPr>
              <w:rPr>
                <w:rFonts w:ascii="Cambria Math" w:hAnsi="Cambria Math"/>
                <w:i w:val="0"/>
              </w:rPr>
              <m:t xml:space="preserve"> + </m:t>
            </m:r>
            <m:sSup>
              <m:sSupPr>
                <m:ctrlPr>
                  <w:rPr>
                    <w:rFonts w:ascii="Cambria Math" w:hAnsi="Cambria Math"/>
                    <w:i/>
                  </w:rPr>
                </m:ctrlPr>
              </m:sSupPr>
              <m:e>
                <m:r>
                  <m:rPr>
                    <m:sty m:val="i"/>
                  </m:rPr>
                  <w:rPr>
                    <w:rFonts w:ascii="Cambria Math" w:hAnsi="Cambria Math"/>
                    <w:i/>
                  </w:rPr>
                  <m:t xml:space="preserve">I</m:t>
                </m:r>
              </m:e>
              <m:sup>
                <m:r>
                  <m:rPr>
                    <m:sty m:val="i"/>
                  </m:rPr>
                  <w:rPr>
                    <w:rFonts w:ascii="Cambria Math" w:hAnsi="Cambria Math"/>
                    <w:i/>
                  </w:rPr>
                  <m:t xml:space="preserve">h</m:t>
                </m:r>
              </m:sup>
            </m:sSup>
          </m:den>
        </m:f>
        <m:r>
          <m:rPr>
            <m:nor/>
          </m:rPr>
          <w:rPr>
            <w:rFonts w:ascii="Cambria Math" w:hAnsi="Cambria Math"/>
            <w:i w:val="0"/>
          </w:rPr>
          <m:t xml:space="preserve">.</m:t>
        </m:r>
      </m:oMath>
      <w:r>
        <w:tab/>
        <w:t xml:space="preserve">(9)</w:t>
      </w:r>
    </w:p>
    <w:p>
      <w:pPr>
        <w:jc w:val="both"/>
      </w:pPr>
      <w:r>
        <w:rPr>
          <w:rFonts w:ascii="Times New Roman" w:hAnsi="Times New Roman" w:eastAsia="Times New Roman"/>
          <w:b/>
          <w:i w:val="0"/>
        </w:rPr>
        <w:t>Proposition 2 (Bistable NESS).</w:t>
      </w:r>
      <w:r>
        <w:rPr>
          <w:rFonts w:ascii="Times New Roman" w:hAnsi="Times New Roman" w:eastAsia="Times New Roman"/>
          <w:b w:val="0"/>
          <w:i w:val="0"/>
        </w:rPr>
        <w:t xml:space="preserve"> </w:t>
      </w:r>
      <w:r>
        <w:rPr>
          <w:rFonts w:ascii="Times New Roman" w:hAnsi="Times New Roman" w:eastAsia="Times New Roman"/>
          <w:b w:val="0"/>
          <w:i/>
        </w:rPr>
        <w:t>Steady states solve</w:t>
      </w:r>
    </w:p>
    <w:p>
      <w:pPr>
        <w:keepLines/>
        <w:tabs>
          <w:tab w:pos="4680" w:val="center"/>
          <w:tab w:pos="9360" w:val="right"/>
        </w:tabs>
        <w:spacing w:before="120" w:after="120"/>
      </w:pPr>
      <w:r>
        <w:tab/>
      </w:r>
      <m:oMath>
        <m:r>
          <m:rPr>
            <m:sty m:val="i"/>
          </m:rPr>
          <w:rPr>
            <w:rFonts w:ascii="Cambria Math" w:hAnsi="Cambria Math"/>
            <w:i/>
          </w:rPr>
          <m:t xml:space="preserve">ρ</m:t>
        </m:r>
        <m:r>
          <m:rPr>
            <m:nor/>
          </m:rPr>
          <w:rPr>
            <w:rFonts w:ascii="Cambria Math" w:hAnsi="Cambria Math"/>
            <w:i w:val="0"/>
          </w:rPr>
          <m:t xml:space="preserve"> = </m:t>
        </m:r>
        <m:r>
          <m:rPr>
            <m:sty m:val="i"/>
          </m:rPr>
          <w:rPr>
            <w:rFonts w:ascii="Cambria Math" w:hAnsi="Cambria Math"/>
            <w:i/>
          </w:rPr>
          <m:t xml:space="preserve">F</m:t>
        </m:r>
        <m:d>
          <m:dPr>
            <m:begChr m:val="("/>
            <m:endChr m:val=")"/>
            <m:ctrlPr>
              <w:rPr>
                <w:rFonts w:ascii="Cambria Math" w:hAnsi="Cambria Math"/>
                <w:i/>
              </w:rPr>
            </m:ctrlPr>
          </m:dPr>
          <m:e>
            <m:r>
              <m:rPr>
                <m:sty m:val="i"/>
              </m:rPr>
              <w:rPr>
                <w:rFonts w:ascii="Cambria Math" w:hAnsi="Cambria Math"/>
                <w:i/>
              </w:rPr>
              <m:t xml:space="preserve">I</m:t>
            </m:r>
          </m:e>
        </m:d>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I</m:t>
                </m:r>
              </m:e>
            </m:d>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I</m:t>
                </m:r>
              </m:e>
            </m:d>
          </m:num>
          <m:den>
            <m:r>
              <m:rPr>
                <m:sty m:val="i"/>
              </m:rPr>
              <w:rPr>
                <w:rFonts w:ascii="Cambria Math" w:hAnsi="Cambria Math"/>
                <w:i/>
              </w:rPr>
              <m:t xml:space="preserve">I</m:t>
            </m:r>
          </m:den>
        </m:f>
        <m:r>
          <m:rPr>
            <m:nor/>
          </m:rPr>
          <w:rPr>
            <w:rFonts w:ascii="Cambria Math" w:hAnsi="Cambria Math"/>
            <w:i w:val="0"/>
          </w:rPr>
          <m:t xml:space="preserve">.</m:t>
        </m:r>
      </m:oMath>
      <w:r>
        <w:tab/>
        <w:t xml:space="preserve">(10)</w:t>
      </w:r>
    </w:p>
    <w:p>
      <w:pPr>
        <w:jc w:val="both"/>
      </w:pPr>
      <w:r>
        <w:rPr>
          <w:rFonts w:ascii="Times New Roman" w:hAnsi="Times New Roman" w:eastAsia="Times New Roman"/>
          <w:b w:val="0"/>
          <w:i/>
        </w:rPr>
        <w:t>For cooperative feedback (h &gt; 1 and β &gt; β</w:t>
      </w:r>
      <w:r>
        <w:rPr>
          <w:rFonts w:ascii="Times New Roman" w:hAnsi="Times New Roman" w:eastAsia="Times New Roman"/>
          <w:b w:val="0"/>
          <w:i/>
          <w:vertAlign w:val="subscript"/>
        </w:rPr>
        <w:t>c</w:t>
      </w:r>
      <w:r>
        <w:rPr>
          <w:rFonts w:ascii="Times New Roman" w:hAnsi="Times New Roman" w:eastAsia="Times New Roman"/>
          <w:b w:val="0"/>
          <w:i/>
        </w:rPr>
        <w:t>(h, K)) F is non-monotonic, so there is an interval ρ ∈ (ρ</w:t>
      </w:r>
      <w:r>
        <w:rPr>
          <w:rFonts w:ascii="Times New Roman" w:hAnsi="Times New Roman" w:eastAsia="Times New Roman"/>
          <w:b w:val="0"/>
          <w:i/>
          <w:vertAlign w:val="subscript"/>
        </w:rPr>
        <w:t>−</w:t>
      </w:r>
      <w:r>
        <w:rPr>
          <w:rFonts w:ascii="Times New Roman" w:hAnsi="Times New Roman" w:eastAsia="Times New Roman"/>
          <w:b w:val="0"/>
          <w:i/>
        </w:rPr>
        <w:t>, ρ</w:t>
      </w:r>
      <w:r>
        <w:rPr>
          <w:rFonts w:ascii="Times New Roman" w:hAnsi="Times New Roman" w:eastAsia="Times New Roman"/>
          <w:b w:val="0"/>
          <w:i/>
          <w:vertAlign w:val="subscript"/>
        </w:rPr>
        <w:t>+</w:t>
      </w:r>
      <w:r>
        <w:rPr>
          <w:rFonts w:ascii="Times New Roman" w:hAnsi="Times New Roman" w:eastAsia="Times New Roman"/>
          <w:b w:val="0"/>
          <w:i/>
        </w:rPr>
        <w:t>) on which the ODE has three fixed points: two stable — a maintained (low-I) branch and a collapsed (high-I) branch — separated by an unstable one. The endpoints ρ</w:t>
      </w:r>
      <w:r>
        <w:rPr>
          <w:rFonts w:ascii="Times New Roman" w:hAnsi="Times New Roman" w:eastAsia="Times New Roman"/>
          <w:b w:val="0"/>
          <w:i/>
          <w:vertAlign w:val="subscript"/>
        </w:rPr>
        <w:t>±</w:t>
      </w:r>
      <w:r>
        <w:rPr>
          <w:rFonts w:ascii="Times New Roman" w:hAnsi="Times New Roman" w:eastAsia="Times New Roman"/>
          <w:b w:val="0"/>
          <w:i/>
        </w:rPr>
        <w:t xml:space="preserve"> are saddle-node bifurcations, and the system exhibits hysteresis: decreasing ρ from the maintained state, order persists until ρ</w:t>
      </w:r>
      <w:r>
        <w:rPr>
          <w:rFonts w:ascii="Times New Roman" w:hAnsi="Times New Roman" w:eastAsia="Times New Roman"/>
          <w:b w:val="0"/>
          <w:i/>
          <w:vertAlign w:val="subscript"/>
        </w:rPr>
        <w:t>−</w:t>
      </w:r>
      <w:r>
        <w:rPr>
          <w:rFonts w:ascii="Times New Roman" w:hAnsi="Times New Roman" w:eastAsia="Times New Roman"/>
          <w:b w:val="0"/>
          <w:i/>
        </w:rPr>
        <w:t>, then collapses; increasing ρ from the collapsed state, order is not recovered until ρ</w:t>
      </w:r>
      <w:r>
        <w:rPr>
          <w:rFonts w:ascii="Times New Roman" w:hAnsi="Times New Roman" w:eastAsia="Times New Roman"/>
          <w:b w:val="0"/>
          <w:i/>
          <w:vertAlign w:val="subscript"/>
        </w:rPr>
        <w:t>+</w:t>
      </w:r>
      <w:r>
        <w:rPr>
          <w:rFonts w:ascii="Times New Roman" w:hAnsi="Times New Roman" w:eastAsia="Times New Roman"/>
          <w:b w:val="0"/>
          <w:i/>
        </w:rPr>
        <w:t>. For (h, K, β) = (6, 0.5, 20) the bistable window is ρ ∈ (3.9, 11.3).</w:t>
      </w:r>
    </w:p>
    <w:p>
      <w:pPr>
        <w:jc w:val="both"/>
      </w:pPr>
      <w:r>
        <w:rPr>
          <w:rFonts w:ascii="Times New Roman" w:hAnsi="Times New Roman" w:eastAsia="Times New Roman"/>
          <w:b/>
          <w:i w:val="0"/>
        </w:rPr>
        <w:t>Proof sketch.</w:t>
      </w:r>
      <w:r>
        <w:rPr>
          <w:rFonts w:ascii="Times New Roman" w:hAnsi="Times New Roman" w:eastAsia="Times New Roman"/>
          <w:b w:val="0"/>
          <w:i w:val="0"/>
        </w:rPr>
        <w:t xml:space="preserve"> F(I) = μ(I)(1 − I)/I → ∞ as I → 0⁺, because μ(0) = 1, and F(I) → 0 as I → 1⁻. For h &gt; 1 and large β the cooperative term contributes a rising factor that makes F non-monotonic, with a local minimum and a local maximum whose values are ρ</w:t>
      </w:r>
      <w:r>
        <w:rPr>
          <w:rFonts w:ascii="Times New Roman" w:hAnsi="Times New Roman" w:eastAsia="Times New Roman"/>
          <w:b w:val="0"/>
          <w:i w:val="0"/>
          <w:vertAlign w:val="subscript"/>
        </w:rPr>
        <w:t>−</w:t>
      </w:r>
      <w:r>
        <w:rPr>
          <w:rFonts w:ascii="Times New Roman" w:hAnsi="Times New Roman" w:eastAsia="Times New Roman"/>
          <w:b w:val="0"/>
          <w:i w:val="0"/>
        </w:rPr>
        <w:t xml:space="preserve"> (minimum) and ρ</w:t>
      </w:r>
      <w:r>
        <w:rPr>
          <w:rFonts w:ascii="Times New Roman" w:hAnsi="Times New Roman" w:eastAsia="Times New Roman"/>
          <w:b w:val="0"/>
          <w:i w:val="0"/>
          <w:vertAlign w:val="subscript"/>
        </w:rPr>
        <w:t>+</w:t>
      </w:r>
      <w:r>
        <w:rPr>
          <w:rFonts w:ascii="Times New Roman" w:hAnsi="Times New Roman" w:eastAsia="Times New Roman"/>
          <w:b w:val="0"/>
          <w:i w:val="0"/>
        </w:rPr>
        <w:t xml:space="preserve"> (maximum). Between them three real roots exist; linearizing G(I) = μ(I)(1 − I) − ρI gives stability sgn(−G′(I*)), stable on the outer branches and unstable on the middle one. The saddle-node conditions F′(I) = 0 locate ρ</w:t>
      </w:r>
      <w:r>
        <w:rPr>
          <w:rFonts w:ascii="Times New Roman" w:hAnsi="Times New Roman" w:eastAsia="Times New Roman"/>
          <w:b w:val="0"/>
          <w:i w:val="0"/>
          <w:vertAlign w:val="subscript"/>
        </w:rPr>
        <w:t>±</w:t>
      </w:r>
      <w:r>
        <w:rPr>
          <w:rFonts w:ascii="Times New Roman" w:hAnsi="Times New Roman" w:eastAsia="Times New Roman"/>
          <w:b w:val="0"/>
          <w:i w:val="0"/>
        </w:rPr>
        <w:t>. ∎</w:t>
      </w:r>
    </w:p>
    <w:p>
      <w:pPr>
        <w:jc w:val="both"/>
      </w:pPr>
      <w:r>
        <w:rPr>
          <w:rFonts w:ascii="Times New Roman" w:hAnsi="Times New Roman" w:eastAsia="Times New Roman"/>
          <w:b/>
          <w:i w:val="0"/>
        </w:rPr>
        <w:t>Where the feedback is strong enough.</w:t>
      </w:r>
      <w:r>
        <w:rPr>
          <w:rFonts w:ascii="Times New Roman" w:hAnsi="Times New Roman" w:eastAsia="Times New Roman"/>
          <w:b w:val="0"/>
          <w:i w:val="0"/>
        </w:rPr>
        <w:t xml:space="preserve"> Cooperativity is necessary. For h ≤ 1, F(I) = (1 − I)/I + βI</w:t>
      </w:r>
      <w:r>
        <w:rPr>
          <w:rFonts w:ascii="Times New Roman" w:hAnsi="Times New Roman" w:eastAsia="Times New Roman"/>
          <w:b w:val="0"/>
          <w:i w:val="0"/>
          <w:vertAlign w:val="superscript"/>
        </w:rPr>
        <w:t>h−1</w:t>
      </w:r>
      <w:r>
        <w:rPr>
          <w:rFonts w:ascii="Times New Roman" w:hAnsi="Times New Roman" w:eastAsia="Times New Roman"/>
          <w:b w:val="0"/>
          <w:i w:val="0"/>
        </w:rPr>
        <w:t>(1 − I)/(K</w:t>
      </w:r>
      <w:r>
        <w:rPr>
          <w:rFonts w:ascii="Times New Roman" w:hAnsi="Times New Roman" w:eastAsia="Times New Roman"/>
          <w:b w:val="0"/>
          <w:i w:val="0"/>
          <w:vertAlign w:val="superscript"/>
        </w:rPr>
        <w:t>h</w:t>
      </w:r>
      <w:r>
        <w:rPr>
          <w:rFonts w:ascii="Times New Roman" w:hAnsi="Times New Roman" w:eastAsia="Times New Roman"/>
          <w:b w:val="0"/>
          <w:i w:val="0"/>
        </w:rPr>
        <w:t xml:space="preserve"> + I</w:t>
      </w:r>
      <w:r>
        <w:rPr>
          <w:rFonts w:ascii="Times New Roman" w:hAnsi="Times New Roman" w:eastAsia="Times New Roman"/>
          <w:b w:val="0"/>
          <w:i w:val="0"/>
          <w:vertAlign w:val="superscript"/>
        </w:rPr>
        <w:t>h</w:t>
      </w:r>
      <w:r>
        <w:rPr>
          <w:rFonts w:ascii="Times New Roman" w:hAnsi="Times New Roman" w:eastAsia="Times New Roman"/>
          <w:b w:val="0"/>
          <w:i w:val="0"/>
        </w:rPr>
        <w:t>) is a sum of strictly decreasing functions, so the steady state is unique for every β. For h &gt; 1 the threshold β</w:t>
      </w:r>
      <w:r>
        <w:rPr>
          <w:rFonts w:ascii="Times New Roman" w:hAnsi="Times New Roman" w:eastAsia="Times New Roman"/>
          <w:b w:val="0"/>
          <w:i w:val="0"/>
          <w:vertAlign w:val="subscript"/>
        </w:rPr>
        <w:t>c</w:t>
      </w:r>
      <w:r>
        <w:rPr>
          <w:rFonts w:ascii="Times New Roman" w:hAnsi="Times New Roman" w:eastAsia="Times New Roman"/>
          <w:b w:val="0"/>
          <w:i w:val="0"/>
        </w:rPr>
        <w:t>(h, K), the smallest gain at which F develops its pair of turning points, follows from the saddle-node conditions as in the companion order–repair analysis [22]. At K = 0.5 it is β</w:t>
      </w:r>
      <w:r>
        <w:rPr>
          <w:rFonts w:ascii="Times New Roman" w:hAnsi="Times New Roman" w:eastAsia="Times New Roman"/>
          <w:b w:val="0"/>
          <w:i w:val="0"/>
          <w:vertAlign w:val="subscript"/>
        </w:rPr>
        <w:t>c</w:t>
      </w:r>
      <w:r>
        <w:rPr>
          <w:rFonts w:ascii="Times New Roman" w:hAnsi="Times New Roman" w:eastAsia="Times New Roman"/>
          <w:b w:val="0"/>
          <w:i w:val="0"/>
        </w:rPr>
        <w:t xml:space="preserve"> = 219, 50.7, 19.1, 7.73 and 2.42 for h = 1.2, 1.5, 2, 3 and 6, diverging as h → 1</w:t>
      </w:r>
      <w:r>
        <w:rPr>
          <w:rFonts w:ascii="Times New Roman" w:hAnsi="Times New Roman" w:eastAsia="Times New Roman"/>
          <w:b w:val="0"/>
          <w:i w:val="0"/>
          <w:vertAlign w:val="superscript"/>
        </w:rPr>
        <w:t>+</w:t>
      </w:r>
      <w:r>
        <w:rPr>
          <w:rFonts w:ascii="Times New Roman" w:hAnsi="Times New Roman" w:eastAsia="Times New Roman"/>
          <w:b w:val="0"/>
          <w:i w:val="0"/>
        </w:rPr>
        <w:t>. The parameters used throughout, (h, K, β) = (6, 0.5, 20), lie at β/β</w:t>
      </w:r>
      <w:r>
        <w:rPr>
          <w:rFonts w:ascii="Times New Roman" w:hAnsi="Times New Roman" w:eastAsia="Times New Roman"/>
          <w:b w:val="0"/>
          <w:i w:val="0"/>
          <w:vertAlign w:val="subscript"/>
        </w:rPr>
        <w:t>c</w:t>
      </w:r>
      <w:r>
        <w:rPr>
          <w:rFonts w:ascii="Times New Roman" w:hAnsi="Times New Roman" w:eastAsia="Times New Roman"/>
          <w:b w:val="0"/>
          <w:i w:val="0"/>
        </w:rPr>
        <w:t xml:space="preserve"> = 8.3, where the window is ρ ∈ (3.92, 11.30); it shrinks to a point as β → β</w:t>
      </w:r>
      <w:r>
        <w:rPr>
          <w:rFonts w:ascii="Times New Roman" w:hAnsi="Times New Roman" w:eastAsia="Times New Roman"/>
          <w:b w:val="0"/>
          <w:i w:val="0"/>
          <w:vertAlign w:val="subscript"/>
        </w:rPr>
        <w:t>c</w:t>
      </w:r>
      <w:r>
        <w:rPr>
          <w:rFonts w:ascii="Times New Roman" w:hAnsi="Times New Roman" w:eastAsia="Times New Roman"/>
          <w:b w:val="0"/>
          <w:i w:val="0"/>
        </w:rPr>
        <w:t xml:space="preserve"> and widens to (4.57, 21.8) at β = 40 (mf_threshold.py in the study repository).</w:t>
      </w:r>
    </w:p>
    <w:p>
      <w:pPr>
        <w:jc w:val="both"/>
      </w:pPr>
      <w:r>
        <w:rPr>
          <w:rFonts w:ascii="Times New Roman" w:hAnsi="Times New Roman" w:eastAsia="Times New Roman"/>
          <w:b w:val="0"/>
          <w:i w:val="0"/>
        </w:rPr>
        <w:t>Figure 3 shows the S-shaped steady-state manifold, the bifurcation diagram with its hysteresis window, and two trajectories at a common ρ relaxing to distinct (maintained vs collapsed) NESS. Bistability is the qualitative signature of the feedback: it is absent in the β = 0 baseline and appears only because degradation is coupled to the order it destroys.</w:t>
      </w:r>
    </w:p>
    <w:p>
      <w:pPr>
        <w:keepNext/>
        <w:spacing w:before="120"/>
        <w:jc w:val="center"/>
      </w:pPr>
      <w:r>
        <w:drawing>
          <wp:inline xmlns:a="http://schemas.openxmlformats.org/drawingml/2006/main" xmlns:pic="http://schemas.openxmlformats.org/drawingml/2006/picture">
            <wp:extent cx="5669280" cy="2082229"/>
            <wp:docPr id="3" name="Picture 3"/>
            <wp:cNvGraphicFramePr>
              <a:graphicFrameLocks noChangeAspect="1"/>
            </wp:cNvGraphicFramePr>
            <a:graphic>
              <a:graphicData uri="http://schemas.openxmlformats.org/drawingml/2006/picture">
                <pic:pic>
                  <pic:nvPicPr>
                    <pic:cNvPr id="0" name="Fig_meanfield.png"/>
                    <pic:cNvPicPr/>
                  </pic:nvPicPr>
                  <pic:blipFill>
                    <a:blip r:embed="rId12"/>
                    <a:stretch>
                      <a:fillRect/>
                    </a:stretch>
                  </pic:blipFill>
                  <pic:spPr>
                    <a:xfrm>
                      <a:off x="0" y="0"/>
                      <a:ext cx="5669280" cy="2082229"/>
                    </a:xfrm>
                    <a:prstGeom prst="rect"/>
                  </pic:spPr>
                </pic:pic>
              </a:graphicData>
            </a:graphic>
          </wp:inline>
        </w:drawing>
      </w:r>
    </w:p>
    <w:p>
      <w:pPr>
        <w:spacing w:line="276" w:lineRule="auto" w:after="200"/>
        <w:jc w:val="both"/>
      </w:pPr>
      <w:r>
        <w:rPr>
          <w:rFonts w:ascii="Times New Roman" w:hAnsi="Times New Roman" w:eastAsia="Times New Roman"/>
          <w:b/>
          <w:i w:val="0"/>
          <w:sz w:val="20"/>
        </w:rPr>
        <w:t>Figure 3.</w:t>
      </w:r>
      <w:r>
        <w:rPr>
          <w:rFonts w:ascii="Times New Roman" w:hAnsi="Times New Roman" w:eastAsia="Times New Roman"/>
          <w:b w:val="0"/>
          <w:i w:val="0"/>
          <w:sz w:val="20"/>
        </w:rPr>
        <w:t xml:space="preserve"> Nonlinear feedback → bistability (Proposition 2). (A) The steady-state manifold ρ = F(I) is S-shaped, so a range of ρ admits three fixed points. (B) Bifurcation diagram: stable (green) and unstable (red) branches with two saddle-node points bounding a hysteresis window (shaded). (C) At ρ = 7.5, inside the window, two initial conditions flow to a maintained and a collapsed NESS.</w:t>
      </w:r>
    </w:p>
    <w:p>
      <w:pPr>
        <w:jc w:val="both"/>
      </w:pPr>
      <w:r>
        <w:rPr>
          <w:rFonts w:ascii="Times New Roman" w:hAnsi="Times New Roman" w:eastAsia="Times New Roman"/>
          <w:b/>
          <w:i w:val="0"/>
        </w:rPr>
        <w:t>4.3 Testing the bistability on the lattice.</w:t>
      </w:r>
      <w:r>
        <w:rPr>
          <w:rFonts w:ascii="Times New Roman" w:hAnsi="Times New Roman" w:eastAsia="Times New Roman"/>
          <w:b w:val="0"/>
          <w:i w:val="0"/>
        </w:rPr>
        <w:t xml:space="preserve"> Proposition 2 is a statement about the reduced ODE, obtained under one approximation: the </w:t>
      </w:r>
      <w:r>
        <w:rPr>
          <w:rFonts w:ascii="Times New Roman" w:hAnsi="Times New Roman" w:eastAsia="Times New Roman"/>
          <w:b w:val="0"/>
          <w:i/>
        </w:rPr>
        <w:t>annealed mean-field closure</w:t>
      </w:r>
      <w:r>
        <w:rPr>
          <w:rFonts w:ascii="Times New Roman" w:hAnsi="Times New Roman" w:eastAsia="Times New Roman"/>
          <w:b w:val="0"/>
          <w:i w:val="0"/>
        </w:rPr>
        <w:t xml:space="preserve"> δ ≐ I, which replaces the local neighbourhood disorder δ</w:t>
      </w:r>
      <w:r>
        <w:rPr>
          <w:rFonts w:ascii="Times New Roman" w:hAnsi="Times New Roman" w:eastAsia="Times New Roman"/>
          <w:b w:val="0"/>
          <w:i w:val="0"/>
          <w:vertAlign w:val="subscript"/>
        </w:rPr>
        <w:t>i</w:t>
      </w:r>
      <w:r>
        <w:rPr>
          <w:rFonts w:ascii="Times New Roman" w:hAnsi="Times New Roman" w:eastAsia="Times New Roman"/>
          <w:b w:val="0"/>
          <w:i w:val="0"/>
        </w:rPr>
        <w:t xml:space="preserve"> of each site by the global average I. Whether its central prediction survives on the short-range lattice is a numerical question, and a hysteresis loop recorded at one sweep rate cannot settle it: a loop opens whenever the control parameter moves faster than the system relaxes, whether or not two stable states exist [23]. We therefore use kinetic Monte Carlo [24] to apply two tests that separate dynamic from static hysteresis, at the parameters of Proposition 2 (T = 0.45, h</w:t>
      </w:r>
      <w:r>
        <w:rPr>
          <w:rFonts w:ascii="Times New Roman" w:hAnsi="Times New Roman" w:eastAsia="Times New Roman"/>
          <w:b w:val="0"/>
          <w:i w:val="0"/>
          <w:vertAlign w:val="subscript"/>
        </w:rPr>
        <w:t>0</w:t>
      </w:r>
      <w:r>
        <w:rPr>
          <w:rFonts w:ascii="Times New Roman" w:hAnsi="Times New Roman" w:eastAsia="Times New Roman"/>
          <w:b w:val="0"/>
          <w:i w:val="0"/>
        </w:rPr>
        <w:t xml:space="preserve"> = 0.30) and in a colder, field-free variant (T = 0.30, h</w:t>
      </w:r>
      <w:r>
        <w:rPr>
          <w:rFonts w:ascii="Times New Roman" w:hAnsi="Times New Roman" w:eastAsia="Times New Roman"/>
          <w:b w:val="0"/>
          <w:i w:val="0"/>
          <w:vertAlign w:val="subscript"/>
        </w:rPr>
        <w:t>0</w:t>
      </w:r>
      <w:r>
        <w:rPr>
          <w:rFonts w:ascii="Times New Roman" w:hAnsi="Times New Roman" w:eastAsia="Times New Roman"/>
          <w:b w:val="0"/>
          <w:i w:val="0"/>
        </w:rPr>
        <w:t xml:space="preserve"> = 0) in which thermal fluctuations are weaker. The protocol, run table, engine verification and error analysis are given in Appendix A.</w:t>
      </w:r>
    </w:p>
    <w:p>
      <w:pPr>
        <w:jc w:val="both"/>
      </w:pPr>
      <w:r>
        <w:rPr>
          <w:rFonts w:ascii="Times New Roman" w:hAnsi="Times New Roman" w:eastAsia="Times New Roman"/>
          <w:b w:val="0"/>
          <w:i/>
        </w:rPr>
        <w:t>Sweep-rate extrapolation.</w:t>
      </w:r>
      <w:r>
        <w:rPr>
          <w:rFonts w:ascii="Times New Roman" w:hAnsi="Times New Roman" w:eastAsia="Times New Roman"/>
          <w:b w:val="0"/>
          <w:i w:val="0"/>
        </w:rPr>
        <w:t xml:space="preserve"> The ratio ρ is stepped from 16 down to 1 and back on a 31-point grid with a dwell of τ = 1 to 256 steps at each value, at L = 16–64 (8 independent runs per size and rate). The signed loop area A = ∫(U</w:t>
      </w:r>
      <w:r>
        <w:rPr>
          <w:rFonts w:ascii="Times New Roman" w:hAnsi="Times New Roman" w:eastAsia="Times New Roman"/>
          <w:b w:val="0"/>
          <w:i w:val="0"/>
          <w:vertAlign w:val="subscript"/>
        </w:rPr>
        <w:t>χ,↓</w:t>
      </w:r>
      <w:r>
        <w:rPr>
          <w:rFonts w:ascii="Times New Roman" w:hAnsi="Times New Roman" w:eastAsia="Times New Roman"/>
          <w:b w:val="0"/>
          <w:i w:val="0"/>
        </w:rPr>
        <w:t xml:space="preserve"> − U</w:t>
      </w:r>
      <w:r>
        <w:rPr>
          <w:rFonts w:ascii="Times New Roman" w:hAnsi="Times New Roman" w:eastAsia="Times New Roman"/>
          <w:b w:val="0"/>
          <w:i w:val="0"/>
          <w:vertAlign w:val="subscript"/>
        </w:rPr>
        <w:t>χ,↑</w:t>
      </w:r>
      <w:r>
        <w:rPr>
          <w:rFonts w:ascii="Times New Roman" w:hAnsi="Times New Roman" w:eastAsia="Times New Roman"/>
          <w:b w:val="0"/>
          <w:i w:val="0"/>
        </w:rPr>
        <w:t>) dρ, which unlike the absolute area is unbiased under noise, peaks at 2.5 for dwells of two to four steps and falls steadily as the sweep slows, to 0.09 at τ = 32 for L = 64 (Figure 4B). From τ = 64 on it is consistent with zero: A = -0.007 (95% bootstrap interval -0.020 to 0.005) over the dwells τ = 64–256 at L = 64, |A| ≤ 0.018 at every size in both variants, and every interval contains zero. A bistable system keeps a finite loop as τ → ∞, bounded by its two saddle-nodes; for the mean-field reduction that quasi-static area is 4.30.</w:t>
      </w:r>
    </w:p>
    <w:p>
      <w:pPr>
        <w:jc w:val="both"/>
      </w:pPr>
      <w:r>
        <w:rPr>
          <w:rFonts w:ascii="Times New Roman" w:hAnsi="Times New Roman" w:eastAsia="Times New Roman"/>
          <w:b w:val="0"/>
          <w:i/>
        </w:rPr>
        <w:t>Two starts at fixed ρ.</w:t>
      </w:r>
      <w:r>
        <w:rPr>
          <w:rFonts w:ascii="Times New Roman" w:hAnsi="Times New Roman" w:eastAsia="Times New Roman"/>
          <w:b w:val="0"/>
          <w:i w:val="0"/>
        </w:rPr>
        <w:t xml:space="preserve"> Inside the mean-field window (ρ = 4.5, 6, 8 and 10) each run starts either from the ordered state or from a collapsed one (95% of sites diluted, angles random) and is followed for 3000 steps (L = 16–64, 8 runs per start). The stationary order reached from the two starts agrees to within 0.004 in all 40 combinations of ρ, L and variant, with the bootstrap interval of the difference containing zero in 35 of them (Figure 4C). The seed-averaged trajectories meet within 15–115 steps, and the meeting time does not grow with the number of sites from N = 256 to 4096 (Figure A1C), whereas escape from a metastable branch slows exponentially with N. The stationary distribution of U</w:t>
      </w:r>
      <w:r>
        <w:rPr>
          <w:rFonts w:ascii="Times New Roman" w:hAnsi="Times New Roman" w:eastAsia="Times New Roman"/>
          <w:b w:val="0"/>
          <w:i w:val="0"/>
          <w:vertAlign w:val="subscript"/>
        </w:rPr>
        <w:t>χ</w:t>
      </w:r>
      <w:r>
        <w:rPr>
          <w:rFonts w:ascii="Times New Roman" w:hAnsi="Times New Roman" w:eastAsia="Times New Roman"/>
          <w:b w:val="0"/>
          <w:i w:val="0"/>
        </w:rPr>
        <w:t xml:space="preserve"> is unimodal (bimodality coefficient ≤ 0.37, below the 5/9 of a uniform distribution [25]), and its integrated autocorrelation time is 6–11 steps, again independent of L (Figure A1B).</w:t>
      </w:r>
    </w:p>
    <w:p>
      <w:pPr>
        <w:jc w:val="both"/>
      </w:pPr>
      <w:r>
        <w:rPr>
          <w:rFonts w:ascii="Times New Roman" w:hAnsi="Times New Roman" w:eastAsia="Times New Roman"/>
          <w:b w:val="0"/>
          <w:i w:val="0"/>
        </w:rPr>
        <w:t>The five combinations whose interval excludes zero are, with difference and 95% interval: T = 0.30, L = 32, ρ = 6: -0.0021 (-0.00384 to -0.00038); T = 0.30, L = 32, ρ = 8: +0.0014 (+0.00045 to +0.00231); T = 0.30, L = 64, ρ = 6: +0.0008 (+0.00001 to +0.00144); T = 0.45, L = 16, ρ = 10: -0.0015 (-0.00256 to -0.00047); T = 0.45, L = 64, ρ = 10: -0.0005 (-0.00085 to -0.00007). Their differences are at most 0.0021, two orders of magnitude below the 0.63 separation of the mean-field branches at ρ = 6, and they have no common sign (23 of the 40 differences overall are positive). A Welch test per combination, corrected for the 40 comparisons by Holm's procedure, leaves none significant (smallest adjusted p = 0.70). With eight runs per start, percentile bootstrap intervals are known to be somewhat too narrow, so a handful of exclusions among 40 intervals is expected by chance. They do not indicate a residual dependence on the initial state.</w:t>
      </w:r>
    </w:p>
    <w:p>
      <w:pPr>
        <w:jc w:val="both"/>
      </w:pPr>
      <w:r>
        <w:rPr>
          <w:rFonts w:ascii="Times New Roman" w:hAnsi="Times New Roman" w:eastAsia="Times New Roman"/>
          <w:b w:val="0"/>
          <w:i w:val="0"/>
        </w:rPr>
        <w:t>Both tests give the same answer. At these parameters the nearest-neighbour lattice has a single stationary state at each ρ, and the hysteresis it shows is dynamic: a lag behind a moving control parameter that vanishes in the quasi-static limit. The slow sweeps trace one continuous crossover (Figure 4A) across the range in which the reduction predicts two branches, and at ρ = 6, where the reduction has stable states at U</w:t>
      </w:r>
      <w:r>
        <w:rPr>
          <w:rFonts w:ascii="Times New Roman" w:hAnsi="Times New Roman" w:eastAsia="Times New Roman"/>
          <w:b w:val="0"/>
          <w:i w:val="0"/>
          <w:vertAlign w:val="subscript"/>
        </w:rPr>
        <w:t>χ</w:t>
      </w:r>
      <w:r>
        <w:rPr>
          <w:rFonts w:ascii="Times New Roman" w:hAnsi="Times New Roman" w:eastAsia="Times New Roman"/>
          <w:b w:val="0"/>
          <w:i w:val="0"/>
        </w:rPr>
        <w:t xml:space="preserve"> = 0.86 and 0.23, both starts settle at U</w:t>
      </w:r>
      <w:r>
        <w:rPr>
          <w:rFonts w:ascii="Times New Roman" w:hAnsi="Times New Roman" w:eastAsia="Times New Roman"/>
          <w:b w:val="0"/>
          <w:i w:val="0"/>
          <w:vertAlign w:val="subscript"/>
        </w:rPr>
        <w:t>χ</w:t>
      </w:r>
      <w:r>
        <w:rPr>
          <w:rFonts w:ascii="Times New Roman" w:hAnsi="Times New Roman" w:eastAsia="Times New Roman"/>
          <w:b w:val="0"/>
          <w:i w:val="0"/>
        </w:rPr>
        <w:t xml:space="preserve"> = 0.74. Mean-field bistability does not survive on the lattice at these parameters, including the colder variant. The stationary currents nonetheless balance, J</w:t>
      </w:r>
      <w:r>
        <w:rPr>
          <w:rFonts w:ascii="Times New Roman" w:hAnsi="Times New Roman" w:eastAsia="Times New Roman"/>
          <w:b w:val="0"/>
          <w:i w:val="0"/>
          <w:vertAlign w:val="subscript"/>
        </w:rPr>
        <w:t>kill</w:t>
      </w:r>
      <w:r>
        <w:rPr>
          <w:rFonts w:ascii="Times New Roman" w:hAnsi="Times New Roman" w:eastAsia="Times New Roman"/>
          <w:b w:val="0"/>
          <w:i w:val="0"/>
        </w:rPr>
        <w:t xml:space="preserve"> = J</w:t>
      </w:r>
      <w:r>
        <w:rPr>
          <w:rFonts w:ascii="Times New Roman" w:hAnsi="Times New Roman" w:eastAsia="Times New Roman"/>
          <w:b w:val="0"/>
          <w:i w:val="0"/>
          <w:vertAlign w:val="subscript"/>
        </w:rPr>
        <w:t>rep</w:t>
      </w:r>
      <w:r>
        <w:rPr>
          <w:rFonts w:ascii="Times New Roman" w:hAnsi="Times New Roman" w:eastAsia="Times New Roman"/>
          <w:b w:val="0"/>
          <w:i w:val="0"/>
        </w:rPr>
        <w:t xml:space="preserve"> to better than one part in 10</w:t>
      </w:r>
      <w:r>
        <w:rPr>
          <w:rFonts w:ascii="Times New Roman" w:hAnsi="Times New Roman" w:eastAsia="Times New Roman"/>
          <w:b w:val="0"/>
          <w:i w:val="0"/>
          <w:vertAlign w:val="superscript"/>
        </w:rPr>
        <w:t>3</w:t>
      </w:r>
      <w:r>
        <w:rPr>
          <w:rFonts w:ascii="Times New Roman" w:hAnsi="Times New Roman" w:eastAsia="Times New Roman"/>
          <w:b w:val="0"/>
          <w:i w:val="0"/>
        </w:rPr>
        <w:t xml:space="preserve"> at every ρ and L (Figure 4D), so the lattice reaches a genuine NESS and the cycle current used in Section 6 is the measured one.</w:t>
      </w:r>
    </w:p>
    <w:p>
      <w:pPr>
        <w:keepNext/>
        <w:spacing w:before="120"/>
        <w:jc w:val="center"/>
      </w:pPr>
      <w:r>
        <w:drawing>
          <wp:inline xmlns:a="http://schemas.openxmlformats.org/drawingml/2006/main" xmlns:pic="http://schemas.openxmlformats.org/drawingml/2006/picture">
            <wp:extent cx="5669280" cy="4518573"/>
            <wp:docPr id="4" name="Picture 4"/>
            <wp:cNvGraphicFramePr>
              <a:graphicFrameLocks noChangeAspect="1"/>
            </wp:cNvGraphicFramePr>
            <a:graphic>
              <a:graphicData uri="http://schemas.openxmlformats.org/drawingml/2006/picture">
                <pic:pic>
                  <pic:nvPicPr>
                    <pic:cNvPr id="0" name="Fig_lattice.png"/>
                    <pic:cNvPicPr/>
                  </pic:nvPicPr>
                  <pic:blipFill>
                    <a:blip r:embed="rId13"/>
                    <a:stretch>
                      <a:fillRect/>
                    </a:stretch>
                  </pic:blipFill>
                  <pic:spPr>
                    <a:xfrm>
                      <a:off x="0" y="0"/>
                      <a:ext cx="5669280" cy="4518573"/>
                    </a:xfrm>
                    <a:prstGeom prst="rect"/>
                  </pic:spPr>
                </pic:pic>
              </a:graphicData>
            </a:graphic>
          </wp:inline>
        </w:drawing>
      </w:r>
    </w:p>
    <w:p>
      <w:pPr>
        <w:spacing w:line="276" w:lineRule="auto" w:after="200"/>
        <w:jc w:val="both"/>
      </w:pPr>
      <w:r>
        <w:rPr>
          <w:rFonts w:ascii="Times New Roman" w:hAnsi="Times New Roman" w:eastAsia="Times New Roman"/>
          <w:b/>
          <w:i w:val="0"/>
          <w:sz w:val="20"/>
        </w:rPr>
        <w:t>Figure 4.</w:t>
      </w:r>
      <w:r>
        <w:rPr>
          <w:rFonts w:ascii="Times New Roman" w:hAnsi="Times New Roman" w:eastAsia="Times New Roman"/>
          <w:b w:val="0"/>
          <w:i w:val="0"/>
          <w:sz w:val="20"/>
        </w:rPr>
        <w:t xml:space="preserve"> Kinetic Monte Carlo test of Proposition 2 on the nearest-neighbour lattice (T = 0.45, h</w:t>
      </w:r>
      <w:r>
        <w:rPr>
          <w:rFonts w:ascii="Times New Roman" w:hAnsi="Times New Roman" w:eastAsia="Times New Roman"/>
          <w:b w:val="0"/>
          <w:i w:val="0"/>
          <w:sz w:val="20"/>
          <w:vertAlign w:val="subscript"/>
        </w:rPr>
        <w:t>0</w:t>
      </w:r>
      <w:r>
        <w:rPr>
          <w:rFonts w:ascii="Times New Roman" w:hAnsi="Times New Roman" w:eastAsia="Times New Roman"/>
          <w:b w:val="0"/>
          <w:i w:val="0"/>
          <w:sz w:val="20"/>
        </w:rPr>
        <w:t xml:space="preserve"> = 0.30 unless stated). (A) Sweeps of ρ down (solid) and up (dashed) at L = 64, with 1, 16 and 256 steps per ρ value: the loop of fast sweeps closes as the sweep slows; the mean-field window is shaded and its stable branches are grey. (B) Signed loop area against dwell per ρ value for L = 16–64 and for the colder field-free variant (squares); mean ± 95% interval over 8 runs. (C) Stationary order from an ordered and a collapsed start at fixed ρ inside the window (L = 64): the two coincide. (D) Stationary kill and repair currents per site and step at ρ = 4.5, 6 and 8 and L = 16, 32, 64; the line is equality.</w:t>
      </w:r>
    </w:p>
    <w:p>
      <w:pPr>
        <w:jc w:val="both"/>
      </w:pPr>
      <w:r>
        <w:rPr>
          <w:rFonts w:ascii="Times New Roman" w:hAnsi="Times New Roman" w:eastAsia="Times New Roman"/>
          <w:b/>
          <w:i w:val="0"/>
        </w:rPr>
        <w:t>4.4 Why the closure fails, and where it holds.</w:t>
      </w:r>
      <w:r>
        <w:rPr>
          <w:rFonts w:ascii="Times New Roman" w:hAnsi="Times New Roman" w:eastAsia="Times New Roman"/>
          <w:b w:val="0"/>
          <w:i w:val="0"/>
        </w:rPr>
        <w:t xml:space="preserve"> The reduction assumes that every intact site is degraded at the rate μ(I) set by the global disorder. The lattice applies instead the average of μ over the local disorders its intact sites actually see, μ̄ = ⟨μ(δ</w:t>
      </w:r>
      <w:r>
        <w:rPr>
          <w:rFonts w:ascii="Times New Roman" w:hAnsi="Times New Roman" w:eastAsia="Times New Roman"/>
          <w:b w:val="0"/>
          <w:i w:val="0"/>
          <w:vertAlign w:val="subscript"/>
        </w:rPr>
        <w:t>i</w:t>
      </w:r>
      <w:r>
        <w:rPr>
          <w:rFonts w:ascii="Times New Roman" w:hAnsi="Times New Roman" w:eastAsia="Times New Roman"/>
          <w:b w:val="0"/>
          <w:i w:val="0"/>
        </w:rPr>
        <w:t>)⟩, and the two differ in both directions (Figure 5A). Where order is low the local disorder of intact sites stays far below the global one: at ρ = 2 the global I is 0.79 while intact sites see δ̄ = 0.45, so the lattice kills at μ̄ = 9.1 against μ(I) = 19.8. Part of this is a ceiling: four rotors pointing in independent random directions give δ = 0.55 on average, barely above K = 0.5, so a nearest-neighbour sensor can never engage the switch fully. Where order is high the lattice kills faster than the closure assumes: at ρ = 6, μ̄ = 2.47 against μ(I) = 1.37, and above even μ(δ̄) = 1.02, the rate at the mean local disorder. That last inequality is the signature of averaging a steep, convex switch over a broad distribution of δ</w:t>
      </w:r>
      <w:r>
        <w:rPr>
          <w:rFonts w:ascii="Times New Roman" w:hAnsi="Times New Roman" w:eastAsia="Times New Roman"/>
          <w:b w:val="0"/>
          <w:i w:val="0"/>
          <w:vertAlign w:val="subscript"/>
        </w:rPr>
        <w:t>i</w:t>
      </w:r>
      <w:r>
        <w:rPr>
          <w:rFonts w:ascii="Times New Roman" w:hAnsi="Times New Roman" w:eastAsia="Times New Roman"/>
          <w:b w:val="0"/>
          <w:i w:val="0"/>
        </w:rPr>
        <w:t>: the few sites in disordered pockets are killed at nearly the full rate even in an ordered lattice. Together the two effects flatten the effective feedback, and a flattened μ cannot bend F into the S-shape that Proposition 2 requires. Both shrink as the neighbourhood that a site senses grows, since the average over n rotors narrows the distribution of δ</w:t>
      </w:r>
      <w:r>
        <w:rPr>
          <w:rFonts w:ascii="Times New Roman" w:hAnsi="Times New Roman" w:eastAsia="Times New Roman"/>
          <w:b w:val="0"/>
          <w:i w:val="0"/>
          <w:vertAlign w:val="subscript"/>
        </w:rPr>
        <w:t>i</w:t>
      </w:r>
      <w:r>
        <w:rPr>
          <w:rFonts w:ascii="Times New Roman" w:hAnsi="Times New Roman" w:eastAsia="Times New Roman"/>
          <w:b w:val="0"/>
          <w:i w:val="0"/>
        </w:rPr>
        <w:t xml:space="preserve"> and raises its ceiling (to 0.82 for n = 24 and 0.90 for n = 80).</w:t>
      </w:r>
    </w:p>
    <w:p>
      <w:pPr>
        <w:jc w:val="both"/>
      </w:pPr>
      <w:r>
        <w:rPr>
          <w:rFonts w:ascii="Times New Roman" w:hAnsi="Times New Roman" w:eastAsia="Times New Roman"/>
          <w:b w:val="0"/>
          <w:i w:val="0"/>
        </w:rPr>
        <w:t>A control experiment tests this directly. Keeping the rotor dynamics, the repair process and every parameter fixed, we let the kill rate respond to the disorder of a larger block of n surrounding sites (n = 8, 24, 80) or to the global disorder 1 − U</w:t>
      </w:r>
      <w:r>
        <w:rPr>
          <w:rFonts w:ascii="Times New Roman" w:hAnsi="Times New Roman" w:eastAsia="Times New Roman"/>
          <w:b w:val="0"/>
          <w:i w:val="0"/>
          <w:vertAlign w:val="subscript"/>
        </w:rPr>
        <w:t>χ</w:t>
      </w:r>
      <w:r>
        <w:rPr>
          <w:rFonts w:ascii="Times New Roman" w:hAnsi="Times New Roman" w:eastAsia="Times New Roman"/>
          <w:b w:val="0"/>
          <w:i w:val="0"/>
        </w:rPr>
        <w:t>, which imposes the mean-field closure on the lattice itself (L = 48, 4 runs per case; Figure 5B–D). With n = 4 the slow-sweep loop vanishes (area 0.01 at τ = 256) and with n = 8 it nearly does (0.03); the two starts agree at every ρ. With n = 24 a small loop remains (0.21, still shrinking between τ = 64 and 256) while the starts still agree at the values of ρ tested. With n = 80 the loop has area 1.00 and at ρ = 6 the ordered start holds U</w:t>
      </w:r>
      <w:r>
        <w:rPr>
          <w:rFonts w:ascii="Times New Roman" w:hAnsi="Times New Roman" w:eastAsia="Times New Roman"/>
          <w:b w:val="0"/>
          <w:i w:val="0"/>
          <w:vertAlign w:val="subscript"/>
        </w:rPr>
        <w:t>χ</w:t>
      </w:r>
      <w:r>
        <w:rPr>
          <w:rFonts w:ascii="Times New Roman" w:hAnsi="Times New Roman" w:eastAsia="Times New Roman"/>
          <w:b w:val="0"/>
          <w:i w:val="0"/>
        </w:rPr>
        <w:t xml:space="preserve"> = 0.85 while the collapsed start stays at 0.39 throughout the run. With global sensing the two starts are separated at ρ = 4.5 (0.82 against 0.28) and 6 (0.85 against 0.37), and the slow sweep collapses at ρ ≈ 3.7, close to the mean-field saddle-node ρ</w:t>
      </w:r>
      <w:r>
        <w:rPr>
          <w:rFonts w:ascii="Times New Roman" w:hAnsi="Times New Roman" w:eastAsia="Times New Roman"/>
          <w:b w:val="0"/>
          <w:i w:val="0"/>
          <w:vertAlign w:val="subscript"/>
        </w:rPr>
        <w:t>−</w:t>
      </w:r>
      <w:r>
        <w:rPr>
          <w:rFonts w:ascii="Times New Roman" w:hAnsi="Times New Roman" w:eastAsia="Times New Roman"/>
          <w:b w:val="0"/>
          <w:i w:val="0"/>
        </w:rPr>
        <w:t xml:space="preserve"> = 3.92, but recovers already at ρ ≈ 7.5, below ρ</w:t>
      </w:r>
      <w:r>
        <w:rPr>
          <w:rFonts w:ascii="Times New Roman" w:hAnsi="Times New Roman" w:eastAsia="Times New Roman"/>
          <w:b w:val="0"/>
          <w:i w:val="0"/>
          <w:vertAlign w:val="subscript"/>
        </w:rPr>
        <w:t>+</w:t>
      </w:r>
      <w:r>
        <w:rPr>
          <w:rFonts w:ascii="Times New Roman" w:hAnsi="Times New Roman" w:eastAsia="Times New Roman"/>
          <w:b w:val="0"/>
          <w:i w:val="0"/>
        </w:rPr>
        <w:t xml:space="preserve"> = 11.30: at finite N fluctuations let the collapsed state escape before its own saddle-node, so the loop (area 1.93) is about half the quasi-static mean-field value 4.30. </w:t>
      </w:r>
    </w:p>
    <w:p>
      <w:pPr>
        <w:jc w:val="both"/>
      </w:pPr>
      <w:r>
        <w:rPr>
          <w:rFonts w:ascii="Times New Roman" w:hAnsi="Times New Roman" w:eastAsia="Times New Roman"/>
          <w:b w:val="0"/>
          <w:i w:val="0"/>
        </w:rPr>
        <w:t>Because a separation over 2000 steps at one size does not by itself establish bistability, we tested both cases in size and time (Figure A2): L = 32, 48, 64 and 96, 4 runs from each start, 15000 steps each. With global sensing the two starts stay on separate branches at every ρ tested inside the window (4.0, 4.5, 6.0, 7.0) and every size: none of the 128 runs left its branch, and the separation, 0.43–0.54, does not change with L. That is the behaviour expected of a genuine mean-field bistability, whose metastable lifetimes grow exponentially with N. With the 80-site neighbourhood the picture is that of a discontinuous transition in a finite-range system. At ρ = 5.5 and 6.0 the separation (0.49 and 0.46) is again independent of L and no run left its branch. At the edges of the window, states do decay: at ρ = 5.0 the ordered state collapsed in 12 of 16 runs, and sooner in larger systems (after 7390–11470 steps at L = 32 but 1200–5070 at L = 96), consistent with a decay rate proportional to the number of sites, as nucleation of the stable phase predicts; at ρ = 6.5 the collapsed state recovered in 13 of 16 runs. With finite-range sensing such nucleation-limited decay is expected to narrow the interval of true coexistence as N → ∞, leaving long-lived metastability and a discontinuous jump near the value of ρ at which an interface between the two phases stalls; our data are consistent with this but do not locate that point. We therefore describe the restored bistability as strong numerical evidence rather than proof: robust in size and time for global sensing, and for the 80-site neighbourhood a discontinuous transition with hysteresis whose infinite-size, infinite-time limit remains open (problem (b)).</w:t>
      </w:r>
    </w:p>
    <w:p>
      <w:pPr>
        <w:jc w:val="both"/>
      </w:pPr>
      <w:r>
        <w:rPr>
          <w:rFonts w:ascii="Times New Roman" w:hAnsi="Times New Roman" w:eastAsia="Times New Roman"/>
          <w:b w:val="0"/>
          <w:i w:val="0"/>
        </w:rPr>
        <w:t>The bistability of Proposition 2 is therefore not an artefact of the reduction: it is realized on the lattice when degradation responds to order averaged over a large enough region, and it is the mean-field limit of that case. It is destroyed when degradation responds only to the nearest neighbours; at the parameters studied the crossover lies between n = 8 and n = 80 sensed sites. The physical content of Proposition 2 is accordingly conditional on the range over which the degrading flux senses disorder, and that range, not only the gain β and the cooperativity h, is a control parameter of the maintained state.</w:t>
      </w:r>
    </w:p>
    <w:p>
      <w:pPr>
        <w:keepNext/>
        <w:spacing w:before="120"/>
        <w:jc w:val="center"/>
      </w:pPr>
      <w:r>
        <w:drawing>
          <wp:inline xmlns:a="http://schemas.openxmlformats.org/drawingml/2006/main" xmlns:pic="http://schemas.openxmlformats.org/drawingml/2006/picture">
            <wp:extent cx="5669280" cy="4525815"/>
            <wp:docPr id="5" name="Picture 5"/>
            <wp:cNvGraphicFramePr>
              <a:graphicFrameLocks noChangeAspect="1"/>
            </wp:cNvGraphicFramePr>
            <a:graphic>
              <a:graphicData uri="http://schemas.openxmlformats.org/drawingml/2006/picture">
                <pic:pic>
                  <pic:nvPicPr>
                    <pic:cNvPr id="0" name="Fig_mechanism.png"/>
                    <pic:cNvPicPr/>
                  </pic:nvPicPr>
                  <pic:blipFill>
                    <a:blip r:embed="rId14"/>
                    <a:stretch>
                      <a:fillRect/>
                    </a:stretch>
                  </pic:blipFill>
                  <pic:spPr>
                    <a:xfrm>
                      <a:off x="0" y="0"/>
                      <a:ext cx="5669280" cy="4525815"/>
                    </a:xfrm>
                    <a:prstGeom prst="rect"/>
                  </pic:spPr>
                </pic:pic>
              </a:graphicData>
            </a:graphic>
          </wp:inline>
        </w:drawing>
      </w:r>
    </w:p>
    <w:p>
      <w:pPr>
        <w:spacing w:line="276" w:lineRule="auto" w:after="200"/>
        <w:jc w:val="both"/>
      </w:pPr>
      <w:r>
        <w:rPr>
          <w:rFonts w:ascii="Times New Roman" w:hAnsi="Times New Roman" w:eastAsia="Times New Roman"/>
          <w:b/>
          <w:i w:val="0"/>
          <w:sz w:val="20"/>
        </w:rPr>
        <w:t>Figure 5.</w:t>
      </w:r>
      <w:r>
        <w:rPr>
          <w:rFonts w:ascii="Times New Roman" w:hAnsi="Times New Roman" w:eastAsia="Times New Roman"/>
          <w:b w:val="0"/>
          <w:i w:val="0"/>
          <w:sz w:val="20"/>
        </w:rPr>
        <w:t xml:space="preserve"> Why nearest-neighbour feedback is not bistable, and the sensing range that restores bistability. (A) Mean local disorder of intact sites δ̄ against the global I = 1 − 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xml:space="preserve"> in the stationary lattice (L = 64; filled: ordered start, open: collapsed start; both parameter sets); the line is the closure δ̄ = I and the dotted line marks K. (B) Slow sweeps (256 steps per ρ value) at L = 48 with the kill rate sensing the 4 nearest neighbours (the model), blocks of 8, 24 and 80 sites, or the global disorder; solid down, dashed up; the mean-field window is shaded. (C) Difference in stationary order between the ordered and the collapsed start at fixed ρ, with 95% intervals. (D) Slow-sweep loop area against the number of sites sensed, at 64 and 256 steps per ρ value.</w:t>
      </w:r>
    </w:p>
    <w:p>
      <w:pPr>
        <w:pStyle w:val="Heading1"/>
      </w:pPr>
      <w:r>
        <w:rPr>
          <w:rFonts w:ascii="Times New Roman" w:hAnsi="Times New Roman" w:eastAsia="Times New Roman"/>
          <w:b w:val="0"/>
          <w:i w:val="0"/>
        </w:rPr>
        <w:t>5. The field-free transition is BKT-driven</w:t>
      </w:r>
    </w:p>
    <w:p>
      <w:pPr>
        <w:jc w:val="both"/>
      </w:pPr>
      <w:r>
        <w:rPr>
          <w:rFonts w:ascii="Times New Roman" w:hAnsi="Times New Roman" w:eastAsia="Times New Roman"/>
          <w:b w:val="0"/>
          <w:i w:val="0"/>
        </w:rPr>
        <w:t>At h</w:t>
      </w:r>
      <w:r>
        <w:rPr>
          <w:rFonts w:ascii="Times New Roman" w:hAnsi="Times New Roman" w:eastAsia="Times New Roman"/>
          <w:b w:val="0"/>
          <w:i w:val="0"/>
          <w:vertAlign w:val="subscript"/>
        </w:rPr>
        <w:t>0</w:t>
      </w:r>
      <w:r>
        <w:rPr>
          <w:rFonts w:ascii="Times New Roman" w:hAnsi="Times New Roman" w:eastAsia="Times New Roman"/>
          <w:b w:val="0"/>
          <w:i w:val="0"/>
        </w:rPr>
        <w:t xml:space="preserve"> = 0 the maintained phase requires the intact sub-lattice to sustain the quasi-long-range order of the two-dimensional XY model [12]. We locate the field-free transition of the quenched problem, in which a fixed fraction f of sites is diluted to g = 0, by finite-size scaling at T = 0.45 with L = 16, 24, 32, 48, 64 and 96 and eight independent disorder realizations per size and dilution (Appendix A), measuring the Binder cumulant U</w:t>
      </w:r>
      <w:r>
        <w:rPr>
          <w:rFonts w:ascii="Times New Roman" w:hAnsi="Times New Roman" w:eastAsia="Times New Roman"/>
          <w:b w:val="0"/>
          <w:i w:val="0"/>
          <w:vertAlign w:val="subscript"/>
        </w:rPr>
        <w:t>4</w:t>
      </w:r>
      <w:r>
        <w:rPr>
          <w:rFonts w:ascii="Times New Roman" w:hAnsi="Times New Roman" w:eastAsia="Times New Roman"/>
          <w:b w:val="0"/>
          <w:i w:val="0"/>
        </w:rPr>
        <w:t xml:space="preserve"> and the helicity modulus (spin stiffness)</w:t>
      </w:r>
    </w:p>
    <w:p>
      <w:pPr>
        <w:keepLines/>
        <w:tabs>
          <w:tab w:pos="4680" w:val="center"/>
          <w:tab w:pos="9360" w:val="right"/>
        </w:tabs>
        <w:spacing w:before="120" w:after="120"/>
      </w:pPr>
      <w:r>
        <w:tab/>
      </w:r>
      <m:oMath>
        <m:r>
          <m:rPr>
            <m:sty m:val="i"/>
          </m:rPr>
          <w:rPr>
            <w:rFonts w:ascii="Cambria Math" w:hAnsi="Cambria Math"/>
            <w:i/>
          </w:rPr>
          <m:t xml:space="preserve">Υ</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sSup>
              <m:sSupPr>
                <m:ctrlPr>
                  <w:rPr>
                    <w:rFonts w:ascii="Cambria Math" w:hAnsi="Cambria Math"/>
                    <w:i/>
                  </w:rPr>
                </m:ctrlPr>
              </m:sSupPr>
              <m:e>
                <m:r>
                  <m:rPr>
                    <m:sty m:val="i"/>
                  </m:rPr>
                  <w:rPr>
                    <w:rFonts w:ascii="Cambria Math" w:hAnsi="Cambria Math"/>
                    <w:i/>
                  </w:rPr>
                  <m:t xml:space="preserve">L</m:t>
                </m:r>
              </m:e>
              <m:sup>
                <m:r>
                  <m:rPr>
                    <m:nor/>
                  </m:rPr>
                  <w:rPr>
                    <w:rFonts w:ascii="Cambria Math" w:hAnsi="Cambria Math"/>
                    <w:i w:val="0"/>
                  </w:rPr>
                  <m:t xml:space="preserve">2</m:t>
                </m:r>
              </m:sup>
            </m:sSup>
          </m:den>
        </m:f>
        <m:d>
          <m:dPr>
            <m:begChr m:val="⟨"/>
            <m:endChr m:val="⟩"/>
            <m:ctrlPr>
              <w:rPr>
                <w:rFonts w:ascii="Cambria Math" w:hAnsi="Cambria Math"/>
                <w:i/>
              </w:rPr>
            </m:ctrlPr>
          </m:dPr>
          <m:e>
            <m:nary>
              <m:naryPr>
                <m:chr m:val="∑"/>
                <m:limLoc m:val="undOvr"/>
                <m:supHide m:val="1"/>
                <m:ctrlPr>
                  <w:rPr>
                    <w:rFonts w:ascii="Cambria Math" w:hAnsi="Cambria Math"/>
                    <w:i/>
                  </w:rPr>
                </m:ctrlPr>
              </m:naryPr>
              <m:sub>
                <m:r>
                  <m:rPr>
                    <m:sty m:val="i"/>
                  </m:rPr>
                  <w:rPr>
                    <w:rFonts w:ascii="Cambria Math" w:hAnsi="Cambria Math"/>
                    <w:i/>
                  </w:rPr>
                  <m:t xml:space="preserve">b</m:t>
                </m:r>
              </m:sub>
              <m:sup/>
              <m:e>
                <m:r>
                  <m:rPr>
                    <m:sty m:val="i"/>
                  </m:rPr>
                  <w:rPr>
                    <w:rFonts w:ascii="Cambria Math" w:hAnsi="Cambria Math"/>
                    <w:i/>
                  </w:rPr>
                  <m:t xml:space="preserve">J</m:t>
                </m:r>
                <m:r>
                  <m:rPr>
                    <m:nor/>
                  </m:rPr>
                  <w:rPr>
                    <w:rFonts w:ascii="Cambria Math" w:hAnsi="Cambria Math"/>
                    <w:i w:val="0"/>
                  </w:rPr>
                  <m:t xml:space="preserve">cos</m:t>
                </m:r>
                <m:r>
                  <m:rPr>
                    <m:nor/>
                  </m:rPr>
                  <w:rPr>
                    <w:rFonts w:ascii="Cambria Math" w:hAnsi="Cambria Math"/>
                    <w:i w:val="0"/>
                  </w:rPr>
                  <m:t xml:space="preserve"> </m:t>
                </m:r>
                <m:r>
                  <m:rPr>
                    <m:sty m:val="i"/>
                  </m:rPr>
                  <w:rPr>
                    <w:rFonts w:ascii="Cambria Math" w:hAnsi="Cambria Math"/>
                    <w:i/>
                  </w:rPr>
                  <m:t xml:space="preserve">Δ</m:t>
                </m:r>
                <m:r>
                  <m:rPr>
                    <m:sty m:val="i"/>
                  </m:rPr>
                  <w:rPr>
                    <w:rFonts w:ascii="Cambria Math" w:hAnsi="Cambria Math"/>
                    <w:i/>
                  </w:rPr>
                  <m:t xml:space="preserve">θ</m:t>
                </m:r>
              </m:e>
            </m:nary>
          </m:e>
        </m:d>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sSup>
              <m:sSupPr>
                <m:ctrlPr>
                  <w:rPr>
                    <w:rFonts w:ascii="Cambria Math" w:hAnsi="Cambria Math"/>
                    <w:i/>
                  </w:rPr>
                </m:ctrlPr>
              </m:sSupPr>
              <m:e>
                <m:r>
                  <m:rPr>
                    <m:sty m:val="i"/>
                  </m:rPr>
                  <w:rPr>
                    <w:rFonts w:ascii="Cambria Math" w:hAnsi="Cambria Math"/>
                    <w:i/>
                  </w:rPr>
                  <m:t xml:space="preserve">L</m:t>
                </m:r>
              </m:e>
              <m:sup>
                <m:r>
                  <m:rPr>
                    <m:nor/>
                  </m:rPr>
                  <w:rPr>
                    <w:rFonts w:ascii="Cambria Math" w:hAnsi="Cambria Math"/>
                    <w:i w:val="0"/>
                  </w:rPr>
                  <m:t xml:space="preserve">2</m:t>
                </m:r>
              </m:sup>
            </m:sSup>
            <m:r>
              <m:rPr>
                <m:sty m:val="i"/>
              </m:rPr>
              <w:rPr>
                <w:rFonts w:ascii="Cambria Math" w:hAnsi="Cambria Math"/>
                <w:i/>
              </w:rPr>
              <m:t xml:space="preserve">T</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chr m:val="∑"/>
                        <m:limLoc m:val="undOvr"/>
                        <m:supHide m:val="1"/>
                        <m:ctrlPr>
                          <w:rPr>
                            <w:rFonts w:ascii="Cambria Math" w:hAnsi="Cambria Math"/>
                            <w:i/>
                          </w:rPr>
                        </m:ctrlPr>
                      </m:naryPr>
                      <m:sub>
                        <m:r>
                          <m:rPr>
                            <m:sty m:val="i"/>
                          </m:rPr>
                          <w:rPr>
                            <w:rFonts w:ascii="Cambria Math" w:hAnsi="Cambria Math"/>
                            <w:i/>
                          </w:rPr>
                          <m:t xml:space="preserve">b</m:t>
                        </m:r>
                      </m:sub>
                      <m:sup/>
                      <m:e>
                        <m:r>
                          <m:rPr>
                            <m:sty m:val="i"/>
                          </m:rPr>
                          <w:rPr>
                            <w:rFonts w:ascii="Cambria Math" w:hAnsi="Cambria Math"/>
                            <w:i/>
                          </w:rPr>
                          <m:t xml:space="preserve">J</m:t>
                        </m:r>
                        <m:r>
                          <m:rPr>
                            <m:nor/>
                          </m:rPr>
                          <w:rPr>
                            <w:rFonts w:ascii="Cambria Math" w:hAnsi="Cambria Math"/>
                            <w:i w:val="0"/>
                          </w:rPr>
                          <m:t xml:space="preserve">sin</m:t>
                        </m:r>
                        <m:r>
                          <m:rPr>
                            <m:nor/>
                          </m:rPr>
                          <w:rPr>
                            <w:rFonts w:ascii="Cambria Math" w:hAnsi="Cambria Math"/>
                            <w:i w:val="0"/>
                          </w:rPr>
                          <m:t xml:space="preserve"> </m:t>
                        </m:r>
                        <m:r>
                          <m:rPr>
                            <m:sty m:val="i"/>
                          </m:rPr>
                          <w:rPr>
                            <w:rFonts w:ascii="Cambria Math" w:hAnsi="Cambria Math"/>
                            <w:i/>
                          </w:rPr>
                          <m:t xml:space="preserve">Δ</m:t>
                        </m:r>
                        <m:r>
                          <m:rPr>
                            <m:sty m:val="i"/>
                          </m:rPr>
                          <w:rPr>
                            <w:rFonts w:ascii="Cambria Math" w:hAnsi="Cambria Math"/>
                            <w:i/>
                          </w:rPr>
                          <m:t xml:space="preserve">θ</m:t>
                        </m:r>
                      </m:e>
                    </m:nary>
                  </m:e>
                </m:d>
              </m:e>
              <m:sup>
                <m:r>
                  <m:rPr>
                    <m:nor/>
                  </m:rPr>
                  <w:rPr>
                    <w:rFonts w:ascii="Cambria Math" w:hAnsi="Cambria Math"/>
                    <w:i w:val="0"/>
                  </w:rPr>
                  <m:t xml:space="preserve">2</m:t>
                </m:r>
              </m:sup>
            </m:sSup>
          </m:e>
        </m:d>
        <m:r>
          <m:rPr>
            <m:nor/>
          </m:rPr>
          <w:rPr>
            <w:rFonts w:ascii="Cambria Math" w:hAnsi="Cambria Math"/>
            <w:i w:val="0"/>
          </w:rPr>
          <m:t xml:space="preserve">,</m:t>
        </m:r>
      </m:oMath>
      <w:r>
        <w:tab/>
        <w:t xml:space="preserve">(11)</w:t>
      </w:r>
    </w:p>
    <w:p>
      <w:pPr>
        <w:jc w:val="both"/>
      </w:pPr>
      <w:r>
        <w:rPr>
          <w:rFonts w:ascii="Times New Roman" w:hAnsi="Times New Roman" w:eastAsia="Times New Roman"/>
          <w:b w:val="0"/>
          <w:i w:val="0"/>
        </w:rPr>
        <w:t>averaged over the two lattice directions. The Nelson–Kosterlitz criterion [26] places the BKT transition where Υ crosses the universal line 2T/π. Dilution lowers the effective coupling and with it the effective transition temperature, and Υ crosses 2T/π at f</w:t>
      </w:r>
      <w:r>
        <w:rPr>
          <w:rFonts w:ascii="Times New Roman" w:hAnsi="Times New Roman" w:eastAsia="Times New Roman"/>
          <w:b w:val="0"/>
          <w:i w:val="0"/>
          <w:vertAlign w:val="subscript"/>
        </w:rPr>
        <w:t>KT</w:t>
      </w:r>
      <w:r>
        <w:rPr>
          <w:rFonts w:ascii="Times New Roman" w:hAnsi="Times New Roman" w:eastAsia="Times New Roman"/>
          <w:b w:val="0"/>
          <w:i w:val="0"/>
        </w:rPr>
        <w:t>(L) = 0.220 for L = 16, falling slowly to 0.210 at L = 96, with bootstrap intervals over realizations within ±0.005 for L ≥ 48 (Figure 6A, B). The drift is small and of the logarithmic kind expected at a BKT point, and two extrapolations agree: a linear fit in 1/ln</w:t>
      </w:r>
      <w:r>
        <w:rPr>
          <w:rFonts w:ascii="Times New Roman" w:hAnsi="Times New Roman" w:eastAsia="Times New Roman"/>
          <w:b w:val="0"/>
          <w:i w:val="0"/>
          <w:vertAlign w:val="superscript"/>
        </w:rPr>
        <w:t>2</w:t>
      </w:r>
      <w:r>
        <w:rPr>
          <w:rFonts w:ascii="Times New Roman" w:hAnsi="Times New Roman" w:eastAsia="Times New Roman"/>
          <w:b w:val="0"/>
          <w:i w:val="0"/>
        </w:rPr>
        <w:t>L gives f</w:t>
      </w:r>
      <w:r>
        <w:rPr>
          <w:rFonts w:ascii="Times New Roman" w:hAnsi="Times New Roman" w:eastAsia="Times New Roman"/>
          <w:b w:val="0"/>
          <w:i w:val="0"/>
          <w:vertAlign w:val="subscript"/>
        </w:rPr>
        <w:t>KT</w:t>
      </w:r>
      <w:r>
        <w:rPr>
          <w:rFonts w:ascii="Times New Roman" w:hAnsi="Times New Roman" w:eastAsia="Times New Roman"/>
          <w:b w:val="0"/>
          <w:i w:val="0"/>
        </w:rPr>
        <w:t>(∞) = 0.205 (95% interval 0.193–0.216), and a Weber–Minnhagen fit [27] of Υ</w:t>
      </w:r>
      <w:r>
        <w:rPr>
          <w:rFonts w:ascii="Times New Roman" w:hAnsi="Times New Roman" w:eastAsia="Times New Roman"/>
          <w:b w:val="0"/>
          <w:i w:val="0"/>
          <w:vertAlign w:val="subscript"/>
        </w:rPr>
        <w:t>L</w:t>
      </w:r>
      <w:r>
        <w:rPr>
          <w:rFonts w:ascii="Times New Roman" w:hAnsi="Times New Roman" w:eastAsia="Times New Roman"/>
          <w:b w:val="0"/>
          <w:i w:val="0"/>
        </w:rPr>
        <w:t xml:space="preserve"> = (2T/π)[1 + 1/(2 ln L + C)] to the sizes L ≥ 24 gives f</w:t>
      </w:r>
      <w:r>
        <w:rPr>
          <w:rFonts w:ascii="Times New Roman" w:hAnsi="Times New Roman" w:eastAsia="Times New Roman"/>
          <w:b w:val="0"/>
          <w:i w:val="0"/>
          <w:vertAlign w:val="subscript"/>
        </w:rPr>
        <w:t>KT</w:t>
      </w:r>
      <w:r>
        <w:rPr>
          <w:rFonts w:ascii="Times New Roman" w:hAnsi="Times New Roman" w:eastAsia="Times New Roman"/>
          <w:b w:val="0"/>
          <w:i w:val="0"/>
        </w:rPr>
        <w:t xml:space="preserve"> = 0.205 (0.198–0.213) with χ</w:t>
      </w:r>
      <w:r>
        <w:rPr>
          <w:rFonts w:ascii="Times New Roman" w:hAnsi="Times New Roman" w:eastAsia="Times New Roman"/>
          <w:b w:val="0"/>
          <w:i w:val="0"/>
          <w:vertAlign w:val="superscript"/>
        </w:rPr>
        <w:t>2</w:t>
      </w:r>
      <w:r>
        <w:rPr>
          <w:rFonts w:ascii="Times New Roman" w:hAnsi="Times New Roman" w:eastAsia="Times New Roman"/>
          <w:b w:val="0"/>
          <w:i w:val="0"/>
        </w:rPr>
        <w:t xml:space="preserve"> = 0.75 for 4 degrees of freedom. The estimate is robust to dropping the smallest lattices: the 1/ln</w:t>
      </w:r>
      <w:r>
        <w:rPr>
          <w:rFonts w:ascii="Times New Roman" w:hAnsi="Times New Roman" w:eastAsia="Times New Roman"/>
          <w:b w:val="0"/>
          <w:i w:val="0"/>
          <w:vertAlign w:val="superscript"/>
        </w:rPr>
        <w:t>2</w:t>
      </w:r>
      <w:r>
        <w:rPr>
          <w:rFonts w:ascii="Times New Roman" w:hAnsi="Times New Roman" w:eastAsia="Times New Roman"/>
          <w:b w:val="0"/>
          <w:i w:val="0"/>
        </w:rPr>
        <w:t>L extrapolation gives 0.205 (0.194–0.216) for L ≥ 16, 0.209 (0.203–0.282) for L ≥ 24, 0.207 (0.197–0.227) for L ≥ 32, 0.201 (0.181–0.225) for L ≥ 48, and the Weber–Minnhagen fit gives 0.205 (0.196–0.213) for L ≥ 24, 0.205 (0.196–0.213) for L ≥ 32, 0.200 (0.195–0.213) for L ≥ 48. We report f</w:t>
      </w:r>
      <w:r>
        <w:rPr>
          <w:rFonts w:ascii="Times New Roman" w:hAnsi="Times New Roman" w:eastAsia="Times New Roman"/>
          <w:b w:val="0"/>
          <w:i w:val="0"/>
          <w:vertAlign w:val="subscript"/>
        </w:rPr>
        <w:t>KT</w:t>
      </w:r>
      <w:r>
        <w:rPr>
          <w:rFonts w:ascii="Times New Roman" w:hAnsi="Times New Roman" w:eastAsia="Times New Roman"/>
          <w:b w:val="0"/>
          <w:i w:val="0"/>
        </w:rPr>
        <w:t xml:space="preserve"> ≈ 0.205 as a numerical estimate at L ≤ 96 with eight realizations per point, not as a precisely established critical value. All these estimates lie far below the square-lattice site-percolation value 1 − p</w:t>
      </w:r>
      <w:r>
        <w:rPr>
          <w:rFonts w:ascii="Times New Roman" w:hAnsi="Times New Roman" w:eastAsia="Times New Roman"/>
          <w:b w:val="0"/>
          <w:i w:val="0"/>
          <w:vertAlign w:val="subscript"/>
        </w:rPr>
        <w:t>c</w:t>
      </w:r>
      <w:r>
        <w:rPr>
          <w:rFonts w:ascii="Times New Roman" w:hAnsi="Times New Roman" w:eastAsia="Times New Roman"/>
          <w:b w:val="0"/>
          <w:i w:val="0"/>
        </w:rPr>
        <w:t xml:space="preserve"> ≈ 0.407 [28]: the intact sub-lattice still percolates geometrically at f</w:t>
      </w:r>
      <w:r>
        <w:rPr>
          <w:rFonts w:ascii="Times New Roman" w:hAnsi="Times New Roman" w:eastAsia="Times New Roman"/>
          <w:b w:val="0"/>
          <w:i w:val="0"/>
          <w:vertAlign w:val="subscript"/>
        </w:rPr>
        <w:t>KT</w:t>
      </w:r>
      <w:r>
        <w:rPr>
          <w:rFonts w:ascii="Times New Roman" w:hAnsi="Times New Roman" w:eastAsia="Times New Roman"/>
          <w:b w:val="0"/>
          <w:i w:val="0"/>
        </w:rPr>
        <w:t>, so order is lost to thermal (BKT) fluctuations rather than to geometric disconnection. The Binder cumulant (Figure 6C) stays at its ordered value up to f ≈ 0.23 and falls between f = 0.26 and 0.35, again well before percolation. The magnitude is plausible: the clean model has T</w:t>
      </w:r>
      <w:r>
        <w:rPr>
          <w:rFonts w:ascii="Times New Roman" w:hAnsi="Times New Roman" w:eastAsia="Times New Roman"/>
          <w:b w:val="0"/>
          <w:i w:val="0"/>
          <w:vertAlign w:val="subscript"/>
        </w:rPr>
        <w:t>BKT</w:t>
      </w:r>
      <w:r>
        <w:rPr>
          <w:rFonts w:ascii="Times New Roman" w:hAnsi="Times New Roman" w:eastAsia="Times New Roman"/>
          <w:b w:val="0"/>
          <w:i w:val="0"/>
        </w:rPr>
        <w:t xml:space="preserve"> ≈ 0.893 [29], twice the temperature used here, and a linear interpolation of T</w:t>
      </w:r>
      <w:r>
        <w:rPr>
          <w:rFonts w:ascii="Times New Roman" w:hAnsi="Times New Roman" w:eastAsia="Times New Roman"/>
          <w:b w:val="0"/>
          <w:i w:val="0"/>
          <w:vertAlign w:val="subscript"/>
        </w:rPr>
        <w:t>BKT</w:t>
      </w:r>
      <w:r>
        <w:rPr>
          <w:rFonts w:ascii="Times New Roman" w:hAnsi="Times New Roman" w:eastAsia="Times New Roman"/>
          <w:b w:val="0"/>
          <w:i w:val="0"/>
        </w:rPr>
        <w:t>(f) between that value and zero at percolation, a heuristic only, would bring the transition down to T = 0.45 at f ≈ 0.20.</w:t>
      </w:r>
    </w:p>
    <w:p>
      <w:pPr>
        <w:keepNext/>
        <w:spacing w:before="120"/>
        <w:jc w:val="center"/>
      </w:pPr>
      <w:r>
        <w:drawing>
          <wp:inline xmlns:a="http://schemas.openxmlformats.org/drawingml/2006/main" xmlns:pic="http://schemas.openxmlformats.org/drawingml/2006/picture">
            <wp:extent cx="5669280" cy="2171755"/>
            <wp:docPr id="6" name="Picture 6"/>
            <wp:cNvGraphicFramePr>
              <a:graphicFrameLocks noChangeAspect="1"/>
            </wp:cNvGraphicFramePr>
            <a:graphic>
              <a:graphicData uri="http://schemas.openxmlformats.org/drawingml/2006/picture">
                <pic:pic>
                  <pic:nvPicPr>
                    <pic:cNvPr id="0" name="Fig_fss.png"/>
                    <pic:cNvPicPr/>
                  </pic:nvPicPr>
                  <pic:blipFill>
                    <a:blip r:embed="rId15"/>
                    <a:stretch>
                      <a:fillRect/>
                    </a:stretch>
                  </pic:blipFill>
                  <pic:spPr>
                    <a:xfrm>
                      <a:off x="0" y="0"/>
                      <a:ext cx="5669280" cy="2171755"/>
                    </a:xfrm>
                    <a:prstGeom prst="rect"/>
                  </pic:spPr>
                </pic:pic>
              </a:graphicData>
            </a:graphic>
          </wp:inline>
        </w:drawing>
      </w:r>
    </w:p>
    <w:p>
      <w:pPr>
        <w:spacing w:line="276" w:lineRule="auto" w:after="200"/>
        <w:jc w:val="both"/>
      </w:pPr>
      <w:r>
        <w:rPr>
          <w:rFonts w:ascii="Times New Roman" w:hAnsi="Times New Roman" w:eastAsia="Times New Roman"/>
          <w:b/>
          <w:i w:val="0"/>
          <w:sz w:val="20"/>
        </w:rPr>
        <w:t>Figure 6.</w:t>
      </w:r>
      <w:r>
        <w:rPr>
          <w:rFonts w:ascii="Times New Roman" w:hAnsi="Times New Roman" w:eastAsia="Times New Roman"/>
          <w:b w:val="0"/>
          <w:i w:val="0"/>
          <w:sz w:val="20"/>
        </w:rPr>
        <w:t xml:space="preserve"> Finite-size scaling of the field-free (h</w:t>
      </w:r>
      <w:r>
        <w:rPr>
          <w:rFonts w:ascii="Times New Roman" w:hAnsi="Times New Roman" w:eastAsia="Times New Roman"/>
          <w:b w:val="0"/>
          <w:i w:val="0"/>
          <w:sz w:val="20"/>
          <w:vertAlign w:val="subscript"/>
        </w:rPr>
        <w:t>0</w:t>
      </w:r>
      <w:r>
        <w:rPr>
          <w:rFonts w:ascii="Times New Roman" w:hAnsi="Times New Roman" w:eastAsia="Times New Roman"/>
          <w:b w:val="0"/>
          <w:i w:val="0"/>
          <w:sz w:val="20"/>
        </w:rPr>
        <w:t xml:space="preserve"> = 0) transition under quenched dilution (T = 0.45; L = 16–96; 8 disorder realizations per point; error bars are 95% intervals). (A) Helicity modulus Υ(f) and the Nelson–Kosterlitz line 2T/π (dashed). (B) Crossing points f</w:t>
      </w:r>
      <w:r>
        <w:rPr>
          <w:rFonts w:ascii="Times New Roman" w:hAnsi="Times New Roman" w:eastAsia="Times New Roman"/>
          <w:b w:val="0"/>
          <w:i w:val="0"/>
          <w:sz w:val="20"/>
          <w:vertAlign w:val="subscript"/>
        </w:rPr>
        <w:t>KT</w:t>
      </w:r>
      <w:r>
        <w:rPr>
          <w:rFonts w:ascii="Times New Roman" w:hAnsi="Times New Roman" w:eastAsia="Times New Roman"/>
          <w:b w:val="0"/>
          <w:i w:val="0"/>
          <w:sz w:val="20"/>
        </w:rPr>
        <w:t>(L) with bootstrap intervals against 1/ln</w:t>
      </w:r>
      <w:r>
        <w:rPr>
          <w:rFonts w:ascii="Times New Roman" w:hAnsi="Times New Roman" w:eastAsia="Times New Roman"/>
          <w:b w:val="0"/>
          <w:i w:val="0"/>
          <w:sz w:val="20"/>
          <w:vertAlign w:val="superscript"/>
        </w:rPr>
        <w:t>2</w:t>
      </w:r>
      <w:r>
        <w:rPr>
          <w:rFonts w:ascii="Times New Roman" w:hAnsi="Times New Roman" w:eastAsia="Times New Roman"/>
          <w:b w:val="0"/>
          <w:i w:val="0"/>
          <w:sz w:val="20"/>
        </w:rPr>
        <w:t>L, the linear extrapolation (square) and the Weber–Minnhagen estimate (diamond); the dotted line is the site-percolation value 1 − p</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xml:space="preserve"> ≈ 0.407. (C) Binder cumulant U</w:t>
      </w:r>
      <w:r>
        <w:rPr>
          <w:rFonts w:ascii="Times New Roman" w:hAnsi="Times New Roman" w:eastAsia="Times New Roman"/>
          <w:b w:val="0"/>
          <w:i w:val="0"/>
          <w:sz w:val="20"/>
          <w:vertAlign w:val="subscript"/>
        </w:rPr>
        <w:t>4</w:t>
      </w:r>
      <w:r>
        <w:rPr>
          <w:rFonts w:ascii="Times New Roman" w:hAnsi="Times New Roman" w:eastAsia="Times New Roman"/>
          <w:b w:val="0"/>
          <w:i w:val="0"/>
          <w:sz w:val="20"/>
        </w:rPr>
        <w:t>(f); the dotted line marks 1 − p</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w:t>
      </w:r>
    </w:p>
    <w:p>
      <w:pPr>
        <w:pStyle w:val="Heading1"/>
      </w:pPr>
      <w:r>
        <w:rPr>
          <w:rFonts w:ascii="Times New Roman" w:hAnsi="Times New Roman" w:eastAsia="Times New Roman"/>
          <w:b w:val="0"/>
          <w:i w:val="0"/>
        </w:rPr>
        <w:t>6. Entropy production of an auxiliary maintenance cycle</w:t>
      </w:r>
    </w:p>
    <w:p>
      <w:pPr>
        <w:jc w:val="both"/>
      </w:pPr>
      <w:r>
        <w:rPr>
          <w:rFonts w:ascii="Times New Roman" w:hAnsi="Times New Roman" w:eastAsia="Times New Roman"/>
          <w:b w:val="0"/>
          <w:i w:val="0"/>
        </w:rPr>
        <w:t xml:space="preserve">The simulated dynamics is strictly irreversible: a killed site is never un-killed, only repaired, and no transition has a reverse partner. Its Schnakenberg entropy production is therefore formally infinite, and the simulation by itself does not measure a thermodynamic cost. To give the maintenance cycle a finite thermodynamic reading we introduce an </w:t>
      </w:r>
      <w:r>
        <w:rPr>
          <w:rFonts w:ascii="Times New Roman" w:hAnsi="Times New Roman" w:eastAsia="Times New Roman"/>
          <w:b w:val="0"/>
          <w:i/>
        </w:rPr>
        <w:t>auxiliary</w:t>
      </w:r>
      <w:r>
        <w:rPr>
          <w:rFonts w:ascii="Times New Roman" w:hAnsi="Times New Roman" w:eastAsia="Times New Roman"/>
          <w:b w:val="0"/>
          <w:i w:val="0"/>
        </w:rPr>
        <w:t xml:space="preserve"> model, which is not part of the simulated dynamics. A single site has two mesostates, O (intact) and D (diluted), joined by a kill edge O → D with rate k̄, the mean kill rate of an intact site measured in the stationary lattice, and a repair edge D → O with rate R, each given a small reverse rate ε. This is a Schnakenberg network [30] with one cycle, of affinity</w:t>
      </w:r>
    </w:p>
    <w:p>
      <w:pPr>
        <w:keepLines/>
        <w:tabs>
          <w:tab w:pos="4680" w:val="center"/>
          <w:tab w:pos="9360" w:val="right"/>
        </w:tabs>
        <w:spacing w:before="120" w:after="120"/>
      </w:pPr>
      <w:r>
        <w:tab/>
      </w:r>
      <m:oMath>
        <m:r>
          <m:rPr>
            <m:sty m:val="i"/>
          </m:rPr>
          <w:rPr>
            <w:rFonts w:ascii="Cambria Math" w:hAnsi="Cambria Math"/>
            <w:i/>
          </w:rPr>
          <m:t xml:space="preserve">A</m:t>
        </m:r>
        <m:r>
          <m:rPr>
            <m:nor/>
          </m:rPr>
          <w:rPr>
            <w:rFonts w:ascii="Cambria Math" w:hAnsi="Cambria Math"/>
            <w:i w:val="0"/>
          </w:rPr>
          <m:t xml:space="preserve"> = </m:t>
        </m:r>
        <m:r>
          <m:rPr>
            <m:nor/>
          </m:rPr>
          <w:rPr>
            <w:rFonts w:ascii="Cambria Math" w:hAnsi="Cambria Math"/>
            <w:i w:val="0"/>
          </w:rPr>
          <m:t xml:space="preserve">ln</m:t>
        </m:r>
        <m:d>
          <m:dPr>
            <m:begChr m:val="("/>
            <m:endChr m:val=")"/>
            <m:ctrlPr>
              <w:rPr>
                <w:rFonts w:ascii="Cambria Math" w:hAnsi="Cambria Math"/>
                <w:i/>
              </w:rPr>
            </m:ctrlPr>
          </m:dPr>
          <m:e>
            <m:f>
              <m:fPr>
                <m:ctrlPr>
                  <w:rPr>
                    <w:rFonts w:ascii="Cambria Math" w:hAnsi="Cambria Math"/>
                    <w:i/>
                  </w:rPr>
                </m:ctrlPr>
              </m:fPr>
              <m:num>
                <m:r>
                  <m:rPr>
                    <m:sty m:val="i"/>
                  </m:rPr>
                  <w:rPr>
                    <w:rFonts w:ascii="Cambria Math" w:hAnsi="Cambria Math"/>
                    <w:i/>
                  </w:rPr>
                  <m:t xml:space="preserve">k̄</m:t>
                </m:r>
                <m:r>
                  <m:rPr>
                    <m:sty m:val="i"/>
                  </m:rPr>
                  <w:rPr>
                    <w:rFonts w:ascii="Cambria Math" w:hAnsi="Cambria Math"/>
                    <w:i/>
                  </w:rPr>
                  <m:t xml:space="preserve">R</m:t>
                </m:r>
              </m:num>
              <m:den>
                <m:sSup>
                  <m:sSupPr>
                    <m:ctrlPr>
                      <w:rPr>
                        <w:rFonts w:ascii="Cambria Math" w:hAnsi="Cambria Math"/>
                        <w:i/>
                      </w:rPr>
                    </m:ctrlPr>
                  </m:sSupPr>
                  <m:e>
                    <m:r>
                      <m:rPr>
                        <m:sty m:val="i"/>
                      </m:rPr>
                      <w:rPr>
                        <w:rFonts w:ascii="Cambria Math" w:hAnsi="Cambria Math"/>
                        <w:i/>
                      </w:rPr>
                      <m:t xml:space="preserve">ε</m:t>
                    </m:r>
                  </m:e>
                  <m:sup>
                    <m:r>
                      <m:rPr>
                        <m:nor/>
                      </m:rPr>
                      <w:rPr>
                        <w:rFonts w:ascii="Cambria Math" w:hAnsi="Cambria Math"/>
                        <w:i w:val="0"/>
                      </w:rPr>
                      <m:t xml:space="preserve">2</m:t>
                    </m:r>
                  </m:sup>
                </m:sSup>
              </m:den>
            </m:f>
          </m:e>
        </m:d>
        <m:r>
          <m:rPr>
            <m:nor/>
          </m:rPr>
          <w:rPr>
            <w:rFonts w:ascii="Cambria Math" w:hAnsi="Cambria Math"/>
            <w:i w:val="0"/>
          </w:rPr>
          <m:t xml:space="preserve">,</m:t>
        </m:r>
      </m:oMath>
      <w:r>
        <w:tab/>
        <w:t xml:space="preserve">(12)</w:t>
      </w:r>
    </w:p>
    <w:p>
      <w:pPr>
        <w:jc w:val="both"/>
      </w:pPr>
      <w:r>
        <w:rPr>
          <w:rFonts w:ascii="Times New Roman" w:hAnsi="Times New Roman" w:eastAsia="Times New Roman"/>
          <w:b w:val="0"/>
          <w:i w:val="0"/>
        </w:rPr>
        <w:t>and to leading order in ε its stationary current is the measured lattice current J = k̄p = J</w:t>
      </w:r>
      <w:r>
        <w:rPr>
          <w:rFonts w:ascii="Times New Roman" w:hAnsi="Times New Roman" w:eastAsia="Times New Roman"/>
          <w:b w:val="0"/>
          <w:i w:val="0"/>
          <w:vertAlign w:val="subscript"/>
        </w:rPr>
        <w:t>kill</w:t>
      </w:r>
      <w:r>
        <w:rPr>
          <w:rFonts w:ascii="Times New Roman" w:hAnsi="Times New Roman" w:eastAsia="Times New Roman"/>
          <w:b w:val="0"/>
          <w:i w:val="0"/>
        </w:rPr>
        <w:t xml:space="preserve"> = J</w:t>
      </w:r>
      <w:r>
        <w:rPr>
          <w:rFonts w:ascii="Times New Roman" w:hAnsi="Times New Roman" w:eastAsia="Times New Roman"/>
          <w:b w:val="0"/>
          <w:i w:val="0"/>
          <w:vertAlign w:val="subscript"/>
        </w:rPr>
        <w:t>rep</w:t>
      </w:r>
      <w:r>
        <w:rPr>
          <w:rFonts w:ascii="Times New Roman" w:hAnsi="Times New Roman" w:eastAsia="Times New Roman"/>
          <w:b w:val="0"/>
          <w:i w:val="0"/>
        </w:rPr>
        <w:t>. Its entropy production rate is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σ</m:t>
            </m:r>
          </m:e>
          <m:sub>
            <m:r>
              <m:rPr>
                <m:nor/>
              </m:rPr>
              <w:rPr>
                <w:rFonts w:ascii="Cambria Math" w:hAnsi="Cambria Math"/>
                <w:i w:val="0"/>
              </w:rPr>
              <m:t xml:space="preserve">aux</m:t>
            </m:r>
          </m:sub>
        </m:sSub>
        <m:r>
          <m:rPr>
            <m:nor/>
          </m:rPr>
          <w:rPr>
            <w:rFonts w:ascii="Cambria Math" w:hAnsi="Cambria Math"/>
            <w:i w:val="0"/>
          </w:rPr>
          <m:t xml:space="preserve"> = </m:t>
        </m:r>
        <m:r>
          <m:rPr>
            <m:sty m:val="i"/>
          </m:rPr>
          <w:rPr>
            <w:rFonts w:ascii="Cambria Math" w:hAnsi="Cambria Math"/>
            <w:i/>
          </w:rPr>
          <m:t xml:space="preserve">J</m:t>
        </m:r>
        <m:r>
          <m:rPr>
            <m:nor/>
          </m:rPr>
          <w:rPr>
            <w:rFonts w:ascii="Cambria Math" w:hAnsi="Cambria Math"/>
            <w:i w:val="0"/>
          </w:rPr>
          <m:t xml:space="preserve"> </m:t>
        </m:r>
        <m:r>
          <m:rPr>
            <m:sty m:val="i"/>
          </m:rPr>
          <w:rPr>
            <w:rFonts w:ascii="Cambria Math" w:hAnsi="Cambria Math"/>
            <w:i/>
          </w:rPr>
          <m:t xml:space="preserve">A</m:t>
        </m:r>
        <m:r>
          <m:rPr>
            <m:nor/>
          </m:rPr>
          <w:rPr>
            <w:rFonts w:ascii="Cambria Math" w:hAnsi="Cambria Math"/>
            <w:i w:val="0"/>
          </w:rPr>
          <m:t xml:space="preserve"> ≥ 0</m:t>
        </m:r>
        <m:r>
          <m:rPr>
            <m:nor/>
          </m:rPr>
          <w:rPr>
            <w:rFonts w:ascii="Cambria Math" w:hAnsi="Cambria Math"/>
            <w:i w:val="0"/>
          </w:rPr>
          <m:t xml:space="preserve">  </m:t>
        </m:r>
        <m:r>
          <m:rPr>
            <m:nor/>
          </m:rPr>
          <w:rPr>
            <w:rFonts w:ascii="Cambria Math" w:hAnsi="Cambria Math"/>
            <w:i w:val="0"/>
          </w:rPr>
          <m:t xml:space="preserve">for</m:t>
        </m:r>
        <m:r>
          <m:rPr>
            <m:nor/>
          </m:rPr>
          <w:rPr>
            <w:rFonts w:ascii="Cambria Math" w:hAnsi="Cambria Math"/>
            <w:i w:val="0"/>
          </w:rPr>
          <m:t xml:space="preserve"> </m:t>
        </m:r>
        <m:r>
          <m:rPr>
            <m:sty m:val="i"/>
          </m:rPr>
          <w:rPr>
            <w:rFonts w:ascii="Cambria Math" w:hAnsi="Cambria Math"/>
            <w:i/>
          </w:rPr>
          <m:t xml:space="preserve">k̄</m:t>
        </m:r>
        <m:r>
          <m:rPr>
            <m:sty m:val="i"/>
          </m:rPr>
          <w:rPr>
            <w:rFonts w:ascii="Cambria Math" w:hAnsi="Cambria Math"/>
            <w:i/>
          </w:rPr>
          <m:t xml:space="preserve">R</m:t>
        </m:r>
        <m:r>
          <m:rPr>
            <m:nor/>
          </m:rPr>
          <w:rPr>
            <w:rFonts w:ascii="Cambria Math" w:hAnsi="Cambria Math"/>
            <w:i w:val="0"/>
          </w:rPr>
          <m:t xml:space="preserve"> ≥ </m:t>
        </m:r>
        <m:sSup>
          <m:sSupPr>
            <m:ctrlPr>
              <w:rPr>
                <w:rFonts w:ascii="Cambria Math" w:hAnsi="Cambria Math"/>
                <w:i/>
              </w:rPr>
            </m:ctrlPr>
          </m:sSupPr>
          <m:e>
            <m:r>
              <m:rPr>
                <m:sty m:val="i"/>
              </m:rPr>
              <w:rPr>
                <w:rFonts w:ascii="Cambria Math" w:hAnsi="Cambria Math"/>
                <w:i/>
              </w:rPr>
              <m:t xml:space="preserve">ε</m:t>
            </m:r>
          </m:e>
          <m:sup>
            <m:r>
              <m:rPr>
                <m:nor/>
              </m:rPr>
              <w:rPr>
                <w:rFonts w:ascii="Cambria Math" w:hAnsi="Cambria Math"/>
                <w:i w:val="0"/>
              </w:rPr>
              <m:t xml:space="preserve">2</m:t>
            </m:r>
          </m:sup>
        </m:sSup>
        <m:r>
          <m:rPr>
            <m:nor/>
          </m:rPr>
          <w:rPr>
            <w:rFonts w:ascii="Cambria Math" w:hAnsi="Cambria Math"/>
            <w:i w:val="0"/>
          </w:rPr>
          <m:t xml:space="preserve">.</m:t>
        </m:r>
      </m:oMath>
      <w:r>
        <w:tab/>
        <w:t xml:space="preserve">(13)</w:t>
      </w:r>
    </w:p>
    <w:p>
      <w:pPr>
        <w:jc w:val="both"/>
      </w:pPr>
      <w:r>
        <w:rPr>
          <w:rFonts w:ascii="Times New Roman" w:hAnsi="Times New Roman" w:eastAsia="Times New Roman"/>
          <w:b w:val="0"/>
          <w:i w:val="0"/>
        </w:rPr>
        <w:t>Figure 7 separates what is measured from what is modelled. The current (Figure 7B) is measured: it is set by the coupled dynamics and differs qualitatively from the uncoupled chain, which it exceeds everywhere. It vanishes as ρ → 0, where little remains to be killed, peaks at J = 0.052 per site and step near ρ = 4, where the feedback is most active, and falls towards λ</w:t>
      </w:r>
      <w:r>
        <w:rPr>
          <w:rFonts w:ascii="Times New Roman" w:hAnsi="Times New Roman" w:eastAsia="Times New Roman"/>
          <w:b w:val="0"/>
          <w:i w:val="0"/>
          <w:vertAlign w:val="subscript"/>
        </w:rPr>
        <w:t>0</w:t>
      </w:r>
      <w:r>
        <w:rPr>
          <w:rFonts w:ascii="Times New Roman" w:hAnsi="Times New Roman" w:eastAsia="Times New Roman"/>
          <w:b w:val="0"/>
          <w:i w:val="0"/>
        </w:rPr>
        <w:t xml:space="preserve"> = 0.02 in the well-maintained regime, where μ̄ → 1. The throughput of the maintenance cycle is therefore largest where order is most fragile, not where most order is held. The entropy production (Figure 7A) is modelled: σ</w:t>
      </w:r>
      <w:r>
        <w:rPr>
          <w:rFonts w:ascii="Times New Roman" w:hAnsi="Times New Roman" w:eastAsia="Times New Roman"/>
          <w:b w:val="0"/>
          <w:i w:val="0"/>
          <w:vertAlign w:val="subscript"/>
        </w:rPr>
        <w:t>aux</w:t>
      </w:r>
      <w:r>
        <w:rPr>
          <w:rFonts w:ascii="Times New Roman" w:hAnsi="Times New Roman" w:eastAsia="Times New Roman"/>
          <w:b w:val="0"/>
          <w:i w:val="0"/>
        </w:rPr>
        <w:t xml:space="preserve"> inherits from the lattice only the current J and the rates k̄ and R, and depends logarithmically on the unspecified reverse rate ε, diverging in the irreversible limit ε → 0 of the simulation. Two statements survive any choice of small ε: σ</w:t>
      </w:r>
      <w:r>
        <w:rPr>
          <w:rFonts w:ascii="Times New Roman" w:hAnsi="Times New Roman" w:eastAsia="Times New Roman"/>
          <w:b w:val="0"/>
          <w:i w:val="0"/>
          <w:vertAlign w:val="subscript"/>
        </w:rPr>
        <w:t>aux</w:t>
      </w:r>
      <w:r>
        <w:rPr>
          <w:rFonts w:ascii="Times New Roman" w:hAnsi="Times New Roman" w:eastAsia="Times New Roman"/>
          <w:b w:val="0"/>
          <w:i w:val="0"/>
        </w:rPr>
        <w:t xml:space="preserve"> &gt; 0 throughout, so any thermodynamically consistent completion of the dynamics with weak reverse rates assigns the maintenance cycle a positive dissipation; and its dependence on ρ follows the measured current. Its absolute value does not survive, and we do not claim that the simulation establishes a quantitative thermodynamic cost of maintaining order or information. That would require the microscopic reverse rates of a specific degradation and repair chemistry (open problem (c)).</w:t>
      </w:r>
    </w:p>
    <w:p>
      <w:pPr>
        <w:keepNext/>
        <w:spacing w:before="120"/>
        <w:jc w:val="center"/>
      </w:pPr>
      <w:r>
        <w:drawing>
          <wp:inline xmlns:a="http://schemas.openxmlformats.org/drawingml/2006/main" xmlns:pic="http://schemas.openxmlformats.org/drawingml/2006/picture">
            <wp:extent cx="5669280" cy="3212246"/>
            <wp:docPr id="7" name="Picture 7"/>
            <wp:cNvGraphicFramePr>
              <a:graphicFrameLocks noChangeAspect="1"/>
            </wp:cNvGraphicFramePr>
            <a:graphic>
              <a:graphicData uri="http://schemas.openxmlformats.org/drawingml/2006/picture">
                <pic:pic>
                  <pic:nvPicPr>
                    <pic:cNvPr id="0" name="Fig_entropy.png"/>
                    <pic:cNvPicPr/>
                  </pic:nvPicPr>
                  <pic:blipFill>
                    <a:blip r:embed="rId16"/>
                    <a:stretch>
                      <a:fillRect/>
                    </a:stretch>
                  </pic:blipFill>
                  <pic:spPr>
                    <a:xfrm>
                      <a:off x="0" y="0"/>
                      <a:ext cx="5669280" cy="3212246"/>
                    </a:xfrm>
                    <a:prstGeom prst="rect"/>
                  </pic:spPr>
                </pic:pic>
              </a:graphicData>
            </a:graphic>
          </wp:inline>
        </w:drawing>
      </w:r>
    </w:p>
    <w:p>
      <w:pPr>
        <w:spacing w:line="276" w:lineRule="auto" w:after="200"/>
        <w:jc w:val="both"/>
      </w:pPr>
      <w:r>
        <w:rPr>
          <w:rFonts w:ascii="Times New Roman" w:hAnsi="Times New Roman" w:eastAsia="Times New Roman"/>
          <w:b/>
          <w:i w:val="0"/>
          <w:sz w:val="20"/>
        </w:rPr>
        <w:t>Figure 7.</w:t>
      </w:r>
      <w:r>
        <w:rPr>
          <w:rFonts w:ascii="Times New Roman" w:hAnsi="Times New Roman" w:eastAsia="Times New Roman"/>
          <w:b w:val="0"/>
          <w:i w:val="0"/>
          <w:sz w:val="20"/>
        </w:rPr>
        <w:t xml:space="preserve"> Maintenance current and the auxiliary cycle. (A) Entropy production rate σ</w:t>
      </w:r>
      <w:r>
        <w:rPr>
          <w:rFonts w:ascii="Times New Roman" w:hAnsi="Times New Roman" w:eastAsia="Times New Roman"/>
          <w:b w:val="0"/>
          <w:i w:val="0"/>
          <w:sz w:val="20"/>
          <w:vertAlign w:val="subscript"/>
        </w:rPr>
        <w:t>aux</w:t>
      </w:r>
      <w:r>
        <w:rPr>
          <w:rFonts w:ascii="Times New Roman" w:hAnsi="Times New Roman" w:eastAsia="Times New Roman"/>
          <w:b w:val="0"/>
          <w:i w:val="0"/>
          <w:sz w:val="20"/>
        </w:rPr>
        <w:t xml:space="preserve"> = J ln(k̄R/ε</w:t>
      </w:r>
      <w:r>
        <w:rPr>
          <w:rFonts w:ascii="Times New Roman" w:hAnsi="Times New Roman" w:eastAsia="Times New Roman"/>
          <w:b w:val="0"/>
          <w:i w:val="0"/>
          <w:sz w:val="20"/>
          <w:vertAlign w:val="superscript"/>
        </w:rPr>
        <w:t>2</w:t>
      </w:r>
      <w:r>
        <w:rPr>
          <w:rFonts w:ascii="Times New Roman" w:hAnsi="Times New Roman" w:eastAsia="Times New Roman"/>
          <w:b w:val="0"/>
          <w:i w:val="0"/>
          <w:sz w:val="20"/>
        </w:rPr>
        <w:t>) of the auxiliary two-state cycle of Section 6 for three reverse rates ε (an illustrative, regularization-dependent quantity, not a property measured in the simulation). (B) Stationary kill current J per site and step measured in the lattice (L = 48, 4 runs per point; the repair current coincides) for both parameter sets, the uncoupled two-state chain (dashed) and λ</w:t>
      </w:r>
      <w:r>
        <w:rPr>
          <w:rFonts w:ascii="Times New Roman" w:hAnsi="Times New Roman" w:eastAsia="Times New Roman"/>
          <w:b w:val="0"/>
          <w:i w:val="0"/>
          <w:sz w:val="20"/>
          <w:vertAlign w:val="subscript"/>
        </w:rPr>
        <w:t>0</w:t>
      </w:r>
      <w:r>
        <w:rPr>
          <w:rFonts w:ascii="Times New Roman" w:hAnsi="Times New Roman" w:eastAsia="Times New Roman"/>
          <w:b w:val="0"/>
          <w:i w:val="0"/>
          <w:sz w:val="20"/>
        </w:rPr>
        <w:t xml:space="preserve"> (dotted).</w:t>
      </w:r>
    </w:p>
    <w:p>
      <w:pPr>
        <w:pStyle w:val="Heading1"/>
      </w:pPr>
      <w:r>
        <w:rPr>
          <w:rFonts w:ascii="Times New Roman" w:hAnsi="Times New Roman" w:eastAsia="Times New Roman"/>
          <w:b w:val="0"/>
          <w:i w:val="0"/>
        </w:rPr>
        <w:t>7. Generality and instances</w:t>
      </w:r>
    </w:p>
    <w:p>
      <w:pPr>
        <w:jc w:val="both"/>
      </w:pPr>
      <w:r>
        <w:rPr>
          <w:rFonts w:ascii="Times New Roman" w:hAnsi="Times New Roman" w:eastAsia="Times New Roman"/>
          <w:b w:val="0"/>
          <w:i w:val="0"/>
        </w:rPr>
        <w:t>The construction assumes only three ingredients: a directional order parameter admitting a maximum-entropy law (Theorem 1), an order-dependent flux that removes ordering couplings (the feedback of Section 4), and a repair process that restores them. Systems satisfying these ingredients are expected to exhibit analogous feedback-driven behavior, although the quantitative thresholds and bifurcation structure will depend on their microscopic dynamics — real systems may carry additional degrees of freedom (spatial correlations, memory, non-Markovian repair) that this minimal model does not capture. Instances include the orientational order of a polymer film degraded by ultraviolet chain scission and restored by annealing or self-healing chemistry; magnetic storage domains under thermally activated flips with active error-correcting rewrites (repair); liquid-crystal directors under photochemical damage; and the chiral order of a self-assembled molecular monolayer under non-enzymatic attack with turnover, the applied problem from which this model was abstracted [9]. In each, u</w:t>
      </w:r>
      <w:r>
        <w:rPr>
          <w:rFonts w:ascii="Times New Roman" w:hAnsi="Times New Roman" w:eastAsia="Times New Roman"/>
          <w:b w:val="0"/>
          <w:i w:val="0"/>
          <w:vertAlign w:val="subscript"/>
        </w:rPr>
        <w:t>s</w:t>
      </w:r>
      <w:r>
        <w:rPr>
          <w:rFonts w:ascii="Times New Roman" w:hAnsi="Times New Roman" w:eastAsia="Times New Roman"/>
          <w:b w:val="0"/>
          <w:i w:val="0"/>
        </w:rPr>
        <w:t xml:space="preserve"> encodes the geometry throttling the flux and ρ measures repair relative to shielded, order-dependent degradation. We emphasize that these are candidate realizations of the same qualitative mechanism, not demonstrated physical instances: the present study is analytic and computational, with no experimental data used (Data and code availability), and the framework should be read as a minimal model that may be applicable to systems with order-dependent degradation and active repair rather than as a validated description of any one of them.</w:t>
      </w:r>
    </w:p>
    <w:p>
      <w:pPr>
        <w:pStyle w:val="Heading2"/>
      </w:pPr>
      <w:r>
        <w:rPr>
          <w:rFonts w:ascii="Times New Roman" w:hAnsi="Times New Roman" w:eastAsia="Times New Roman"/>
          <w:b w:val="0"/>
          <w:i w:val="0"/>
        </w:rPr>
        <w:t>7.1 A falsifiable experimental signature</w:t>
      </w:r>
    </w:p>
    <w:p>
      <w:pPr>
        <w:jc w:val="both"/>
      </w:pPr>
      <w:r>
        <w:rPr>
          <w:rFonts w:ascii="Times New Roman" w:hAnsi="Times New Roman" w:eastAsia="Times New Roman"/>
          <w:b w:val="0"/>
          <w:i w:val="0"/>
        </w:rPr>
        <w:t>The mechanism makes a concrete prediction that does not require the rotor language of the model, and Sections 4.3 and 4.4 sharpen it. In any driven, actively maintained, orientationally ordered medium (a magnetic-domain array, a self-healing polymer film, an aligned colloidal or active-particle ensemble), sweep the ratio of repair to degradation down from a well-ordered state and back up at several sweep rates, holding all other conditions fixed. Every such medium shows a loop when the sweep is fast, so the discriminating observable is the loop area extrapolated to zero sweep rate, supported by the dependence of the final state on the initial one at fixed ρ. A finite static loop, with order lost below a threshold ρ</w:t>
      </w:r>
      <w:r>
        <w:rPr>
          <w:rFonts w:ascii="Times New Roman" w:hAnsi="Times New Roman" w:eastAsia="Times New Roman"/>
          <w:b w:val="0"/>
          <w:i w:val="0"/>
          <w:vertAlign w:val="subscript"/>
        </w:rPr>
        <w:t>−</w:t>
      </w:r>
      <w:r>
        <w:rPr>
          <w:rFonts w:ascii="Times New Roman" w:hAnsi="Times New Roman" w:eastAsia="Times New Roman"/>
          <w:b w:val="0"/>
          <w:i w:val="0"/>
        </w:rPr>
        <w:t xml:space="preserve"> and not regained until ρ</w:t>
      </w:r>
      <w:r>
        <w:rPr>
          <w:rFonts w:ascii="Times New Roman" w:hAnsi="Times New Roman" w:eastAsia="Times New Roman"/>
          <w:b w:val="0"/>
          <w:i w:val="0"/>
          <w:vertAlign w:val="subscript"/>
        </w:rPr>
        <w:t>+</w:t>
      </w:r>
      <w:r>
        <w:rPr>
          <w:rFonts w:ascii="Times New Roman" w:hAnsi="Times New Roman" w:eastAsia="Times New Roman"/>
          <w:b w:val="0"/>
          <w:i w:val="0"/>
        </w:rPr>
        <w:t xml:space="preserve"> &gt; ρ</w:t>
      </w:r>
      <w:r>
        <w:rPr>
          <w:rFonts w:ascii="Times New Roman" w:hAnsi="Times New Roman" w:eastAsia="Times New Roman"/>
          <w:b w:val="0"/>
          <w:i w:val="0"/>
          <w:vertAlign w:val="subscript"/>
        </w:rPr>
        <w:t>−</w:t>
      </w:r>
      <w:r>
        <w:rPr>
          <w:rFonts w:ascii="Times New Roman" w:hAnsi="Times New Roman" w:eastAsia="Times New Roman"/>
          <w:b w:val="0"/>
          <w:i w:val="0"/>
        </w:rPr>
        <w:t xml:space="preserve"> however slowly the sweep is made, indicates feedback acting over an extended range, as in Proposition 2. A loop that closes as the sweep slows, as on the nearest-neighbour lattice, indicates feedback that is local, too weak (β &lt; β</w:t>
      </w:r>
      <w:r>
        <w:rPr>
          <w:rFonts w:ascii="Times New Roman" w:hAnsi="Times New Roman" w:eastAsia="Times New Roman"/>
          <w:b w:val="0"/>
          <w:i w:val="0"/>
          <w:vertAlign w:val="subscript"/>
        </w:rPr>
        <w:t>c</w:t>
      </w:r>
      <w:r>
        <w:rPr>
          <w:rFonts w:ascii="Times New Roman" w:hAnsi="Times New Roman" w:eastAsia="Times New Roman"/>
          <w:b w:val="0"/>
          <w:i w:val="0"/>
        </w:rPr>
        <w:t>) or not cooperative (h ≤ 1); uncoupled two-state degradation shows only the trivial lag of Section 4.1. Where the spatial range over which degradation responds to order can be varied, for example through the diffusion length of a degrading species, the crossover of Section 4.4 is itself testable. This gives Sections 3–6 a shared empirical target across the candidate systems of this section.</w:t>
      </w:r>
    </w:p>
    <w:p>
      <w:pPr>
        <w:pStyle w:val="Heading1"/>
      </w:pPr>
      <w:r>
        <w:rPr>
          <w:rFonts w:ascii="Times New Roman" w:hAnsi="Times New Roman" w:eastAsia="Times New Roman"/>
          <w:b w:val="0"/>
          <w:i w:val="0"/>
        </w:rPr>
        <w:t>8. Status of the claims and approximations</w:t>
      </w:r>
    </w:p>
    <w:p>
      <w:pPr>
        <w:jc w:val="both"/>
      </w:pPr>
      <w:r>
        <w:rPr>
          <w:rFonts w:ascii="Times New Roman" w:hAnsi="Times New Roman" w:eastAsia="Times New Roman"/>
          <w:b w:val="0"/>
          <w:i w:val="0"/>
        </w:rPr>
        <w:t>For transparency at the level expected in theoretical statistical physics, we state each principal claim, its logical status, and its support.</w:t>
      </w:r>
    </w:p>
    <w:p>
      <w:pPr>
        <w:keepNext/>
        <w:spacing w:line="276" w:lineRule="auto"/>
      </w:pPr>
      <w:r>
        <w:rPr>
          <w:rFonts w:ascii="Times New Roman" w:hAnsi="Times New Roman" w:eastAsia="Times New Roman"/>
          <w:b/>
          <w:i w:val="0"/>
          <w:sz w:val="20"/>
        </w:rPr>
        <w:t>Table 1.</w:t>
      </w:r>
      <w:r>
        <w:rPr>
          <w:rFonts w:ascii="Times New Roman" w:hAnsi="Times New Roman" w:eastAsia="Times New Roman"/>
          <w:b w:val="0"/>
          <w:i w:val="0"/>
          <w:sz w:val="20"/>
        </w:rPr>
        <w:t xml:space="preserve"> Status of the principal claims, the logical status of each and its support.</w:t>
      </w:r>
    </w:p>
    <w:tbl>
      <w:tblPr>
        <w:tblStyle w:val="TableGrid"/>
        <w:tblW w:type="auto" w:w="0"/>
        <w:tblLayout w:type="fixed"/>
        <w:tblLook w:firstColumn="1" w:firstRow="1" w:lastColumn="0" w:lastRow="0" w:noHBand="0" w:noVBand="1" w:val="04A0"/>
      </w:tblPr>
      <w:tblGrid>
        <w:gridCol w:w="3744"/>
        <w:gridCol w:w="2160"/>
        <w:gridCol w:w="3456"/>
      </w:tblGrid>
      <w:tr>
        <w:tc>
          <w:tcPr>
            <w:tcW w:type="dxa" w:w="3744"/>
            <w:shd w:val="clear" w:color="auto" w:fill="E7ECF1"/>
          </w:tcPr>
          <w:p>
            <w:pPr>
              <w:spacing w:line="240" w:lineRule="auto" w:after="20"/>
            </w:pPr>
            <w:r/>
            <w:r>
              <w:rPr>
                <w:rFonts w:ascii="Times New Roman" w:hAnsi="Times New Roman" w:eastAsia="Times New Roman"/>
                <w:b/>
                <w:i w:val="0"/>
                <w:sz w:val="18"/>
              </w:rPr>
              <w:t>Claim</w:t>
            </w:r>
          </w:p>
        </w:tc>
        <w:tc>
          <w:tcPr>
            <w:tcW w:type="dxa" w:w="2160"/>
            <w:shd w:val="clear" w:color="auto" w:fill="E7ECF1"/>
          </w:tcPr>
          <w:p>
            <w:pPr>
              <w:spacing w:line="240" w:lineRule="auto" w:after="20"/>
            </w:pPr>
            <w:r/>
            <w:r>
              <w:rPr>
                <w:rFonts w:ascii="Times New Roman" w:hAnsi="Times New Roman" w:eastAsia="Times New Roman"/>
                <w:b/>
                <w:i w:val="0"/>
                <w:sz w:val="18"/>
              </w:rPr>
              <w:t>Status</w:t>
            </w:r>
          </w:p>
        </w:tc>
        <w:tc>
          <w:tcPr>
            <w:tcW w:type="dxa" w:w="3456"/>
            <w:shd w:val="clear" w:color="auto" w:fill="E7ECF1"/>
          </w:tcPr>
          <w:p>
            <w:pPr>
              <w:spacing w:line="240" w:lineRule="auto" w:after="20"/>
            </w:pPr>
            <w:r/>
            <w:r>
              <w:rPr>
                <w:rFonts w:ascii="Times New Roman" w:hAnsi="Times New Roman" w:eastAsia="Times New Roman"/>
                <w:b/>
                <w:i w:val="0"/>
                <w:sz w:val="18"/>
              </w:rPr>
              <w:t>Support</w:t>
            </w:r>
          </w:p>
        </w:tc>
      </w:tr>
      <w:tr>
        <w:tc>
          <w:tcPr>
            <w:tcW w:type="dxa" w:w="3744"/>
          </w:tcPr>
          <w:p>
            <w:pPr>
              <w:spacing w:line="240" w:lineRule="auto" w:after="20"/>
            </w:pPr>
            <w:r/>
            <w:r>
              <w:rPr>
                <w:rFonts w:ascii="Times New Roman" w:hAnsi="Times New Roman" w:eastAsia="Times New Roman"/>
                <w:b w:val="0"/>
                <w:i w:val="0"/>
                <w:sz w:val="18"/>
              </w:rPr>
              <w:t>Order–entropy bijection, dS/dU</w:t>
            </w:r>
            <w:r>
              <w:rPr>
                <w:rFonts w:ascii="Times New Roman" w:hAnsi="Times New Roman" w:eastAsia="Times New Roman"/>
                <w:b w:val="0"/>
                <w:i w:val="0"/>
                <w:sz w:val="18"/>
                <w:vertAlign w:val="subscript"/>
              </w:rPr>
              <w:t>χ</w:t>
            </w:r>
            <w:r>
              <w:rPr>
                <w:rFonts w:ascii="Times New Roman" w:hAnsi="Times New Roman" w:eastAsia="Times New Roman"/>
                <w:b w:val="0"/>
                <w:i w:val="0"/>
                <w:sz w:val="18"/>
              </w:rPr>
              <w:t xml:space="preserve"> = −κ, tail law (Thm 1)</w:t>
            </w:r>
          </w:p>
        </w:tc>
        <w:tc>
          <w:tcPr>
            <w:tcW w:type="dxa" w:w="2160"/>
          </w:tcPr>
          <w:p>
            <w:pPr>
              <w:spacing w:line="240" w:lineRule="auto" w:after="20"/>
            </w:pPr>
            <w:r/>
            <w:r>
              <w:rPr>
                <w:rFonts w:ascii="Times New Roman" w:hAnsi="Times New Roman" w:eastAsia="Times New Roman"/>
                <w:b w:val="0"/>
                <w:i w:val="0"/>
                <w:sz w:val="18"/>
              </w:rPr>
              <w:t>Proved</w:t>
            </w:r>
          </w:p>
        </w:tc>
        <w:tc>
          <w:tcPr>
            <w:tcW w:type="dxa" w:w="3456"/>
          </w:tcPr>
          <w:p>
            <w:pPr>
              <w:spacing w:line="240" w:lineRule="auto" w:after="20"/>
            </w:pPr>
            <w:r/>
            <w:r>
              <w:rPr>
                <w:rFonts w:ascii="Times New Roman" w:hAnsi="Times New Roman" w:eastAsia="Times New Roman"/>
                <w:b w:val="0"/>
                <w:i w:val="0"/>
                <w:sz w:val="18"/>
              </w:rPr>
              <w:t>Complete analytic proof; Fig. 1</w:t>
            </w:r>
          </w:p>
        </w:tc>
      </w:tr>
      <w:tr>
        <w:tc>
          <w:tcPr>
            <w:tcW w:type="dxa" w:w="3744"/>
          </w:tcPr>
          <w:p>
            <w:pPr>
              <w:spacing w:line="240" w:lineRule="auto" w:after="20"/>
            </w:pPr>
            <w:r/>
            <w:r>
              <w:rPr>
                <w:rFonts w:ascii="Times New Roman" w:hAnsi="Times New Roman" w:eastAsia="Times New Roman"/>
                <w:b w:val="0"/>
                <w:i w:val="0"/>
                <w:sz w:val="18"/>
              </w:rPr>
              <w:t>Linear reduction I</w:t>
            </w:r>
            <w:r>
              <w:rPr>
                <w:rFonts w:ascii="Times New Roman" w:hAnsi="Times New Roman" w:eastAsia="Times New Roman"/>
                <w:b w:val="0"/>
                <w:i w:val="0"/>
                <w:sz w:val="18"/>
                <w:vertAlign w:val="superscript"/>
              </w:rPr>
              <w:t>*</w:t>
            </w:r>
            <w:r>
              <w:rPr>
                <w:rFonts w:ascii="Times New Roman" w:hAnsi="Times New Roman" w:eastAsia="Times New Roman"/>
                <w:b w:val="0"/>
                <w:i w:val="0"/>
                <w:sz w:val="18"/>
              </w:rPr>
              <w:t xml:space="preserve"> = 1/(1 + ρ) at β = 0</w:t>
            </w:r>
          </w:p>
        </w:tc>
        <w:tc>
          <w:tcPr>
            <w:tcW w:type="dxa" w:w="2160"/>
          </w:tcPr>
          <w:p>
            <w:pPr>
              <w:spacing w:line="240" w:lineRule="auto" w:after="20"/>
            </w:pPr>
            <w:r/>
            <w:r>
              <w:rPr>
                <w:rFonts w:ascii="Times New Roman" w:hAnsi="Times New Roman" w:eastAsia="Times New Roman"/>
                <w:b w:val="0"/>
                <w:i w:val="0"/>
                <w:sz w:val="18"/>
              </w:rPr>
              <w:t>Exact (continuous time)</w:t>
            </w:r>
          </w:p>
        </w:tc>
        <w:tc>
          <w:tcPr>
            <w:tcW w:type="dxa" w:w="3456"/>
          </w:tcPr>
          <w:p>
            <w:pPr>
              <w:spacing w:line="240" w:lineRule="auto" w:after="20"/>
            </w:pPr>
            <w:r/>
            <w:r>
              <w:rPr>
                <w:rFonts w:ascii="Times New Roman" w:hAnsi="Times New Roman" w:eastAsia="Times New Roman"/>
                <w:b w:val="0"/>
                <w:i w:val="0"/>
                <w:sz w:val="18"/>
              </w:rPr>
              <w:t>Two-state master equation; lattice agrees up to the discrete-time correction, Fig. 2, App. A</w:t>
            </w:r>
          </w:p>
        </w:tc>
      </w:tr>
      <w:tr>
        <w:tc>
          <w:tcPr>
            <w:tcW w:type="dxa" w:w="3744"/>
          </w:tcPr>
          <w:p>
            <w:pPr>
              <w:spacing w:line="240" w:lineRule="auto" w:after="20"/>
            </w:pPr>
            <w:r/>
            <w:r>
              <w:rPr>
                <w:rFonts w:ascii="Times New Roman" w:hAnsi="Times New Roman" w:eastAsia="Times New Roman"/>
                <w:b w:val="0"/>
                <w:i w:val="0"/>
                <w:sz w:val="18"/>
              </w:rPr>
              <w:t>Bistability and saddle-nodes of the reduction (Prop. 2); threshold β</w:t>
            </w:r>
            <w:r>
              <w:rPr>
                <w:rFonts w:ascii="Times New Roman" w:hAnsi="Times New Roman" w:eastAsia="Times New Roman"/>
                <w:b w:val="0"/>
                <w:i w:val="0"/>
                <w:sz w:val="18"/>
                <w:vertAlign w:val="subscript"/>
              </w:rPr>
              <w:t>c</w:t>
            </w:r>
            <w:r>
              <w:rPr>
                <w:rFonts w:ascii="Times New Roman" w:hAnsi="Times New Roman" w:eastAsia="Times New Roman"/>
                <w:b w:val="0"/>
                <w:i w:val="0"/>
                <w:sz w:val="18"/>
              </w:rPr>
              <w:t>(h), none for h ≤ 1</w:t>
            </w:r>
          </w:p>
        </w:tc>
        <w:tc>
          <w:tcPr>
            <w:tcW w:type="dxa" w:w="2160"/>
          </w:tcPr>
          <w:p>
            <w:pPr>
              <w:spacing w:line="240" w:lineRule="auto" w:after="20"/>
            </w:pPr>
            <w:r/>
            <w:r>
              <w:rPr>
                <w:rFonts w:ascii="Times New Roman" w:hAnsi="Times New Roman" w:eastAsia="Times New Roman"/>
                <w:b w:val="0"/>
                <w:i w:val="0"/>
                <w:sz w:val="18"/>
              </w:rPr>
              <w:t>Exact for the mean-field ODE</w:t>
            </w:r>
          </w:p>
        </w:tc>
        <w:tc>
          <w:tcPr>
            <w:tcW w:type="dxa" w:w="3456"/>
          </w:tcPr>
          <w:p>
            <w:pPr>
              <w:spacing w:line="240" w:lineRule="auto" w:after="20"/>
            </w:pPr>
            <w:r/>
            <w:r>
              <w:rPr>
                <w:rFonts w:ascii="Times New Roman" w:hAnsi="Times New Roman" w:eastAsia="Times New Roman"/>
                <w:b w:val="0"/>
                <w:i w:val="0"/>
                <w:sz w:val="18"/>
              </w:rPr>
              <w:t>Analytic; Fig. 3</w:t>
            </w:r>
          </w:p>
        </w:tc>
      </w:tr>
      <w:tr>
        <w:tc>
          <w:tcPr>
            <w:tcW w:type="dxa" w:w="3744"/>
          </w:tcPr>
          <w:p>
            <w:pPr>
              <w:spacing w:line="240" w:lineRule="auto" w:after="20"/>
            </w:pPr>
            <w:r/>
            <w:r>
              <w:rPr>
                <w:rFonts w:ascii="Times New Roman" w:hAnsi="Times New Roman" w:eastAsia="Times New Roman"/>
                <w:b w:val="0"/>
                <w:i w:val="0"/>
                <w:sz w:val="18"/>
              </w:rPr>
              <w:t>Bistability on the nearest-neighbour lattice</w:t>
            </w:r>
          </w:p>
        </w:tc>
        <w:tc>
          <w:tcPr>
            <w:tcW w:type="dxa" w:w="2160"/>
          </w:tcPr>
          <w:p>
            <w:pPr>
              <w:spacing w:line="240" w:lineRule="auto" w:after="20"/>
            </w:pPr>
            <w:r/>
            <w:r>
              <w:rPr>
                <w:rFonts w:ascii="Times New Roman" w:hAnsi="Times New Roman" w:eastAsia="Times New Roman"/>
                <w:b w:val="0"/>
                <w:i w:val="0"/>
                <w:sz w:val="18"/>
              </w:rPr>
              <w:t>Not realized at the parameters studied</w:t>
            </w:r>
          </w:p>
        </w:tc>
        <w:tc>
          <w:tcPr>
            <w:tcW w:type="dxa" w:w="3456"/>
          </w:tcPr>
          <w:p>
            <w:pPr>
              <w:spacing w:line="240" w:lineRule="auto" w:after="20"/>
            </w:pPr>
            <w:r/>
            <w:r>
              <w:rPr>
                <w:rFonts w:ascii="Times New Roman" w:hAnsi="Times New Roman" w:eastAsia="Times New Roman"/>
                <w:b w:val="0"/>
                <w:i w:val="0"/>
                <w:sz w:val="18"/>
              </w:rPr>
              <w:t>Zero quasi-static loop area, converging starts, N-independent meeting times; Fig. 4, Fig. A1</w:t>
            </w:r>
          </w:p>
        </w:tc>
      </w:tr>
      <w:tr>
        <w:tc>
          <w:tcPr>
            <w:tcW w:type="dxa" w:w="3744"/>
          </w:tcPr>
          <w:p>
            <w:pPr>
              <w:spacing w:line="240" w:lineRule="auto" w:after="20"/>
            </w:pPr>
            <w:r/>
            <w:r>
              <w:rPr>
                <w:rFonts w:ascii="Times New Roman" w:hAnsi="Times New Roman" w:eastAsia="Times New Roman"/>
                <w:b w:val="0"/>
                <w:i w:val="0"/>
                <w:sz w:val="18"/>
              </w:rPr>
              <w:t>Bistability with global sensing</w:t>
            </w:r>
          </w:p>
        </w:tc>
        <w:tc>
          <w:tcPr>
            <w:tcW w:type="dxa" w:w="2160"/>
          </w:tcPr>
          <w:p>
            <w:pPr>
              <w:spacing w:line="240" w:lineRule="auto" w:after="20"/>
            </w:pPr>
            <w:r/>
            <w:r>
              <w:rPr>
                <w:rFonts w:ascii="Times New Roman" w:hAnsi="Times New Roman" w:eastAsia="Times New Roman"/>
                <w:b w:val="0"/>
                <w:i w:val="0"/>
                <w:sz w:val="18"/>
              </w:rPr>
              <w:t>Strong numerical evidence, L ≤ 96</w:t>
            </w:r>
          </w:p>
        </w:tc>
        <w:tc>
          <w:tcPr>
            <w:tcW w:type="dxa" w:w="3456"/>
          </w:tcPr>
          <w:p>
            <w:pPr>
              <w:spacing w:line="240" w:lineRule="auto" w:after="20"/>
            </w:pPr>
            <w:r/>
            <w:r>
              <w:rPr>
                <w:rFonts w:ascii="Times New Roman" w:hAnsi="Times New Roman" w:eastAsia="Times New Roman"/>
                <w:b w:val="0"/>
                <w:i w:val="0"/>
                <w:sz w:val="18"/>
              </w:rPr>
              <w:t>Finite slow-sweep loop; two branches, no switch in 15 000 steps at any size; Figs. 5, A2</w:t>
            </w:r>
          </w:p>
        </w:tc>
      </w:tr>
      <w:tr>
        <w:tc>
          <w:tcPr>
            <w:tcW w:type="dxa" w:w="3744"/>
          </w:tcPr>
          <w:p>
            <w:pPr>
              <w:spacing w:line="240" w:lineRule="auto" w:after="20"/>
            </w:pPr>
            <w:r/>
            <w:r>
              <w:rPr>
                <w:rFonts w:ascii="Times New Roman" w:hAnsi="Times New Roman" w:eastAsia="Times New Roman"/>
                <w:b w:val="0"/>
                <w:i w:val="0"/>
                <w:sz w:val="18"/>
              </w:rPr>
              <w:t>Bistability with 80-site sensing</w:t>
            </w:r>
          </w:p>
        </w:tc>
        <w:tc>
          <w:tcPr>
            <w:tcW w:type="dxa" w:w="2160"/>
          </w:tcPr>
          <w:p>
            <w:pPr>
              <w:spacing w:line="240" w:lineRule="auto" w:after="20"/>
            </w:pPr>
            <w:r/>
            <w:r>
              <w:rPr>
                <w:rFonts w:ascii="Times New Roman" w:hAnsi="Times New Roman" w:eastAsia="Times New Roman"/>
                <w:b w:val="0"/>
                <w:i w:val="0"/>
                <w:sz w:val="18"/>
              </w:rPr>
              <w:t>Discontinuous transition with metastability</w:t>
            </w:r>
          </w:p>
        </w:tc>
        <w:tc>
          <w:tcPr>
            <w:tcW w:type="dxa" w:w="3456"/>
          </w:tcPr>
          <w:p>
            <w:pPr>
              <w:spacing w:line="240" w:lineRule="auto" w:after="20"/>
            </w:pPr>
            <w:r/>
            <w:r>
              <w:rPr>
                <w:rFonts w:ascii="Times New Roman" w:hAnsi="Times New Roman" w:eastAsia="Times New Roman"/>
                <w:b w:val="0"/>
                <w:i w:val="0"/>
                <w:sz w:val="18"/>
              </w:rPr>
              <w:t>Split branches mid-window; nucleation-limited decay at the edges, faster at larger L; Figs. 5, A2</w:t>
            </w:r>
          </w:p>
        </w:tc>
      </w:tr>
      <w:tr>
        <w:tc>
          <w:tcPr>
            <w:tcW w:type="dxa" w:w="3744"/>
          </w:tcPr>
          <w:p>
            <w:pPr>
              <w:spacing w:line="240" w:lineRule="auto" w:after="20"/>
            </w:pPr>
            <w:r/>
            <w:r>
              <w:rPr>
                <w:rFonts w:ascii="Times New Roman" w:hAnsi="Times New Roman" w:eastAsia="Times New Roman"/>
                <w:b w:val="0"/>
                <w:i w:val="0"/>
                <w:sz w:val="18"/>
              </w:rPr>
              <w:t>Non-equilibrium steady state (J</w:t>
            </w:r>
            <w:r>
              <w:rPr>
                <w:rFonts w:ascii="Times New Roman" w:hAnsi="Times New Roman" w:eastAsia="Times New Roman"/>
                <w:b w:val="0"/>
                <w:i w:val="0"/>
                <w:sz w:val="18"/>
                <w:vertAlign w:val="subscript"/>
              </w:rPr>
              <w:t>kill</w:t>
            </w:r>
            <w:r>
              <w:rPr>
                <w:rFonts w:ascii="Times New Roman" w:hAnsi="Times New Roman" w:eastAsia="Times New Roman"/>
                <w:b w:val="0"/>
                <w:i w:val="0"/>
                <w:sz w:val="18"/>
              </w:rPr>
              <w:t xml:space="preserve"> = J</w:t>
            </w:r>
            <w:r>
              <w:rPr>
                <w:rFonts w:ascii="Times New Roman" w:hAnsi="Times New Roman" w:eastAsia="Times New Roman"/>
                <w:b w:val="0"/>
                <w:i w:val="0"/>
                <w:sz w:val="18"/>
                <w:vertAlign w:val="subscript"/>
              </w:rPr>
              <w:t>rep</w:t>
            </w:r>
            <w:r>
              <w:rPr>
                <w:rFonts w:ascii="Times New Roman" w:hAnsi="Times New Roman" w:eastAsia="Times New Roman"/>
                <w:b w:val="0"/>
                <w:i w:val="0"/>
                <w:sz w:val="18"/>
              </w:rPr>
              <w:t>)</w:t>
            </w:r>
          </w:p>
        </w:tc>
        <w:tc>
          <w:tcPr>
            <w:tcW w:type="dxa" w:w="2160"/>
          </w:tcPr>
          <w:p>
            <w:pPr>
              <w:spacing w:line="240" w:lineRule="auto" w:after="20"/>
            </w:pPr>
            <w:r/>
            <w:r>
              <w:rPr>
                <w:rFonts w:ascii="Times New Roman" w:hAnsi="Times New Roman" w:eastAsia="Times New Roman"/>
                <w:b w:val="0"/>
                <w:i w:val="0"/>
                <w:sz w:val="18"/>
              </w:rPr>
              <w:t>Validated numerically</w:t>
            </w:r>
          </w:p>
        </w:tc>
        <w:tc>
          <w:tcPr>
            <w:tcW w:type="dxa" w:w="3456"/>
          </w:tcPr>
          <w:p>
            <w:pPr>
              <w:spacing w:line="240" w:lineRule="auto" w:after="20"/>
            </w:pPr>
            <w:r/>
            <w:r>
              <w:rPr>
                <w:rFonts w:ascii="Times New Roman" w:hAnsi="Times New Roman" w:eastAsia="Times New Roman"/>
                <w:b w:val="0"/>
                <w:i w:val="0"/>
                <w:sz w:val="18"/>
              </w:rPr>
              <w:t>Relative current imbalance below 10</w:t>
            </w:r>
            <w:r>
              <w:rPr>
                <w:rFonts w:ascii="Times New Roman" w:hAnsi="Times New Roman" w:eastAsia="Times New Roman"/>
                <w:b w:val="0"/>
                <w:i w:val="0"/>
                <w:sz w:val="18"/>
                <w:vertAlign w:val="superscript"/>
              </w:rPr>
              <w:t>−3</w:t>
            </w:r>
            <w:r>
              <w:rPr>
                <w:rFonts w:ascii="Times New Roman" w:hAnsi="Times New Roman" w:eastAsia="Times New Roman"/>
                <w:b w:val="0"/>
                <w:i w:val="0"/>
                <w:sz w:val="18"/>
              </w:rPr>
              <w:t>; Fig. 4D</w:t>
            </w:r>
          </w:p>
        </w:tc>
      </w:tr>
      <w:tr>
        <w:tc>
          <w:tcPr>
            <w:tcW w:type="dxa" w:w="3744"/>
          </w:tcPr>
          <w:p>
            <w:pPr>
              <w:spacing w:line="240" w:lineRule="auto" w:after="20"/>
            </w:pPr>
            <w:r/>
            <w:r>
              <w:rPr>
                <w:rFonts w:ascii="Times New Roman" w:hAnsi="Times New Roman" w:eastAsia="Times New Roman"/>
                <w:b w:val="0"/>
                <w:i w:val="0"/>
                <w:sz w:val="18"/>
              </w:rPr>
              <w:t>BKT-driven field-free transition, f</w:t>
            </w:r>
            <w:r>
              <w:rPr>
                <w:rFonts w:ascii="Times New Roman" w:hAnsi="Times New Roman" w:eastAsia="Times New Roman"/>
                <w:b w:val="0"/>
                <w:i w:val="0"/>
                <w:sz w:val="18"/>
                <w:vertAlign w:val="subscript"/>
              </w:rPr>
              <w:t>KT</w:t>
            </w:r>
            <w:r>
              <w:rPr>
                <w:rFonts w:ascii="Times New Roman" w:hAnsi="Times New Roman" w:eastAsia="Times New Roman"/>
                <w:b w:val="0"/>
                <w:i w:val="0"/>
                <w:sz w:val="18"/>
              </w:rPr>
              <w:t xml:space="preserve"> ≈ 0.205 &lt; 1 − p</w:t>
            </w:r>
            <w:r>
              <w:rPr>
                <w:rFonts w:ascii="Times New Roman" w:hAnsi="Times New Roman" w:eastAsia="Times New Roman"/>
                <w:b w:val="0"/>
                <w:i w:val="0"/>
                <w:sz w:val="18"/>
                <w:vertAlign w:val="subscript"/>
              </w:rPr>
              <w:t>c</w:t>
            </w:r>
          </w:p>
        </w:tc>
        <w:tc>
          <w:tcPr>
            <w:tcW w:type="dxa" w:w="2160"/>
          </w:tcPr>
          <w:p>
            <w:pPr>
              <w:spacing w:line="240" w:lineRule="auto" w:after="20"/>
            </w:pPr>
            <w:r/>
            <w:r>
              <w:rPr>
                <w:rFonts w:ascii="Times New Roman" w:hAnsi="Times New Roman" w:eastAsia="Times New Roman"/>
                <w:b w:val="0"/>
                <w:i w:val="0"/>
                <w:sz w:val="18"/>
              </w:rPr>
              <w:t>Numerical estimate (FSS, L = 16–96)</w:t>
            </w:r>
          </w:p>
        </w:tc>
        <w:tc>
          <w:tcPr>
            <w:tcW w:type="dxa" w:w="3456"/>
          </w:tcPr>
          <w:p>
            <w:pPr>
              <w:spacing w:line="240" w:lineRule="auto" w:after="20"/>
            </w:pPr>
            <w:r/>
            <w:r>
              <w:rPr>
                <w:rFonts w:ascii="Times New Roman" w:hAnsi="Times New Roman" w:eastAsia="Times New Roman"/>
                <w:b w:val="0"/>
                <w:i w:val="0"/>
                <w:sz w:val="18"/>
              </w:rPr>
              <w:t>Helicity modulus vs 2T/π, two extrapolations and their sensitivity, Binder cumulant; Fig. 6</w:t>
            </w:r>
          </w:p>
        </w:tc>
      </w:tr>
      <w:tr>
        <w:tc>
          <w:tcPr>
            <w:tcW w:type="dxa" w:w="3744"/>
          </w:tcPr>
          <w:p>
            <w:pPr>
              <w:spacing w:line="240" w:lineRule="auto" w:after="20"/>
            </w:pPr>
            <w:r/>
            <w:r>
              <w:rPr>
                <w:rFonts w:ascii="Times New Roman" w:hAnsi="Times New Roman" w:eastAsia="Times New Roman"/>
                <w:b w:val="0"/>
                <w:i w:val="0"/>
                <w:sz w:val="18"/>
              </w:rPr>
              <w:t>Maintenance current J(ρ), non-monotonic</w:t>
            </w:r>
          </w:p>
        </w:tc>
        <w:tc>
          <w:tcPr>
            <w:tcW w:type="dxa" w:w="2160"/>
          </w:tcPr>
          <w:p>
            <w:pPr>
              <w:spacing w:line="240" w:lineRule="auto" w:after="20"/>
            </w:pPr>
            <w:r/>
            <w:r>
              <w:rPr>
                <w:rFonts w:ascii="Times New Roman" w:hAnsi="Times New Roman" w:eastAsia="Times New Roman"/>
                <w:b w:val="0"/>
                <w:i w:val="0"/>
                <w:sz w:val="18"/>
              </w:rPr>
              <w:t>Measured</w:t>
            </w:r>
          </w:p>
        </w:tc>
        <w:tc>
          <w:tcPr>
            <w:tcW w:type="dxa" w:w="3456"/>
          </w:tcPr>
          <w:p>
            <w:pPr>
              <w:spacing w:line="240" w:lineRule="auto" w:after="20"/>
            </w:pPr>
            <w:r/>
            <w:r>
              <w:rPr>
                <w:rFonts w:ascii="Times New Roman" w:hAnsi="Times New Roman" w:eastAsia="Times New Roman"/>
                <w:b w:val="0"/>
                <w:i w:val="0"/>
                <w:sz w:val="18"/>
              </w:rPr>
              <w:t>Fig. 7B, Fig. 4D</w:t>
            </w:r>
          </w:p>
        </w:tc>
      </w:tr>
      <w:tr>
        <w:tc>
          <w:tcPr>
            <w:tcW w:type="dxa" w:w="3744"/>
          </w:tcPr>
          <w:p>
            <w:pPr>
              <w:spacing w:line="240" w:lineRule="auto" w:after="20"/>
            </w:pPr>
            <w:r/>
            <w:r>
              <w:rPr>
                <w:rFonts w:ascii="Times New Roman" w:hAnsi="Times New Roman" w:eastAsia="Times New Roman"/>
                <w:b w:val="0"/>
                <w:i w:val="0"/>
                <w:sz w:val="18"/>
              </w:rPr>
              <w:t>Entropy production σ</w:t>
            </w:r>
            <w:r>
              <w:rPr>
                <w:rFonts w:ascii="Times New Roman" w:hAnsi="Times New Roman" w:eastAsia="Times New Roman"/>
                <w:b w:val="0"/>
                <w:i w:val="0"/>
                <w:sz w:val="18"/>
                <w:vertAlign w:val="subscript"/>
              </w:rPr>
              <w:t>aux</w:t>
            </w:r>
            <w:r>
              <w:rPr>
                <w:rFonts w:ascii="Times New Roman" w:hAnsi="Times New Roman" w:eastAsia="Times New Roman"/>
                <w:b w:val="0"/>
                <w:i w:val="0"/>
                <w:sz w:val="18"/>
              </w:rPr>
              <w:t xml:space="preserve"> &gt; 0</w:t>
            </w:r>
          </w:p>
        </w:tc>
        <w:tc>
          <w:tcPr>
            <w:tcW w:type="dxa" w:w="2160"/>
          </w:tcPr>
          <w:p>
            <w:pPr>
              <w:spacing w:line="240" w:lineRule="auto" w:after="20"/>
            </w:pPr>
            <w:r/>
            <w:r>
              <w:rPr>
                <w:rFonts w:ascii="Times New Roman" w:hAnsi="Times New Roman" w:eastAsia="Times New Roman"/>
                <w:b w:val="0"/>
                <w:i w:val="0"/>
                <w:sz w:val="18"/>
              </w:rPr>
              <w:t>Illustrative, auxiliary model</w:t>
            </w:r>
          </w:p>
        </w:tc>
        <w:tc>
          <w:tcPr>
            <w:tcW w:type="dxa" w:w="3456"/>
          </w:tcPr>
          <w:p>
            <w:pPr>
              <w:spacing w:line="240" w:lineRule="auto" w:after="20"/>
            </w:pPr>
            <w:r/>
            <w:r>
              <w:rPr>
                <w:rFonts w:ascii="Times New Roman" w:hAnsi="Times New Roman" w:eastAsia="Times New Roman"/>
                <w:b w:val="0"/>
                <w:i w:val="0"/>
                <w:sz w:val="18"/>
              </w:rPr>
              <w:t>Depends on the added reverse rate ε; Fig. 7A</w:t>
            </w:r>
          </w:p>
        </w:tc>
      </w:tr>
    </w:tbl>
    <w:p>
      <w:pPr>
        <w:spacing w:after="40"/>
      </w:pPr>
    </w:p>
    <w:p>
      <w:pPr>
        <w:jc w:val="both"/>
      </w:pPr>
      <w:r>
        <w:rPr>
          <w:rFonts w:ascii="Times New Roman" w:hAnsi="Times New Roman" w:eastAsia="Times New Roman"/>
          <w:b w:val="0"/>
          <w:i w:val="0"/>
        </w:rPr>
        <w:t xml:space="preserve">The framework rests on three explicitly identified approximations. (1) The </w:t>
      </w:r>
      <w:r>
        <w:rPr>
          <w:rFonts w:ascii="Times New Roman" w:hAnsi="Times New Roman" w:eastAsia="Times New Roman"/>
          <w:b w:val="0"/>
          <w:i/>
        </w:rPr>
        <w:t>annealed mean-field closure</w:t>
      </w:r>
      <w:r>
        <w:rPr>
          <w:rFonts w:ascii="Times New Roman" w:hAnsi="Times New Roman" w:eastAsia="Times New Roman"/>
          <w:b w:val="0"/>
          <w:i w:val="0"/>
        </w:rPr>
        <w:t xml:space="preserve"> δ ≐ I underlies Proposition 2. It is now tested directly (Section 4.4): it fails for nearest-neighbour sensing, where it misstates the effective feedback in both directions, and becomes accurate as the sensing range grows; whether it becomes exact in a limit in which the range grows with N is open problem (a). (2) The </w:t>
      </w:r>
      <w:r>
        <w:rPr>
          <w:rFonts w:ascii="Times New Roman" w:hAnsi="Times New Roman" w:eastAsia="Times New Roman"/>
          <w:b w:val="0"/>
          <w:i/>
        </w:rPr>
        <w:t>slaving</w:t>
      </w:r>
      <w:r>
        <w:rPr>
          <w:rFonts w:ascii="Times New Roman" w:hAnsi="Times New Roman" w:eastAsia="Times New Roman"/>
          <w:b w:val="0"/>
          <w:i w:val="0"/>
        </w:rPr>
        <w:t xml:space="preserve"> U</w:t>
      </w:r>
      <w:r>
        <w:rPr>
          <w:rFonts w:ascii="Times New Roman" w:hAnsi="Times New Roman" w:eastAsia="Times New Roman"/>
          <w:b w:val="0"/>
          <w:i w:val="0"/>
          <w:vertAlign w:val="subscript"/>
        </w:rPr>
        <w:t>χ</w:t>
      </w:r>
      <w:r>
        <w:rPr>
          <w:rFonts w:ascii="Times New Roman" w:hAnsi="Times New Roman" w:eastAsia="Times New Roman"/>
          <w:b w:val="0"/>
          <w:i w:val="0"/>
        </w:rPr>
        <w:t xml:space="preserve"> ≐ p in the β = 0 baseline holds up to a boundary-layer correction controlled by J</w:t>
      </w:r>
      <w:r>
        <w:rPr>
          <w:rFonts w:ascii="Times New Roman" w:hAnsi="Times New Roman" w:eastAsia="Times New Roman"/>
          <w:b w:val="0"/>
          <w:i w:val="0"/>
          <w:vertAlign w:val="subscript"/>
        </w:rPr>
        <w:t>0</w:t>
      </w:r>
      <w:r>
        <w:rPr>
          <w:rFonts w:ascii="Times New Roman" w:hAnsi="Times New Roman" w:eastAsia="Times New Roman"/>
          <w:b w:val="0"/>
          <w:i w:val="0"/>
        </w:rPr>
        <w:t xml:space="preserve"> and h</w:t>
      </w:r>
      <w:r>
        <w:rPr>
          <w:rFonts w:ascii="Times New Roman" w:hAnsi="Times New Roman" w:eastAsia="Times New Roman"/>
          <w:b w:val="0"/>
          <w:i w:val="0"/>
          <w:vertAlign w:val="subscript"/>
        </w:rPr>
        <w:t>0</w:t>
      </w:r>
      <w:r>
        <w:rPr>
          <w:rFonts w:ascii="Times New Roman" w:hAnsi="Times New Roman" w:eastAsia="Times New Roman"/>
          <w:b w:val="0"/>
          <w:i w:val="0"/>
        </w:rPr>
        <w:t xml:space="preserve">. (3) The entropy production of Section 6 belongs to an </w:t>
      </w:r>
      <w:r>
        <w:rPr>
          <w:rFonts w:ascii="Times New Roman" w:hAnsi="Times New Roman" w:eastAsia="Times New Roman"/>
          <w:b w:val="0"/>
          <w:i/>
        </w:rPr>
        <w:t>auxiliary cycle</w:t>
      </w:r>
      <w:r>
        <w:rPr>
          <w:rFonts w:ascii="Times New Roman" w:hAnsi="Times New Roman" w:eastAsia="Times New Roman"/>
          <w:b w:val="0"/>
          <w:i w:val="0"/>
        </w:rPr>
        <w:t xml:space="preserve"> with reverse rates ε that the simulated dynamics does not have; it is illustrative, and the strictly irreversible limit is singular. No other claim relies on an unstated approximation.</w:t>
      </w:r>
    </w:p>
    <w:p>
      <w:pPr>
        <w:pStyle w:val="Heading1"/>
      </w:pPr>
      <w:r>
        <w:rPr>
          <w:rFonts w:ascii="Times New Roman" w:hAnsi="Times New Roman" w:eastAsia="Times New Roman"/>
          <w:b w:val="0"/>
          <w:i w:val="0"/>
        </w:rPr>
        <w:t>9. Open problems</w:t>
      </w:r>
    </w:p>
    <w:p>
      <w:pPr>
        <w:jc w:val="both"/>
      </w:pPr>
      <w:r>
        <w:rPr>
          <w:rFonts w:ascii="Times New Roman" w:hAnsi="Times New Roman" w:eastAsia="Times New Roman"/>
          <w:b w:val="0"/>
          <w:i w:val="0"/>
        </w:rPr>
        <w:t xml:space="preserve">(a) </w:t>
      </w:r>
      <w:r>
        <w:rPr>
          <w:rFonts w:ascii="Times New Roman" w:hAnsi="Times New Roman" w:eastAsia="Times New Roman"/>
          <w:b w:val="0"/>
          <w:i/>
        </w:rPr>
        <w:t>Range of the feedback and the mean-field limit:</w:t>
      </w:r>
      <w:r>
        <w:rPr>
          <w:rFonts w:ascii="Times New Roman" w:hAnsi="Times New Roman" w:eastAsia="Times New Roman"/>
          <w:b w:val="0"/>
          <w:i w:val="0"/>
        </w:rPr>
        <w:t xml:space="preserve"> establish rigorously the scaling limit of the coupled rotor/integrity process and the conditions under which the nonlinear mean-field ODE, including its bistability, is exact, for instance in a Kac-type limit in which the sensing range grows with N [18]; locate the critical sensing range as a function of (β, h, K, T); and determine whether any region of nearest-neighbour parameters, such as much larger β or smaller K, is bistable.</w:t>
      </w:r>
    </w:p>
    <w:p>
      <w:pPr>
        <w:jc w:val="both"/>
      </w:pPr>
      <w:r>
        <w:rPr>
          <w:rFonts w:ascii="Times New Roman" w:hAnsi="Times New Roman" w:eastAsia="Times New Roman"/>
          <w:b w:val="0"/>
          <w:i w:val="0"/>
        </w:rPr>
        <w:t xml:space="preserve">(b) </w:t>
      </w:r>
      <w:r>
        <w:rPr>
          <w:rFonts w:ascii="Times New Roman" w:hAnsi="Times New Roman" w:eastAsia="Times New Roman"/>
          <w:b w:val="0"/>
          <w:i/>
        </w:rPr>
        <w:t>Metastability and first passage:</w:t>
      </w:r>
      <w:r>
        <w:rPr>
          <w:rFonts w:ascii="Times New Roman" w:hAnsi="Times New Roman" w:eastAsia="Times New Roman"/>
          <w:b w:val="0"/>
          <w:i w:val="0"/>
        </w:rPr>
        <w:t xml:space="preserve"> for finite sensing ranges, determine whether an interval of coexistence survives N → ∞ or shrinks to the single value of ρ at which an interface between the phases stalls, as the nucleation-limited decay at the window edges (Section 4.4) suggests; and characterize the distribution of collapse times and the large-deviation rate for noise-induced transitions, including how the lifetimes scale with N and with the sensing range.</w:t>
      </w:r>
    </w:p>
    <w:p>
      <w:pPr>
        <w:jc w:val="both"/>
      </w:pPr>
      <w:r>
        <w:rPr>
          <w:rFonts w:ascii="Times New Roman" w:hAnsi="Times New Roman" w:eastAsia="Times New Roman"/>
          <w:b w:val="0"/>
          <w:i w:val="0"/>
        </w:rPr>
        <w:t xml:space="preserve">(c) </w:t>
      </w:r>
      <w:r>
        <w:rPr>
          <w:rFonts w:ascii="Times New Roman" w:hAnsi="Times New Roman" w:eastAsia="Times New Roman"/>
          <w:b w:val="0"/>
          <w:i/>
        </w:rPr>
        <w:t>Thermodynamics and the BKT point:</w:t>
      </w:r>
      <w:r>
        <w:rPr>
          <w:rFonts w:ascii="Times New Roman" w:hAnsi="Times New Roman" w:eastAsia="Times New Roman"/>
          <w:b w:val="0"/>
          <w:i w:val="0"/>
        </w:rPr>
        <w:t xml:space="preserve"> a quantitative cost of maintenance requires a thermodynamically consistent model of the degradation and repair steps, with microscopic reverse rates, in place of the auxiliary cycle of Section 6, after which the fluctuation theorems for the entropy production can be tested across the bifurcation; and the Nelson–Kosterlitz analysis here (L ≤ 96) gives f</w:t>
      </w:r>
      <w:r>
        <w:rPr>
          <w:rFonts w:ascii="Times New Roman" w:hAnsi="Times New Roman" w:eastAsia="Times New Roman"/>
          <w:b w:val="0"/>
          <w:i w:val="0"/>
          <w:vertAlign w:val="subscript"/>
        </w:rPr>
        <w:t>KT</w:t>
      </w:r>
      <w:r>
        <w:rPr>
          <w:rFonts w:ascii="Times New Roman" w:hAnsi="Times New Roman" w:eastAsia="Times New Roman"/>
          <w:b w:val="0"/>
          <w:i w:val="0"/>
        </w:rPr>
        <w:t xml:space="preserve"> ≈ 0.205, which larger sizes, more realizations and temperature scans along the dilution line should refine.</w:t>
      </w:r>
    </w:p>
    <w:p>
      <w:pPr>
        <w:pStyle w:val="Heading1"/>
      </w:pPr>
      <w:r>
        <w:rPr>
          <w:rFonts w:ascii="Times New Roman" w:hAnsi="Times New Roman" w:eastAsia="Times New Roman"/>
          <w:b w:val="0"/>
          <w:i w:val="0"/>
        </w:rPr>
        <w:t>10. Conclusion</w:t>
      </w:r>
    </w:p>
    <w:p>
      <w:pPr>
        <w:jc w:val="both"/>
      </w:pPr>
      <w:r>
        <w:rPr>
          <w:rFonts w:ascii="Times New Roman" w:hAnsi="Times New Roman" w:eastAsia="Times New Roman"/>
          <w:b w:val="0"/>
          <w:i w:val="0"/>
        </w:rPr>
        <w:t>Making degradation depend on the order it destroys turns a passive decay problem into a genuine non-equilibrium one. In mean field the maintained lattice is governed by a single ratio ρ through a nonlinear law that is bistable above a computed feedback threshold. On the lattice the same feedback is bistable only if degradation senses disorder over an extended region, robustly when it senses the global order and as a discontinuous transition with long-lived metastability for a finite range: with nearest-neighbour sensing the broad distribution of local disorder averages the switch away, the steady state is unique, and the hysteresis seen at finite sweep rates is dynamic and vanishes in the quasi-static limit. The range of the feedback thus joins its gain and cooperativity as a control parameter, and the loop area extrapolated to zero sweep rate is the observable that distinguishes the two regimes. The field-free loss of order is BKT-driven, at an estimated f</w:t>
      </w:r>
      <w:r>
        <w:rPr>
          <w:rFonts w:ascii="Times New Roman" w:hAnsi="Times New Roman" w:eastAsia="Times New Roman"/>
          <w:b w:val="0"/>
          <w:i w:val="0"/>
          <w:vertAlign w:val="subscript"/>
        </w:rPr>
        <w:t>KT</w:t>
      </w:r>
      <w:r>
        <w:rPr>
          <w:rFonts w:ascii="Times New Roman" w:hAnsi="Times New Roman" w:eastAsia="Times New Roman"/>
          <w:b w:val="0"/>
          <w:i w:val="0"/>
        </w:rPr>
        <w:t xml:space="preserve"> ≈ 0.205, far below percolation. The maintenance current peaks where order is most fragile, and any thermodynamically consistent completion of the dynamics assigns it a positive dissipation, though its size is not fixed by the model; the exact relation dS/dU</w:t>
      </w:r>
      <w:r>
        <w:rPr>
          <w:rFonts w:ascii="Times New Roman" w:hAnsi="Times New Roman" w:eastAsia="Times New Roman"/>
          <w:b w:val="0"/>
          <w:i w:val="0"/>
          <w:vertAlign w:val="subscript"/>
        </w:rPr>
        <w:t>χ</w:t>
      </w:r>
      <w:r>
        <w:rPr>
          <w:rFonts w:ascii="Times New Roman" w:hAnsi="Times New Roman" w:eastAsia="Times New Roman"/>
          <w:b w:val="0"/>
          <w:i w:val="0"/>
        </w:rPr>
        <w:t xml:space="preserve"> = −κ ties directional order to configurational information. The framework is substrate-free, packaging a family of maintenance-versus-decay problems into one reduced, dissipative law together with a lattice criterion for when that law holds.</w:t>
      </w:r>
    </w:p>
    <w:p>
      <w:pPr>
        <w:pStyle w:val="Heading1"/>
      </w:pPr>
      <w:r>
        <w:rPr>
          <w:rFonts w:ascii="Times New Roman" w:hAnsi="Times New Roman" w:eastAsia="Times New Roman"/>
          <w:b w:val="0"/>
          <w:i w:val="0"/>
        </w:rPr>
        <w:t>Author contributions (CRediT)</w:t>
      </w:r>
    </w:p>
    <w:p>
      <w:r>
        <w:rPr>
          <w:rFonts w:ascii="Times New Roman" w:hAnsi="Times New Roman" w:eastAsia="Times New Roman"/>
          <w:b w:val="0"/>
          <w:i w:val="0"/>
        </w:rPr>
        <w:t>Leon Sandler: Conceptualization, Methodology, Software, Formal analysis, Writing – original draft, Writing – review &amp; editing.</w:t>
      </w:r>
    </w:p>
    <w:p>
      <w:pPr>
        <w:pStyle w:val="Heading1"/>
      </w:pPr>
      <w:r>
        <w:rPr>
          <w:rFonts w:ascii="Times New Roman" w:hAnsi="Times New Roman" w:eastAsia="Times New Roman"/>
          <w:b w:val="0"/>
          <w:i w:val="0"/>
        </w:rPr>
        <w:t>Declaration of competing interest</w:t>
      </w:r>
    </w:p>
    <w:p>
      <w:r>
        <w:rPr>
          <w:rFonts w:ascii="Times New Roman" w:hAnsi="Times New Roman" w:eastAsia="Times New Roman"/>
          <w:b w:val="0"/>
          <w:i w:val="0"/>
        </w:rPr>
        <w:t>The author declares that he has no known competing financial interests or personal relationships that could have appeared to influence the work reported in this paper.</w:t>
      </w:r>
    </w:p>
    <w:p>
      <w:pPr>
        <w:pStyle w:val="Heading1"/>
      </w:pPr>
      <w:r>
        <w:rPr>
          <w:rFonts w:ascii="Times New Roman" w:hAnsi="Times New Roman" w:eastAsia="Times New Roman"/>
          <w:b w:val="0"/>
          <w:i w:val="0"/>
        </w:rPr>
        <w:t>Funding</w:t>
      </w:r>
    </w:p>
    <w:p>
      <w:r>
        <w:rPr>
          <w:rFonts w:ascii="Times New Roman" w:hAnsi="Times New Roman" w:eastAsia="Times New Roman"/>
          <w:b w:val="0"/>
          <w:i w:val="0"/>
        </w:rPr>
        <w:t>This research did not receive any specific grant from funding agencies in the public, commercial or not-for-profit sectors.</w:t>
      </w:r>
    </w:p>
    <w:p>
      <w:pPr>
        <w:pStyle w:val="Heading1"/>
      </w:pPr>
      <w:r>
        <w:rPr>
          <w:rFonts w:ascii="Times New Roman" w:hAnsi="Times New Roman" w:eastAsia="Times New Roman"/>
          <w:b w:val="0"/>
          <w:i w:val="0"/>
        </w:rPr>
        <w:t>Declaration of generative AI and AI-assisted technologies in the writing process</w:t>
      </w:r>
    </w:p>
    <w:p>
      <w:pPr>
        <w:jc w:val="both"/>
      </w:pPr>
      <w:r>
        <w:rPr>
          <w:rFonts w:ascii="Times New Roman" w:hAnsi="Times New Roman" w:eastAsia="Times New Roman"/>
          <w:b w:val="0"/>
          <w:i w:val="0"/>
        </w:rPr>
        <w:t>During the preparation of this revision the author used Claude (Anthropic) to assist with typesetting the equations in the journal's format, writing and testing the Monte Carlo and analysis code of Sections 4.3–5 and Appendix A to the author's specification, checking the reference list against Crossref records and language editing. After using this tool, the author reviewed and edited the content as needed and takes full responsibility for the content of the publication.</w:t>
      </w:r>
    </w:p>
    <w:p>
      <w:pPr>
        <w:pStyle w:val="Heading1"/>
      </w:pPr>
      <w:r>
        <w:rPr>
          <w:rFonts w:ascii="Times New Roman" w:hAnsi="Times New Roman" w:eastAsia="Times New Roman"/>
          <w:b w:val="0"/>
          <w:i w:val="0"/>
        </w:rPr>
        <w:t>Data and code availability</w:t>
      </w:r>
    </w:p>
    <w:p>
      <w:pPr>
        <w:jc w:val="both"/>
      </w:pPr>
      <w:r>
        <w:rPr>
          <w:rFonts w:ascii="Times New Roman" w:hAnsi="Times New Roman" w:eastAsia="Times New Roman"/>
          <w:b w:val="0"/>
          <w:i w:val="0"/>
        </w:rPr>
        <w:t>All Monte Carlo results of this version, the engine, its verification suite, the analysis scripts that turn raw runs into every number of Sections 4–6 and Appendix A, the raw run outputs and the scripts for every figure are openly available at https://github.com/sandlerleon/rotational-lattice-maintenance, archived at https://doi.org/10.5281/zenodo.23131432. Each run is reproducible on its own from its seed code (Appendix A). Every figure, including the analytic Figures 1 and 3, is generated by scripts in that repository (figures_theory.py and analyze_study.py). The engine reproduces exactly the update rules of the open-source MyUncle framework (https://github.com/sandlerleon/MyUncle, https://doi.org/10.5281/zenodo.21223569) used for earlier versions. This manuscript is archived as a preprint at https://doi.org/10.5281/zenodo.21210708. No experimental data were used.</w:t>
      </w:r>
    </w:p>
    <w:p>
      <w:pPr>
        <w:pStyle w:val="Heading1"/>
      </w:pPr>
      <w:r>
        <w:rPr>
          <w:rFonts w:ascii="Times New Roman" w:hAnsi="Times New Roman" w:eastAsia="Times New Roman"/>
          <w:b w:val="0"/>
          <w:i w:val="0"/>
        </w:rPr>
        <w:t>Appendix A. Monte Carlo protocol and error analysis</w:t>
      </w:r>
    </w:p>
    <w:p>
      <w:pPr>
        <w:jc w:val="both"/>
      </w:pPr>
      <w:r>
        <w:rPr>
          <w:rFonts w:ascii="Times New Roman" w:hAnsi="Times New Roman" w:eastAsia="Times New Roman"/>
          <w:b/>
          <w:i w:val="0"/>
        </w:rPr>
        <w:t>A.1 Engine and verification.</w:t>
      </w:r>
      <w:r>
        <w:rPr>
          <w:rFonts w:ascii="Times New Roman" w:hAnsi="Times New Roman" w:eastAsia="Times New Roman"/>
          <w:b w:val="0"/>
          <w:i w:val="0"/>
        </w:rPr>
        <w:t xml:space="preserve"> One step consists of two checkerboard Metropolis sweeps of the rotors at fixed integrity, with proposals uniform on (−π, π], followed by one synchronous site update: each intact site is diluted with probability λ</w:t>
      </w:r>
      <w:r>
        <w:rPr>
          <w:rFonts w:ascii="Times New Roman" w:hAnsi="Times New Roman" w:eastAsia="Times New Roman"/>
          <w:b w:val="0"/>
          <w:i w:val="0"/>
          <w:vertAlign w:val="subscript"/>
        </w:rPr>
        <w:t>i</w:t>
      </w:r>
      <w:r>
        <w:rPr>
          <w:rFonts w:ascii="Times New Roman" w:hAnsi="Times New Roman" w:eastAsia="Times New Roman"/>
          <w:b w:val="0"/>
          <w:i w:val="0"/>
        </w:rPr>
        <w:t>, then each diluted site is repaired with probability R and its rotor reset to θ = 0. One step is the unit of time throughout. The engine restates the update rules of the MyUncle framework used for earlier versions of this work and, before any result was computed, passed the checks of its test suite: it reproduces MyUncle trajectories bit for bit for the same seed at two parameter sets; at β = 0 the intact fraction relaxes to the discrete two-state fixed point R/(λ</w:t>
      </w:r>
      <w:r>
        <w:rPr>
          <w:rFonts w:ascii="Times New Roman" w:hAnsi="Times New Roman" w:eastAsia="Times New Roman"/>
          <w:b w:val="0"/>
          <w:i w:val="0"/>
          <w:vertAlign w:val="subscript"/>
        </w:rPr>
        <w:t>0</w:t>
      </w:r>
      <w:r>
        <w:rPr>
          <w:rFonts w:ascii="Times New Roman" w:hAnsi="Times New Roman" w:eastAsia="Times New Roman"/>
          <w:b w:val="0"/>
          <w:i w:val="0"/>
        </w:rPr>
        <w:t xml:space="preserve"> + R − λ</w:t>
      </w:r>
      <w:r>
        <w:rPr>
          <w:rFonts w:ascii="Times New Roman" w:hAnsi="Times New Roman" w:eastAsia="Times New Roman"/>
          <w:b w:val="0"/>
          <w:i w:val="0"/>
          <w:vertAlign w:val="subscript"/>
        </w:rPr>
        <w:t>0</w:t>
      </w:r>
      <w:r>
        <w:rPr>
          <w:rFonts w:ascii="Times New Roman" w:hAnsi="Times New Roman" w:eastAsia="Times New Roman"/>
          <w:b w:val="0"/>
          <w:i w:val="0"/>
        </w:rPr>
        <w:t>R) (0.7606 measured against 0.7614 exact, and 0.7500 for the continuous-time value); R = 0 never repairs and λ</w:t>
      </w:r>
      <w:r>
        <w:rPr>
          <w:rFonts w:ascii="Times New Roman" w:hAnsi="Times New Roman" w:eastAsia="Times New Roman"/>
          <w:b w:val="0"/>
          <w:i w:val="0"/>
          <w:vertAlign w:val="subscript"/>
        </w:rPr>
        <w:t>0</w:t>
      </w:r>
      <w:r>
        <w:rPr>
          <w:rFonts w:ascii="Times New Roman" w:hAnsi="Times New Roman" w:eastAsia="Times New Roman"/>
          <w:b w:val="0"/>
          <w:i w:val="0"/>
        </w:rPr>
        <w:t xml:space="preserve"> = 0 never kills; the helicity modulus of the ordered undiluted lattice equals 1; and the block and global sensing options of Section 4.4 average exactly the intended sites.</w:t>
      </w:r>
    </w:p>
    <w:p>
      <w:pPr>
        <w:jc w:val="both"/>
      </w:pPr>
      <w:r>
        <w:rPr>
          <w:rFonts w:ascii="Times New Roman" w:hAnsi="Times New Roman" w:eastAsia="Times New Roman"/>
          <w:b/>
          <w:i w:val="0"/>
        </w:rPr>
        <w:t>A.2 Seeding and error estimates.</w:t>
      </w:r>
      <w:r>
        <w:rPr>
          <w:rFonts w:ascii="Times New Roman" w:hAnsi="Times New Roman" w:eastAsia="Times New Roman"/>
          <w:b w:val="0"/>
          <w:i w:val="0"/>
        </w:rPr>
        <w:t xml:space="preserve"> Every run is seeded from a NumPy SeedSequence of a master seed (20261003) and a code naming its study, parameter set, size, control value, replicate and initial state, so runs are statistically independent and each can be repeated alone. Interval estimates are 95% percentile intervals from 2000 bootstrap resamples over independent runs or disorder realizations [31], so that variation between runs, not correlation within a run, sets the error.</w:t>
      </w:r>
    </w:p>
    <w:p>
      <w:pPr>
        <w:jc w:val="both"/>
      </w:pPr>
      <w:r>
        <w:rPr>
          <w:rFonts w:ascii="Times New Roman" w:hAnsi="Times New Roman" w:eastAsia="Times New Roman"/>
          <w:b/>
          <w:i w:val="0"/>
        </w:rPr>
        <w:t>A.3 Equilibration and autocorrelation.</w:t>
      </w:r>
      <w:r>
        <w:rPr>
          <w:rFonts w:ascii="Times New Roman" w:hAnsi="Times New Roman" w:eastAsia="Times New Roman"/>
          <w:b w:val="0"/>
          <w:i w:val="0"/>
        </w:rPr>
        <w:t xml:space="preserve"> Integrated autocorrelation times are estimated with the automatic window W ≥ 6τ</w:t>
      </w:r>
      <w:r>
        <w:rPr>
          <w:rFonts w:ascii="Times New Roman" w:hAnsi="Times New Roman" w:eastAsia="Times New Roman"/>
          <w:b w:val="0"/>
          <w:i w:val="0"/>
          <w:vertAlign w:val="subscript"/>
        </w:rPr>
        <w:t>int</w:t>
      </w:r>
      <w:r>
        <w:rPr>
          <w:rFonts w:ascii="Times New Roman" w:hAnsi="Times New Roman" w:eastAsia="Times New Roman"/>
          <w:b w:val="0"/>
          <w:i w:val="0"/>
        </w:rPr>
        <w:t xml:space="preserve"> [32]. In the stationary coupled lattice τ</w:t>
      </w:r>
      <w:r>
        <w:rPr>
          <w:rFonts w:ascii="Times New Roman" w:hAnsi="Times New Roman" w:eastAsia="Times New Roman"/>
          <w:b w:val="0"/>
          <w:i w:val="0"/>
          <w:vertAlign w:val="subscript"/>
        </w:rPr>
        <w:t>int</w:t>
      </w:r>
      <w:r>
        <w:rPr>
          <w:rFonts w:ascii="Times New Roman" w:hAnsi="Times New Roman" w:eastAsia="Times New Roman"/>
          <w:b w:val="0"/>
          <w:i w:val="0"/>
        </w:rPr>
        <w:t>(U</w:t>
      </w:r>
      <w:r>
        <w:rPr>
          <w:rFonts w:ascii="Times New Roman" w:hAnsi="Times New Roman" w:eastAsia="Times New Roman"/>
          <w:b w:val="0"/>
          <w:i w:val="0"/>
          <w:vertAlign w:val="subscript"/>
        </w:rPr>
        <w:t>χ</w:t>
      </w:r>
      <w:r>
        <w:rPr>
          <w:rFonts w:ascii="Times New Roman" w:hAnsi="Times New Roman" w:eastAsia="Times New Roman"/>
          <w:b w:val="0"/>
          <w:i w:val="0"/>
        </w:rPr>
        <w:t>) = 6–11 steps and τ</w:t>
      </w:r>
      <w:r>
        <w:rPr>
          <w:rFonts w:ascii="Times New Roman" w:hAnsi="Times New Roman" w:eastAsia="Times New Roman"/>
          <w:b w:val="0"/>
          <w:i w:val="0"/>
          <w:vertAlign w:val="subscript"/>
        </w:rPr>
        <w:t>int</w:t>
      </w:r>
      <w:r>
        <w:rPr>
          <w:rFonts w:ascii="Times New Roman" w:hAnsi="Times New Roman" w:eastAsia="Times New Roman"/>
          <w:b w:val="0"/>
          <w:i w:val="0"/>
        </w:rPr>
        <w:t xml:space="preserve"> of the intact fraction 9–16 steps for L = 16–64 and ρ = 4.5–8 (Figure A1A, B), with no growth with L. The 2000-step discard of the stationary runs is therefore more than 150τ</w:t>
      </w:r>
      <w:r>
        <w:rPr>
          <w:rFonts w:ascii="Times New Roman" w:hAnsi="Times New Roman" w:eastAsia="Times New Roman"/>
          <w:b w:val="0"/>
          <w:i w:val="0"/>
          <w:vertAlign w:val="subscript"/>
        </w:rPr>
        <w:t>int</w:t>
      </w:r>
      <w:r>
        <w:rPr>
          <w:rFonts w:ascii="Times New Roman" w:hAnsi="Times New Roman" w:eastAsia="Times New Roman"/>
          <w:b w:val="0"/>
          <w:i w:val="0"/>
        </w:rPr>
        <w:t>, and the second-half averages of the 3000-step two-start runs begin after 1500 steps, more than 100τ</w:t>
      </w:r>
      <w:r>
        <w:rPr>
          <w:rFonts w:ascii="Times New Roman" w:hAnsi="Times New Roman" w:eastAsia="Times New Roman"/>
          <w:b w:val="0"/>
          <w:i w:val="0"/>
          <w:vertAlign w:val="subscript"/>
        </w:rPr>
        <w:t>int</w:t>
      </w:r>
      <w:r>
        <w:rPr>
          <w:rFonts w:ascii="Times New Roman" w:hAnsi="Times New Roman" w:eastAsia="Times New Roman"/>
          <w:b w:val="0"/>
          <w:i w:val="0"/>
        </w:rPr>
        <w:t>. In the quenched runs of Section 5, 2000 equilibration sweeps precede 4000 measurement sweeps; the longest τ</w:t>
      </w:r>
      <w:r>
        <w:rPr>
          <w:rFonts w:ascii="Times New Roman" w:hAnsi="Times New Roman" w:eastAsia="Times New Roman"/>
          <w:b w:val="0"/>
          <w:i w:val="0"/>
          <w:vertAlign w:val="subscript"/>
        </w:rPr>
        <w:t>int</w:t>
      </w:r>
      <w:r>
        <w:rPr>
          <w:rFonts w:ascii="Times New Roman" w:hAnsi="Times New Roman" w:eastAsia="Times New Roman"/>
          <w:b w:val="0"/>
          <w:i w:val="0"/>
        </w:rPr>
        <w:t xml:space="preserve"> of Υ at any size and dilution is 69 sweeps, so each realization contributes at least 29 effectively independent samples, and the error of each point is in any case taken from the spread over the eight disorder realizations.</w:t>
      </w:r>
    </w:p>
    <w:p>
      <w:pPr>
        <w:jc w:val="both"/>
      </w:pPr>
      <w:r>
        <w:rPr>
          <w:rFonts w:ascii="Times New Roman" w:hAnsi="Times New Roman" w:eastAsia="Times New Roman"/>
          <w:b/>
          <w:i w:val="0"/>
        </w:rPr>
        <w:t>A.4 Run table.</w:t>
      </w:r>
      <w:r>
        <w:rPr>
          <w:rFonts w:ascii="Times New Roman" w:hAnsi="Times New Roman" w:eastAsia="Times New Roman"/>
          <w:b w:val="0"/>
          <w:i w:val="0"/>
        </w:rPr>
        <w:t xml:space="preserve"> Table A1 lists every study.</w:t>
      </w:r>
    </w:p>
    <w:p>
      <w:pPr>
        <w:keepNext/>
        <w:spacing w:line="276" w:lineRule="auto"/>
      </w:pPr>
      <w:r>
        <w:rPr>
          <w:rFonts w:ascii="Times New Roman" w:hAnsi="Times New Roman" w:eastAsia="Times New Roman"/>
          <w:b/>
          <w:i w:val="0"/>
          <w:sz w:val="20"/>
        </w:rPr>
        <w:t>Table A1.</w:t>
      </w:r>
      <w:r>
        <w:rPr>
          <w:rFonts w:ascii="Times New Roman" w:hAnsi="Times New Roman" w:eastAsia="Times New Roman"/>
          <w:b w:val="0"/>
          <w:i w:val="0"/>
          <w:sz w:val="20"/>
        </w:rPr>
        <w:t xml:space="preserve"> Monte Carlo runs. Times are in steps (coupled lattice) or sweeps (quenched lattice); “runs” are independent replicates per parameter combination.</w:t>
      </w:r>
    </w:p>
    <w:tbl>
      <w:tblPr>
        <w:tblStyle w:val="TableGrid"/>
        <w:tblW w:type="auto" w:w="0"/>
        <w:tblLayout w:type="fixed"/>
        <w:tblLook w:firstColumn="1" w:firstRow="1" w:lastColumn="0" w:lastRow="0" w:noHBand="0" w:noVBand="1" w:val="04A0"/>
      </w:tblPr>
      <w:tblGrid>
        <w:gridCol w:w="1800"/>
        <w:gridCol w:w="1728"/>
        <w:gridCol w:w="2736"/>
        <w:gridCol w:w="1080"/>
        <w:gridCol w:w="2304"/>
      </w:tblGrid>
      <w:tr>
        <w:tc>
          <w:tcPr>
            <w:tcW w:type="dxa" w:w="1800"/>
            <w:shd w:val="clear" w:color="auto" w:fill="E7ECF1"/>
          </w:tcPr>
          <w:p>
            <w:pPr>
              <w:spacing w:line="240" w:lineRule="auto" w:after="20"/>
            </w:pPr>
            <w:r/>
            <w:r>
              <w:rPr>
                <w:rFonts w:ascii="Times New Roman" w:hAnsi="Times New Roman" w:eastAsia="Times New Roman"/>
                <w:b/>
                <w:i w:val="0"/>
                <w:sz w:val="18"/>
              </w:rPr>
              <w:t>Study (section)</w:t>
            </w:r>
          </w:p>
        </w:tc>
        <w:tc>
          <w:tcPr>
            <w:tcW w:type="dxa" w:w="1728"/>
            <w:shd w:val="clear" w:color="auto" w:fill="E7ECF1"/>
          </w:tcPr>
          <w:p>
            <w:pPr>
              <w:spacing w:line="240" w:lineRule="auto" w:after="20"/>
            </w:pPr>
            <w:r/>
            <w:r>
              <w:rPr>
                <w:rFonts w:ascii="Times New Roman" w:hAnsi="Times New Roman" w:eastAsia="Times New Roman"/>
                <w:b/>
                <w:i w:val="0"/>
                <w:sz w:val="18"/>
              </w:rPr>
              <w:t>Sizes L</w:t>
            </w:r>
          </w:p>
        </w:tc>
        <w:tc>
          <w:tcPr>
            <w:tcW w:type="dxa" w:w="2736"/>
            <w:shd w:val="clear" w:color="auto" w:fill="E7ECF1"/>
          </w:tcPr>
          <w:p>
            <w:pPr>
              <w:spacing w:line="240" w:lineRule="auto" w:after="20"/>
            </w:pPr>
            <w:r/>
            <w:r>
              <w:rPr>
                <w:rFonts w:ascii="Times New Roman" w:hAnsi="Times New Roman" w:eastAsia="Times New Roman"/>
                <w:b/>
                <w:i w:val="0"/>
                <w:sz w:val="18"/>
              </w:rPr>
              <w:t>Control values</w:t>
            </w:r>
          </w:p>
        </w:tc>
        <w:tc>
          <w:tcPr>
            <w:tcW w:type="dxa" w:w="1080"/>
            <w:shd w:val="clear" w:color="auto" w:fill="E7ECF1"/>
          </w:tcPr>
          <w:p>
            <w:pPr>
              <w:spacing w:line="240" w:lineRule="auto" w:after="20"/>
            </w:pPr>
            <w:r/>
            <w:r>
              <w:rPr>
                <w:rFonts w:ascii="Times New Roman" w:hAnsi="Times New Roman" w:eastAsia="Times New Roman"/>
                <w:b/>
                <w:i w:val="0"/>
                <w:sz w:val="18"/>
              </w:rPr>
              <w:t>Runs</w:t>
            </w:r>
          </w:p>
        </w:tc>
        <w:tc>
          <w:tcPr>
            <w:tcW w:type="dxa" w:w="2304"/>
            <w:shd w:val="clear" w:color="auto" w:fill="E7ECF1"/>
          </w:tcPr>
          <w:p>
            <w:pPr>
              <w:spacing w:line="240" w:lineRule="auto" w:after="20"/>
            </w:pPr>
            <w:r/>
            <w:r>
              <w:rPr>
                <w:rFonts w:ascii="Times New Roman" w:hAnsi="Times New Roman" w:eastAsia="Times New Roman"/>
                <w:b/>
                <w:i w:val="0"/>
                <w:sz w:val="18"/>
              </w:rPr>
              <w:t>Length; discard; sampling</w:t>
            </w:r>
          </w:p>
        </w:tc>
      </w:tr>
      <w:tr>
        <w:tc>
          <w:tcPr>
            <w:tcW w:type="dxa" w:w="1800"/>
          </w:tcPr>
          <w:p>
            <w:pPr>
              <w:spacing w:line="240" w:lineRule="auto" w:after="20"/>
            </w:pPr>
            <w:r/>
            <w:r>
              <w:rPr>
                <w:rFonts w:ascii="Times New Roman" w:hAnsi="Times New Roman" w:eastAsia="Times New Roman"/>
                <w:b w:val="0"/>
                <w:i w:val="0"/>
                <w:sz w:val="18"/>
              </w:rPr>
              <w:t>Sweep rate (4.3)</w:t>
            </w:r>
          </w:p>
        </w:tc>
        <w:tc>
          <w:tcPr>
            <w:tcW w:type="dxa" w:w="1728"/>
          </w:tcPr>
          <w:p>
            <w:pPr>
              <w:spacing w:line="240" w:lineRule="auto" w:after="20"/>
            </w:pPr>
            <w:r/>
            <w:r>
              <w:rPr>
                <w:rFonts w:ascii="Times New Roman" w:hAnsi="Times New Roman" w:eastAsia="Times New Roman"/>
                <w:b w:val="0"/>
                <w:i w:val="0"/>
                <w:sz w:val="18"/>
              </w:rPr>
              <w:t>16, 24, 32, 48, 64; colder variant 24, 48</w:t>
            </w:r>
          </w:p>
        </w:tc>
        <w:tc>
          <w:tcPr>
            <w:tcW w:type="dxa" w:w="2736"/>
          </w:tcPr>
          <w:p>
            <w:pPr>
              <w:spacing w:line="240" w:lineRule="auto" w:after="20"/>
            </w:pPr>
            <w:r/>
            <w:r>
              <w:rPr>
                <w:rFonts w:ascii="Times New Roman" w:hAnsi="Times New Roman" w:eastAsia="Times New Roman"/>
                <w:b w:val="0"/>
                <w:i w:val="0"/>
                <w:sz w:val="18"/>
              </w:rPr>
              <w:t>ρ = 16 → 1 → 16, 31 values; dwell τ = 1–256 (9 values)</w:t>
            </w:r>
          </w:p>
        </w:tc>
        <w:tc>
          <w:tcPr>
            <w:tcW w:type="dxa" w:w="1080"/>
          </w:tcPr>
          <w:p>
            <w:pPr>
              <w:spacing w:line="240" w:lineRule="auto" w:after="20"/>
            </w:pPr>
            <w:r/>
            <w:r>
              <w:rPr>
                <w:rFonts w:ascii="Times New Roman" w:hAnsi="Times New Roman" w:eastAsia="Times New Roman"/>
                <w:b w:val="0"/>
                <w:i w:val="0"/>
                <w:sz w:val="18"/>
              </w:rPr>
              <w:t>8</w:t>
            </w:r>
          </w:p>
        </w:tc>
        <w:tc>
          <w:tcPr>
            <w:tcW w:type="dxa" w:w="2304"/>
          </w:tcPr>
          <w:p>
            <w:pPr>
              <w:spacing w:line="240" w:lineRule="auto" w:after="20"/>
            </w:pPr>
            <w:r/>
            <w:r>
              <w:rPr>
                <w:rFonts w:ascii="Times New Roman" w:hAnsi="Times New Roman" w:eastAsia="Times New Roman"/>
                <w:b w:val="0"/>
                <w:i w:val="0"/>
                <w:sz w:val="18"/>
              </w:rPr>
              <w:t>200-step settle at ρ = 16, then 62τ; U</w:t>
            </w:r>
            <w:r>
              <w:rPr>
                <w:rFonts w:ascii="Times New Roman" w:hAnsi="Times New Roman" w:eastAsia="Times New Roman"/>
                <w:b w:val="0"/>
                <w:i w:val="0"/>
                <w:sz w:val="18"/>
                <w:vertAlign w:val="subscript"/>
              </w:rPr>
              <w:t>χ</w:t>
            </w:r>
            <w:r>
              <w:rPr>
                <w:rFonts w:ascii="Times New Roman" w:hAnsi="Times New Roman" w:eastAsia="Times New Roman"/>
                <w:b w:val="0"/>
                <w:i w:val="0"/>
                <w:sz w:val="18"/>
              </w:rPr>
              <w:t xml:space="preserve"> at the end of each dwell</w:t>
            </w:r>
          </w:p>
        </w:tc>
      </w:tr>
      <w:tr>
        <w:tc>
          <w:tcPr>
            <w:tcW w:type="dxa" w:w="1800"/>
          </w:tcPr>
          <w:p>
            <w:pPr>
              <w:spacing w:line="240" w:lineRule="auto" w:after="20"/>
            </w:pPr>
            <w:r/>
            <w:r>
              <w:rPr>
                <w:rFonts w:ascii="Times New Roman" w:hAnsi="Times New Roman" w:eastAsia="Times New Roman"/>
                <w:b w:val="0"/>
                <w:i w:val="0"/>
                <w:sz w:val="18"/>
              </w:rPr>
              <w:t>Two starts (4.3)</w:t>
            </w:r>
          </w:p>
        </w:tc>
        <w:tc>
          <w:tcPr>
            <w:tcW w:type="dxa" w:w="1728"/>
          </w:tcPr>
          <w:p>
            <w:pPr>
              <w:spacing w:line="240" w:lineRule="auto" w:after="20"/>
            </w:pPr>
            <w:r/>
            <w:r>
              <w:rPr>
                <w:rFonts w:ascii="Times New Roman" w:hAnsi="Times New Roman" w:eastAsia="Times New Roman"/>
                <w:b w:val="0"/>
                <w:i w:val="0"/>
                <w:sz w:val="18"/>
              </w:rPr>
              <w:t>16, 24, 32, 48, 64</w:t>
            </w:r>
          </w:p>
        </w:tc>
        <w:tc>
          <w:tcPr>
            <w:tcW w:type="dxa" w:w="2736"/>
          </w:tcPr>
          <w:p>
            <w:pPr>
              <w:spacing w:line="240" w:lineRule="auto" w:after="20"/>
            </w:pPr>
            <w:r/>
            <w:r>
              <w:rPr>
                <w:rFonts w:ascii="Times New Roman" w:hAnsi="Times New Roman" w:eastAsia="Times New Roman"/>
                <w:b w:val="0"/>
                <w:i w:val="0"/>
                <w:sz w:val="18"/>
              </w:rPr>
              <w:t>ρ = 4.5, 6, 8, 10; both parameter sets</w:t>
            </w:r>
          </w:p>
        </w:tc>
        <w:tc>
          <w:tcPr>
            <w:tcW w:type="dxa" w:w="1080"/>
          </w:tcPr>
          <w:p>
            <w:pPr>
              <w:spacing w:line="240" w:lineRule="auto" w:after="20"/>
            </w:pPr>
            <w:r/>
            <w:r>
              <w:rPr>
                <w:rFonts w:ascii="Times New Roman" w:hAnsi="Times New Roman" w:eastAsia="Times New Roman"/>
                <w:b w:val="0"/>
                <w:i w:val="0"/>
                <w:sz w:val="18"/>
              </w:rPr>
              <w:t>8 per start</w:t>
            </w:r>
          </w:p>
        </w:tc>
        <w:tc>
          <w:tcPr>
            <w:tcW w:type="dxa" w:w="2304"/>
          </w:tcPr>
          <w:p>
            <w:pPr>
              <w:spacing w:line="240" w:lineRule="auto" w:after="20"/>
            </w:pPr>
            <w:r/>
            <w:r>
              <w:rPr>
                <w:rFonts w:ascii="Times New Roman" w:hAnsi="Times New Roman" w:eastAsia="Times New Roman"/>
                <w:b w:val="0"/>
                <w:i w:val="0"/>
                <w:sz w:val="18"/>
              </w:rPr>
              <w:t>3000; first half; every 5</w:t>
            </w:r>
          </w:p>
        </w:tc>
      </w:tr>
      <w:tr>
        <w:tc>
          <w:tcPr>
            <w:tcW w:type="dxa" w:w="1800"/>
          </w:tcPr>
          <w:p>
            <w:pPr>
              <w:spacing w:line="240" w:lineRule="auto" w:after="20"/>
            </w:pPr>
            <w:r/>
            <w:r>
              <w:rPr>
                <w:rFonts w:ascii="Times New Roman" w:hAnsi="Times New Roman" w:eastAsia="Times New Roman"/>
                <w:b w:val="0"/>
                <w:i w:val="0"/>
                <w:sz w:val="18"/>
              </w:rPr>
              <w:t>Stationary (4.3, A.3)</w:t>
            </w:r>
          </w:p>
        </w:tc>
        <w:tc>
          <w:tcPr>
            <w:tcW w:type="dxa" w:w="1728"/>
          </w:tcPr>
          <w:p>
            <w:pPr>
              <w:spacing w:line="240" w:lineRule="auto" w:after="20"/>
            </w:pPr>
            <w:r/>
            <w:r>
              <w:rPr>
                <w:rFonts w:ascii="Times New Roman" w:hAnsi="Times New Roman" w:eastAsia="Times New Roman"/>
                <w:b w:val="0"/>
                <w:i w:val="0"/>
                <w:sz w:val="18"/>
              </w:rPr>
              <w:t>16, 32, 64</w:t>
            </w:r>
          </w:p>
        </w:tc>
        <w:tc>
          <w:tcPr>
            <w:tcW w:type="dxa" w:w="2736"/>
          </w:tcPr>
          <w:p>
            <w:pPr>
              <w:spacing w:line="240" w:lineRule="auto" w:after="20"/>
            </w:pPr>
            <w:r/>
            <w:r>
              <w:rPr>
                <w:rFonts w:ascii="Times New Roman" w:hAnsi="Times New Roman" w:eastAsia="Times New Roman"/>
                <w:b w:val="0"/>
                <w:i w:val="0"/>
                <w:sz w:val="18"/>
              </w:rPr>
              <w:t>ρ = 4.5, 6, 8</w:t>
            </w:r>
          </w:p>
        </w:tc>
        <w:tc>
          <w:tcPr>
            <w:tcW w:type="dxa" w:w="1080"/>
          </w:tcPr>
          <w:p>
            <w:pPr>
              <w:spacing w:line="240" w:lineRule="auto" w:after="20"/>
            </w:pPr>
            <w:r/>
            <w:r>
              <w:rPr>
                <w:rFonts w:ascii="Times New Roman" w:hAnsi="Times New Roman" w:eastAsia="Times New Roman"/>
                <w:b w:val="0"/>
                <w:i w:val="0"/>
                <w:sz w:val="18"/>
              </w:rPr>
              <w:t>4</w:t>
            </w:r>
          </w:p>
        </w:tc>
        <w:tc>
          <w:tcPr>
            <w:tcW w:type="dxa" w:w="2304"/>
          </w:tcPr>
          <w:p>
            <w:pPr>
              <w:spacing w:line="240" w:lineRule="auto" w:after="20"/>
            </w:pPr>
            <w:r/>
            <w:r>
              <w:rPr>
                <w:rFonts w:ascii="Times New Roman" w:hAnsi="Times New Roman" w:eastAsia="Times New Roman"/>
                <w:b w:val="0"/>
                <w:i w:val="0"/>
                <w:sz w:val="18"/>
              </w:rPr>
              <w:t>12 000; 2000; every step</w:t>
            </w:r>
          </w:p>
        </w:tc>
      </w:tr>
      <w:tr>
        <w:tc>
          <w:tcPr>
            <w:tcW w:type="dxa" w:w="1800"/>
          </w:tcPr>
          <w:p>
            <w:pPr>
              <w:spacing w:line="240" w:lineRule="auto" w:after="20"/>
            </w:pPr>
            <w:r/>
            <w:r>
              <w:rPr>
                <w:rFonts w:ascii="Times New Roman" w:hAnsi="Times New Roman" w:eastAsia="Times New Roman"/>
                <w:b w:val="0"/>
                <w:i w:val="0"/>
                <w:sz w:val="18"/>
              </w:rPr>
              <w:t>Closure (4.4)</w:t>
            </w:r>
          </w:p>
        </w:tc>
        <w:tc>
          <w:tcPr>
            <w:tcW w:type="dxa" w:w="1728"/>
          </w:tcPr>
          <w:p>
            <w:pPr>
              <w:spacing w:line="240" w:lineRule="auto" w:after="20"/>
            </w:pPr>
            <w:r/>
            <w:r>
              <w:rPr>
                <w:rFonts w:ascii="Times New Roman" w:hAnsi="Times New Roman" w:eastAsia="Times New Roman"/>
                <w:b w:val="0"/>
                <w:i w:val="0"/>
                <w:sz w:val="18"/>
              </w:rPr>
              <w:t>64</w:t>
            </w:r>
          </w:p>
        </w:tc>
        <w:tc>
          <w:tcPr>
            <w:tcW w:type="dxa" w:w="2736"/>
          </w:tcPr>
          <w:p>
            <w:pPr>
              <w:spacing w:line="240" w:lineRule="auto" w:after="20"/>
            </w:pPr>
            <w:r/>
            <w:r>
              <w:rPr>
                <w:rFonts w:ascii="Times New Roman" w:hAnsi="Times New Roman" w:eastAsia="Times New Roman"/>
                <w:b w:val="0"/>
                <w:i w:val="0"/>
                <w:sz w:val="18"/>
              </w:rPr>
              <w:t>ρ = 1–16 (10 values); both parameter sets and starts</w:t>
            </w:r>
          </w:p>
        </w:tc>
        <w:tc>
          <w:tcPr>
            <w:tcW w:type="dxa" w:w="1080"/>
          </w:tcPr>
          <w:p>
            <w:pPr>
              <w:spacing w:line="240" w:lineRule="auto" w:after="20"/>
            </w:pPr>
            <w:r/>
            <w:r>
              <w:rPr>
                <w:rFonts w:ascii="Times New Roman" w:hAnsi="Times New Roman" w:eastAsia="Times New Roman"/>
                <w:b w:val="0"/>
                <w:i w:val="0"/>
                <w:sz w:val="18"/>
              </w:rPr>
              <w:t>4</w:t>
            </w:r>
          </w:p>
        </w:tc>
        <w:tc>
          <w:tcPr>
            <w:tcW w:type="dxa" w:w="2304"/>
          </w:tcPr>
          <w:p>
            <w:pPr>
              <w:spacing w:line="240" w:lineRule="auto" w:after="20"/>
            </w:pPr>
            <w:r/>
            <w:r>
              <w:rPr>
                <w:rFonts w:ascii="Times New Roman" w:hAnsi="Times New Roman" w:eastAsia="Times New Roman"/>
                <w:b w:val="0"/>
                <w:i w:val="0"/>
                <w:sz w:val="18"/>
              </w:rPr>
              <w:t>800 + 1200; 800; every 4</w:t>
            </w:r>
          </w:p>
        </w:tc>
      </w:tr>
      <w:tr>
        <w:tc>
          <w:tcPr>
            <w:tcW w:type="dxa" w:w="1800"/>
          </w:tcPr>
          <w:p>
            <w:pPr>
              <w:spacing w:line="240" w:lineRule="auto" w:after="20"/>
            </w:pPr>
            <w:r/>
            <w:r>
              <w:rPr>
                <w:rFonts w:ascii="Times New Roman" w:hAnsi="Times New Roman" w:eastAsia="Times New Roman"/>
                <w:b w:val="0"/>
                <w:i w:val="0"/>
                <w:sz w:val="18"/>
              </w:rPr>
              <w:t>Sensing range (4.4)</w:t>
            </w:r>
          </w:p>
        </w:tc>
        <w:tc>
          <w:tcPr>
            <w:tcW w:type="dxa" w:w="1728"/>
          </w:tcPr>
          <w:p>
            <w:pPr>
              <w:spacing w:line="240" w:lineRule="auto" w:after="20"/>
            </w:pPr>
            <w:r/>
            <w:r>
              <w:rPr>
                <w:rFonts w:ascii="Times New Roman" w:hAnsi="Times New Roman" w:eastAsia="Times New Roman"/>
                <w:b w:val="0"/>
                <w:i w:val="0"/>
                <w:sz w:val="18"/>
              </w:rPr>
              <w:t>48</w:t>
            </w:r>
          </w:p>
        </w:tc>
        <w:tc>
          <w:tcPr>
            <w:tcW w:type="dxa" w:w="2736"/>
          </w:tcPr>
          <w:p>
            <w:pPr>
              <w:spacing w:line="240" w:lineRule="auto" w:after="20"/>
            </w:pPr>
            <w:r/>
            <w:r>
              <w:rPr>
                <w:rFonts w:ascii="Times New Roman" w:hAnsi="Times New Roman" w:eastAsia="Times New Roman"/>
                <w:b w:val="0"/>
                <w:i w:val="0"/>
                <w:sz w:val="18"/>
              </w:rPr>
              <w:t>block of 8, 24, 80 sites, global; sweeps τ = 64, 256; two starts at ρ = 3–12</w:t>
            </w:r>
          </w:p>
        </w:tc>
        <w:tc>
          <w:tcPr>
            <w:tcW w:type="dxa" w:w="1080"/>
          </w:tcPr>
          <w:p>
            <w:pPr>
              <w:spacing w:line="240" w:lineRule="auto" w:after="20"/>
            </w:pPr>
            <w:r/>
            <w:r>
              <w:rPr>
                <w:rFonts w:ascii="Times New Roman" w:hAnsi="Times New Roman" w:eastAsia="Times New Roman"/>
                <w:b w:val="0"/>
                <w:i w:val="0"/>
                <w:sz w:val="18"/>
              </w:rPr>
              <w:t>4</w:t>
            </w:r>
          </w:p>
        </w:tc>
        <w:tc>
          <w:tcPr>
            <w:tcW w:type="dxa" w:w="2304"/>
          </w:tcPr>
          <w:p>
            <w:pPr>
              <w:spacing w:line="240" w:lineRule="auto" w:after="20"/>
            </w:pPr>
            <w:r/>
            <w:r>
              <w:rPr>
                <w:rFonts w:ascii="Times New Roman" w:hAnsi="Times New Roman" w:eastAsia="Times New Roman"/>
                <w:b w:val="0"/>
                <w:i w:val="0"/>
                <w:sz w:val="18"/>
              </w:rPr>
              <w:t>sweeps as above; two starts 2000, first half, every 5</w:t>
            </w:r>
          </w:p>
        </w:tc>
      </w:tr>
      <w:tr>
        <w:tc>
          <w:tcPr>
            <w:tcW w:type="dxa" w:w="1800"/>
          </w:tcPr>
          <w:p>
            <w:pPr>
              <w:spacing w:line="240" w:lineRule="auto" w:after="20"/>
            </w:pPr>
            <w:r/>
            <w:r>
              <w:rPr>
                <w:rFonts w:ascii="Times New Roman" w:hAnsi="Times New Roman" w:eastAsia="Times New Roman"/>
                <w:b w:val="0"/>
                <w:i w:val="0"/>
                <w:sz w:val="18"/>
              </w:rPr>
              <w:t>Quenched dilution (5)</w:t>
            </w:r>
          </w:p>
        </w:tc>
        <w:tc>
          <w:tcPr>
            <w:tcW w:type="dxa" w:w="1728"/>
          </w:tcPr>
          <w:p>
            <w:pPr>
              <w:spacing w:line="240" w:lineRule="auto" w:after="20"/>
            </w:pPr>
            <w:r/>
            <w:r>
              <w:rPr>
                <w:rFonts w:ascii="Times New Roman" w:hAnsi="Times New Roman" w:eastAsia="Times New Roman"/>
                <w:b w:val="0"/>
                <w:i w:val="0"/>
                <w:sz w:val="18"/>
              </w:rPr>
              <w:t>16, 24, 32, 48, 64, 96</w:t>
            </w:r>
          </w:p>
        </w:tc>
        <w:tc>
          <w:tcPr>
            <w:tcW w:type="dxa" w:w="2736"/>
          </w:tcPr>
          <w:p>
            <w:pPr>
              <w:spacing w:line="240" w:lineRule="auto" w:after="20"/>
            </w:pPr>
            <w:r/>
            <w:r>
              <w:rPr>
                <w:rFonts w:ascii="Times New Roman" w:hAnsi="Times New Roman" w:eastAsia="Times New Roman"/>
                <w:b w:val="0"/>
                <w:i w:val="0"/>
                <w:sz w:val="18"/>
              </w:rPr>
              <w:t>f = 0.10–0.35 (8 values), T = 0.45, h</w:t>
            </w:r>
            <w:r>
              <w:rPr>
                <w:rFonts w:ascii="Times New Roman" w:hAnsi="Times New Roman" w:eastAsia="Times New Roman"/>
                <w:b w:val="0"/>
                <w:i w:val="0"/>
                <w:sz w:val="18"/>
                <w:vertAlign w:val="subscript"/>
              </w:rPr>
              <w:t>0</w:t>
            </w:r>
            <w:r>
              <w:rPr>
                <w:rFonts w:ascii="Times New Roman" w:hAnsi="Times New Roman" w:eastAsia="Times New Roman"/>
                <w:b w:val="0"/>
                <w:i w:val="0"/>
                <w:sz w:val="18"/>
              </w:rPr>
              <w:t xml:space="preserve"> = 0</w:t>
            </w:r>
          </w:p>
        </w:tc>
        <w:tc>
          <w:tcPr>
            <w:tcW w:type="dxa" w:w="1080"/>
          </w:tcPr>
          <w:p>
            <w:pPr>
              <w:spacing w:line="240" w:lineRule="auto" w:after="20"/>
            </w:pPr>
            <w:r/>
            <w:r>
              <w:rPr>
                <w:rFonts w:ascii="Times New Roman" w:hAnsi="Times New Roman" w:eastAsia="Times New Roman"/>
                <w:b w:val="0"/>
                <w:i w:val="0"/>
                <w:sz w:val="18"/>
              </w:rPr>
              <w:t>8 realizations</w:t>
            </w:r>
          </w:p>
        </w:tc>
        <w:tc>
          <w:tcPr>
            <w:tcW w:type="dxa" w:w="2304"/>
          </w:tcPr>
          <w:p>
            <w:pPr>
              <w:spacing w:line="240" w:lineRule="auto" w:after="20"/>
            </w:pPr>
            <w:r/>
            <w:r>
              <w:rPr>
                <w:rFonts w:ascii="Times New Roman" w:hAnsi="Times New Roman" w:eastAsia="Times New Roman"/>
                <w:b w:val="0"/>
                <w:i w:val="0"/>
                <w:sz w:val="18"/>
              </w:rPr>
              <w:t>2000 + 4000 sweeps; 2000; every 4</w:t>
            </w:r>
          </w:p>
        </w:tc>
      </w:tr>
    </w:tbl>
    <w:p>
      <w:pPr>
        <w:spacing w:after="40"/>
      </w:pPr>
    </w:p>
    <w:p>
      <w:pPr>
        <w:keepNext/>
        <w:spacing w:before="120"/>
        <w:jc w:val="center"/>
      </w:pPr>
      <w:r>
        <w:drawing>
          <wp:inline xmlns:a="http://schemas.openxmlformats.org/drawingml/2006/main" xmlns:pic="http://schemas.openxmlformats.org/drawingml/2006/picture">
            <wp:extent cx="5669280" cy="2142035"/>
            <wp:docPr id="8" name="Picture 8"/>
            <wp:cNvGraphicFramePr>
              <a:graphicFrameLocks noChangeAspect="1"/>
            </wp:cNvGraphicFramePr>
            <a:graphic>
              <a:graphicData uri="http://schemas.openxmlformats.org/drawingml/2006/picture">
                <pic:pic>
                  <pic:nvPicPr>
                    <pic:cNvPr id="0" name="Fig_diagnostics.png"/>
                    <pic:cNvPicPr/>
                  </pic:nvPicPr>
                  <pic:blipFill>
                    <a:blip r:embed="rId17"/>
                    <a:stretch>
                      <a:fillRect/>
                    </a:stretch>
                  </pic:blipFill>
                  <pic:spPr>
                    <a:xfrm>
                      <a:off x="0" y="0"/>
                      <a:ext cx="5669280" cy="2142035"/>
                    </a:xfrm>
                    <a:prstGeom prst="rect"/>
                  </pic:spPr>
                </pic:pic>
              </a:graphicData>
            </a:graphic>
          </wp:inline>
        </w:drawing>
      </w:r>
    </w:p>
    <w:p>
      <w:pPr>
        <w:spacing w:line="276" w:lineRule="auto" w:after="200"/>
        <w:jc w:val="both"/>
      </w:pPr>
      <w:r>
        <w:rPr>
          <w:rFonts w:ascii="Times New Roman" w:hAnsi="Times New Roman" w:eastAsia="Times New Roman"/>
          <w:b/>
          <w:i w:val="0"/>
          <w:sz w:val="20"/>
        </w:rPr>
        <w:t>Figure A1.</w:t>
      </w:r>
      <w:r>
        <w:rPr>
          <w:rFonts w:ascii="Times New Roman" w:hAnsi="Times New Roman" w:eastAsia="Times New Roman"/>
          <w:b w:val="0"/>
          <w:i w:val="0"/>
          <w:sz w:val="20"/>
        </w:rPr>
        <w:t xml:space="preserve"> Monte Carlo diagnostics. (A) Stationary autocorrelation of 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xml:space="preserve"> at L = 64 for three values of ρ, with the integrated autocorrelation time. (B) τ</w:t>
      </w:r>
      <w:r>
        <w:rPr>
          <w:rFonts w:ascii="Times New Roman" w:hAnsi="Times New Roman" w:eastAsia="Times New Roman"/>
          <w:b w:val="0"/>
          <w:i w:val="0"/>
          <w:sz w:val="20"/>
          <w:vertAlign w:val="subscript"/>
        </w:rPr>
        <w:t>int</w:t>
      </w:r>
      <w:r>
        <w:rPr>
          <w:rFonts w:ascii="Times New Roman" w:hAnsi="Times New Roman" w:eastAsia="Times New Roman"/>
          <w:b w:val="0"/>
          <w:i w:val="0"/>
          <w:sz w:val="20"/>
        </w:rPr>
        <w:t>(U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against L: no critical slowing down. (C) Time for the seed-averaged trajectories from the ordered and the collapsed start to agree within 0.02 (20-step moving average), against the number of sites, for both parameter sets and four values of ρ inside the mean-field window: it does not grow with N.</w:t>
      </w:r>
    </w:p>
    <w:p>
      <w:pPr>
        <w:keepNext/>
        <w:spacing w:before="120"/>
        <w:jc w:val="center"/>
      </w:pPr>
      <w:r>
        <w:drawing>
          <wp:inline xmlns:a="http://schemas.openxmlformats.org/drawingml/2006/main" xmlns:pic="http://schemas.openxmlformats.org/drawingml/2006/picture">
            <wp:extent cx="5669280" cy="4551428"/>
            <wp:docPr id="9" name="Picture 9"/>
            <wp:cNvGraphicFramePr>
              <a:graphicFrameLocks noChangeAspect="1"/>
            </wp:cNvGraphicFramePr>
            <a:graphic>
              <a:graphicData uri="http://schemas.openxmlformats.org/drawingml/2006/picture">
                <pic:pic>
                  <pic:nvPicPr>
                    <pic:cNvPr id="0" name="Fig_extended.png"/>
                    <pic:cNvPicPr/>
                  </pic:nvPicPr>
                  <pic:blipFill>
                    <a:blip r:embed="rId18"/>
                    <a:stretch>
                      <a:fillRect/>
                    </a:stretch>
                  </pic:blipFill>
                  <pic:spPr>
                    <a:xfrm>
                      <a:off x="0" y="0"/>
                      <a:ext cx="5669280" cy="4551428"/>
                    </a:xfrm>
                    <a:prstGeom prst="rect"/>
                  </pic:spPr>
                </pic:pic>
              </a:graphicData>
            </a:graphic>
          </wp:inline>
        </w:drawing>
      </w:r>
    </w:p>
    <w:p>
      <w:pPr>
        <w:spacing w:line="276" w:lineRule="auto" w:after="200"/>
        <w:jc w:val="both"/>
      </w:pPr>
      <w:r>
        <w:rPr>
          <w:rFonts w:ascii="Times New Roman" w:hAnsi="Times New Roman" w:eastAsia="Times New Roman"/>
          <w:b/>
          <w:i w:val="0"/>
          <w:sz w:val="20"/>
        </w:rPr>
        <w:t>Figure A2.</w:t>
      </w:r>
      <w:r>
        <w:rPr>
          <w:rFonts w:ascii="Times New Roman" w:hAnsi="Times New Roman" w:eastAsia="Times New Roman"/>
          <w:b w:val="0"/>
          <w:i w:val="0"/>
          <w:sz w:val="20"/>
        </w:rPr>
        <w:t xml:space="preserve"> Extended-range bistability in size and time (4 runs per start, 15000 steps). (A, B) Order in the second half of each run from the ordered (filled) and the collapsed (open) start, for the 80-site neighbourhood and for global sensing, at L = 32–96 (points offset for visibility). (C) Ordered starts of the 80-site case at ρ = 5.0 decay to the collapsed branch, sooner at L = 96 than at L = 32. (D) Collapsed starts at ρ = 6.5 recover. Dotted: the threshold 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xml:space="preserve"> = 0.6 used to detect a switch.</w:t>
      </w:r>
    </w:p>
    <w:p>
      <w:pPr>
        <w:pStyle w:val="Heading1"/>
      </w:pPr>
      <w:r>
        <w:rPr>
          <w:rFonts w:ascii="Times New Roman" w:hAnsi="Times New Roman" w:eastAsia="Times New Roman"/>
          <w:b w:val="0"/>
          <w:i w:val="0"/>
        </w:rPr>
        <w:t>References</w:t>
      </w:r>
    </w:p>
    <w:p>
      <w:pPr>
        <w:spacing w:line="276" w:lineRule="auto" w:after="60"/>
      </w:pPr>
      <w:r>
        <w:rPr>
          <w:rFonts w:ascii="Times New Roman" w:hAnsi="Times New Roman" w:eastAsia="Times New Roman"/>
          <w:b w:val="0"/>
          <w:i w:val="0"/>
          <w:sz w:val="20"/>
        </w:rPr>
        <w:t>[1] M.C. Cross, P.C. Hohenberg, Pattern formation outside of equilibrium, Rev. Mod. Phys. 65 (1993) 851–1112. https://doi.org/10.1103/RevModPhys.65.851</w:t>
      </w:r>
    </w:p>
    <w:p>
      <w:pPr>
        <w:spacing w:line="276" w:lineRule="auto" w:after="60"/>
      </w:pPr>
      <w:r>
        <w:rPr>
          <w:rFonts w:ascii="Times New Roman" w:hAnsi="Times New Roman" w:eastAsia="Times New Roman"/>
          <w:b w:val="0"/>
          <w:i w:val="0"/>
          <w:sz w:val="20"/>
        </w:rPr>
        <w:t>[2] M.C. Marchetti, J.F. Joanny, S. Ramaswamy, T.B. Liverpool, J. Prost, M. Rao, et al., Hydrodynamics of soft active matter, Rev. Mod. Phys. 85 (2013) 1143–1189. https://doi.org/10.1103/RevModPhys.85.1143</w:t>
      </w:r>
    </w:p>
    <w:p>
      <w:pPr>
        <w:spacing w:line="276" w:lineRule="auto" w:after="60"/>
      </w:pPr>
      <w:r>
        <w:rPr>
          <w:rFonts w:ascii="Times New Roman" w:hAnsi="Times New Roman" w:eastAsia="Times New Roman"/>
          <w:b w:val="0"/>
          <w:i w:val="0"/>
          <w:sz w:val="20"/>
        </w:rPr>
        <w:t>[3] S. Ramaswamy, The mechanics and statistics of active matter, Annu. Rev. Condens. Matter Phys. 1 (2010) 323–345. https://doi.org/10.1146/annurev-conmatphys-070909-104101</w:t>
      </w:r>
    </w:p>
    <w:p>
      <w:pPr>
        <w:spacing w:line="276" w:lineRule="auto" w:after="60"/>
      </w:pPr>
      <w:r>
        <w:rPr>
          <w:rFonts w:ascii="Times New Roman" w:hAnsi="Times New Roman" w:eastAsia="Times New Roman"/>
          <w:b w:val="0"/>
          <w:i w:val="0"/>
          <w:sz w:val="20"/>
        </w:rPr>
        <w:t>[4] F. Schl�gl, Chemical reaction models for non-equilibrium phase transitions, Z. Phys. 253 (1972) 147–161. https://doi.org/10.1007/BF01379769</w:t>
      </w:r>
    </w:p>
    <w:p>
      <w:pPr>
        <w:spacing w:line="276" w:lineRule="auto" w:after="60"/>
      </w:pPr>
      <w:r>
        <w:rPr>
          <w:rFonts w:ascii="Times New Roman" w:hAnsi="Times New Roman" w:eastAsia="Times New Roman"/>
          <w:b w:val="0"/>
          <w:i w:val="0"/>
          <w:sz w:val="20"/>
        </w:rPr>
        <w:t>[5] J.E. Ferrell, Self-perpetuating states in signal transduction: positive feedback, double-negative feedback and bistability, Curr. Opin. Cell Biol. 14 (2002) 140–148. https://doi.org/10.1016/S0955-0674(02)00314-9</w:t>
      </w:r>
    </w:p>
    <w:p>
      <w:pPr>
        <w:spacing w:line="276" w:lineRule="auto" w:after="60"/>
      </w:pPr>
      <w:r>
        <w:rPr>
          <w:rFonts w:ascii="Times New Roman" w:hAnsi="Times New Roman" w:eastAsia="Times New Roman"/>
          <w:b w:val="0"/>
          <w:i w:val="0"/>
          <w:sz w:val="20"/>
        </w:rPr>
        <w:t>[6] H. Hinrichsen, Non-equilibrium critical phenomena and phase transitions into absorbing states, Adv. Phys. 49 (2000) 815–958. https://doi.org/10.1080/00018730050198152</w:t>
      </w:r>
    </w:p>
    <w:p>
      <w:pPr>
        <w:spacing w:line="276" w:lineRule="auto" w:after="60"/>
      </w:pPr>
      <w:r>
        <w:rPr>
          <w:rFonts w:ascii="Times New Roman" w:hAnsi="Times New Roman" w:eastAsia="Times New Roman"/>
          <w:b w:val="0"/>
          <w:i w:val="0"/>
          <w:sz w:val="20"/>
        </w:rPr>
        <w:t>[7] B. Blaiszik, S. Kramer, S. Olugebefola, J. Moore, N. Sottos, S. White, Self-healing polymers and composites, Annu. Rev. Mater. Res. 40 (2010) 179–211. https://doi.org/10.1146/annurev-matsci-070909-104532</w:t>
      </w:r>
    </w:p>
    <w:p>
      <w:pPr>
        <w:spacing w:line="276" w:lineRule="auto" w:after="60"/>
      </w:pPr>
      <w:r>
        <w:rPr>
          <w:rFonts w:ascii="Times New Roman" w:hAnsi="Times New Roman" w:eastAsia="Times New Roman"/>
          <w:b w:val="0"/>
          <w:i w:val="0"/>
          <w:sz w:val="20"/>
        </w:rPr>
        <w:t>[8] W.F. Brown, Thermal fluctuations of a single-domain particle, Phys. Rev. 130 (1963) 1677–1686. https://doi.org/10.1103/PhysRev.130.1677</w:t>
      </w:r>
    </w:p>
    <w:p>
      <w:pPr>
        <w:spacing w:line="276" w:lineRule="auto" w:after="60"/>
      </w:pPr>
      <w:r>
        <w:rPr>
          <w:rFonts w:ascii="Times New Roman" w:hAnsi="Times New Roman" w:eastAsia="Times New Roman"/>
          <w:b w:val="0"/>
          <w:i w:val="0"/>
          <w:sz w:val="20"/>
        </w:rPr>
        <w:t>[9] L. Sandler, A chiral-order glycation channel for synthetic cells, companion preprint, Zenodo, 2026.</w:t>
      </w:r>
    </w:p>
    <w:p>
      <w:pPr>
        <w:spacing w:line="276" w:lineRule="auto" w:after="60"/>
      </w:pPr>
      <w:r>
        <w:rPr>
          <w:rFonts w:ascii="Times New Roman" w:hAnsi="Times New Roman" w:eastAsia="Times New Roman"/>
          <w:b w:val="0"/>
          <w:i w:val="0"/>
          <w:sz w:val="20"/>
        </w:rPr>
        <w:t>[10] T. Vicsek, A. Czirók, E. Ben-Jacob, I. Cohen, O. Shochet, Novel type of phase transition in a system of self-driven particles, Phys. Rev. Lett. 75 (1995) 1226–1229. https://doi.org/10.1103/PhysRevLett.75.1226</w:t>
      </w:r>
    </w:p>
    <w:p>
      <w:pPr>
        <w:spacing w:line="276" w:lineRule="auto" w:after="60"/>
      </w:pPr>
      <w:r>
        <w:rPr>
          <w:rFonts w:ascii="Times New Roman" w:hAnsi="Times New Roman" w:eastAsia="Times New Roman"/>
          <w:b w:val="0"/>
          <w:i w:val="0"/>
          <w:sz w:val="20"/>
        </w:rPr>
        <w:t>[11] J. Toner, Y. Tu, Long-range order in a two-dimensional dynamical XY model: how birds fly together, Phys. Rev. Lett. 75 (1995) 4326–4329. https://doi.org/10.1103/PhysRevLett.75.4326</w:t>
      </w:r>
    </w:p>
    <w:p>
      <w:pPr>
        <w:spacing w:line="276" w:lineRule="auto" w:after="60"/>
      </w:pPr>
      <w:r>
        <w:rPr>
          <w:rFonts w:ascii="Times New Roman" w:hAnsi="Times New Roman" w:eastAsia="Times New Roman"/>
          <w:b w:val="0"/>
          <w:i w:val="0"/>
          <w:sz w:val="20"/>
        </w:rPr>
        <w:t>[12] J.M. Kosterlitz, D.J. Thouless, Ordering, metastability and phase transitions in two-dimensional systems, J. Phys. C: Solid State Phys. 6 (1973) 1181–1203. https://doi.org/10.1088/0022-3719/6/7/010</w:t>
      </w:r>
    </w:p>
    <w:p>
      <w:pPr>
        <w:spacing w:line="276" w:lineRule="auto" w:after="60"/>
      </w:pPr>
      <w:r>
        <w:rPr>
          <w:rFonts w:ascii="Times New Roman" w:hAnsi="Times New Roman" w:eastAsia="Times New Roman"/>
          <w:b w:val="0"/>
          <w:i w:val="0"/>
          <w:sz w:val="20"/>
        </w:rPr>
        <w:t>[13] R. Landauer, Irreversibility and heat generation in the computing process, IBM J. Res. Dev. 5 (1961) 183–191. https://doi.org/10.1147/rd.53.0183</w:t>
      </w:r>
    </w:p>
    <w:p>
      <w:pPr>
        <w:spacing w:line="276" w:lineRule="auto" w:after="60"/>
      </w:pPr>
      <w:r>
        <w:rPr>
          <w:rFonts w:ascii="Times New Roman" w:hAnsi="Times New Roman" w:eastAsia="Times New Roman"/>
          <w:b w:val="0"/>
          <w:i w:val="0"/>
          <w:sz w:val="20"/>
        </w:rPr>
        <w:t>[14] J.M.R. Parrondo, J.M. Horowitz, T. Sagawa, Thermodynamics of information, Nat. Phys. 11 (2015) 131–139. https://doi.org/10.1038/nphys3230</w:t>
      </w:r>
    </w:p>
    <w:p>
      <w:pPr>
        <w:spacing w:line="276" w:lineRule="auto" w:after="60"/>
      </w:pPr>
      <w:r>
        <w:rPr>
          <w:rFonts w:ascii="Times New Roman" w:hAnsi="Times New Roman" w:eastAsia="Times New Roman"/>
          <w:b w:val="0"/>
          <w:i w:val="0"/>
          <w:sz w:val="20"/>
        </w:rPr>
        <w:t>[15] J.J. Hopfield, Kinetic proofreading: a new mechanism for reducing errors in biosynthetic processes requiring high specificity, Proc. Natl. Acad. Sci. USA 71 (1974) 4135–4139. https://doi.org/10.1073/pnas.71.10.4135</w:t>
      </w:r>
    </w:p>
    <w:p>
      <w:pPr>
        <w:spacing w:line="276" w:lineRule="auto" w:after="60"/>
      </w:pPr>
      <w:r>
        <w:rPr>
          <w:rFonts w:ascii="Times New Roman" w:hAnsi="Times New Roman" w:eastAsia="Times New Roman"/>
          <w:b w:val="0"/>
          <w:i w:val="0"/>
          <w:sz w:val="20"/>
        </w:rPr>
        <w:t>[16] U. Seifert, Stochastic thermodynamics, fluctuation theorems and molecular machines, Rep. Prog. Phys. 75 (2012) 126001. https://doi.org/10.1088/0034-4885/75/12/126001</w:t>
      </w:r>
    </w:p>
    <w:p>
      <w:pPr>
        <w:spacing w:line="276" w:lineRule="auto" w:after="60"/>
      </w:pPr>
      <w:r>
        <w:rPr>
          <w:rFonts w:ascii="Times New Roman" w:hAnsi="Times New Roman" w:eastAsia="Times New Roman"/>
          <w:b w:val="0"/>
          <w:i w:val="0"/>
          <w:sz w:val="20"/>
        </w:rPr>
        <w:t>[17] F.S. Gnesotto, F. Mura, J. Gladrow, C.P. Broedersz, Broken detailed balance and non-equilibrium dynamics in living systems: a review, Rep. Prog. Phys. 81 (2018) 066601. https://doi.org/10.1088/1361-6633/aab3ed</w:t>
      </w:r>
    </w:p>
    <w:p>
      <w:pPr>
        <w:spacing w:line="276" w:lineRule="auto" w:after="60"/>
      </w:pPr>
      <w:r>
        <w:rPr>
          <w:rFonts w:ascii="Times New Roman" w:hAnsi="Times New Roman" w:eastAsia="Times New Roman"/>
          <w:b w:val="0"/>
          <w:i w:val="0"/>
          <w:sz w:val="20"/>
        </w:rPr>
        <w:t>[18] T.M. Liggett, Interacting Particle Systems, Springer, New York, 1985.</w:t>
      </w:r>
    </w:p>
    <w:p>
      <w:pPr>
        <w:spacing w:line="276" w:lineRule="auto" w:after="60"/>
      </w:pPr>
      <w:r>
        <w:rPr>
          <w:rFonts w:ascii="Times New Roman" w:hAnsi="Times New Roman" w:eastAsia="Times New Roman"/>
          <w:b w:val="0"/>
          <w:i w:val="0"/>
          <w:sz w:val="20"/>
        </w:rPr>
        <w:t>[19] E.T. Jaynes, Information theory and statistical mechanics, Phys. Rev. 106 (1957) 620–630. https://doi.org/10.1103/PhysRev.106.620</w:t>
      </w:r>
    </w:p>
    <w:p>
      <w:pPr>
        <w:spacing w:line="276" w:lineRule="auto" w:after="60"/>
      </w:pPr>
      <w:r>
        <w:rPr>
          <w:rFonts w:ascii="Times New Roman" w:hAnsi="Times New Roman" w:eastAsia="Times New Roman"/>
          <w:b w:val="0"/>
          <w:i w:val="0"/>
          <w:sz w:val="20"/>
        </w:rPr>
        <w:t>[20] K.V. Mardia, P.E. Jupp, Directional Statistics, Wiley, Chichester, 2000.</w:t>
      </w:r>
    </w:p>
    <w:p>
      <w:pPr>
        <w:spacing w:line="276" w:lineRule="auto" w:after="60"/>
      </w:pPr>
      <w:r>
        <w:rPr>
          <w:rFonts w:ascii="Times New Roman" w:hAnsi="Times New Roman" w:eastAsia="Times New Roman"/>
          <w:b w:val="0"/>
          <w:i w:val="0"/>
          <w:sz w:val="20"/>
        </w:rPr>
        <w:t>[21] D.E. Amos, Computation of modified Bessel functions and their ratios, Math. Comput. 28 (1974) 239–251. https://doi.org/10.1090/S0025-5718-1974-0333287-7</w:t>
      </w:r>
    </w:p>
    <w:p>
      <w:pPr>
        <w:spacing w:line="276" w:lineRule="auto" w:after="60"/>
      </w:pPr>
      <w:r>
        <w:rPr>
          <w:rFonts w:ascii="Times New Roman" w:hAnsi="Times New Roman" w:eastAsia="Times New Roman"/>
          <w:b w:val="0"/>
          <w:i w:val="0"/>
          <w:sz w:val="20"/>
        </w:rPr>
        <w:t>[22] L. Sandler, Order–repair model: repair fidelity as a control parameter for tissue stability, software and manuscript, Zenodo, 2026. https://doi.org/10.5281/zenodo.22851970.</w:t>
      </w:r>
    </w:p>
    <w:p>
      <w:pPr>
        <w:spacing w:line="276" w:lineRule="auto" w:after="60"/>
      </w:pPr>
      <w:r>
        <w:rPr>
          <w:rFonts w:ascii="Times New Roman" w:hAnsi="Times New Roman" w:eastAsia="Times New Roman"/>
          <w:b w:val="0"/>
          <w:i w:val="0"/>
          <w:sz w:val="20"/>
        </w:rPr>
        <w:t>[23] M. Rao, H.R. Krishnamurthy, R. Pandit, Magnetic hysteresis in two model spin systems, Phys. Rev. B 42 (1990) 856–884. https://doi.org/10.1103/PhysRevB.42.856</w:t>
      </w:r>
    </w:p>
    <w:p>
      <w:pPr>
        <w:spacing w:line="276" w:lineRule="auto" w:after="60"/>
      </w:pPr>
      <w:r>
        <w:rPr>
          <w:rFonts w:ascii="Times New Roman" w:hAnsi="Times New Roman" w:eastAsia="Times New Roman"/>
          <w:b w:val="0"/>
          <w:i w:val="0"/>
          <w:sz w:val="20"/>
        </w:rPr>
        <w:t>[24] A. Bortz, M. Kalos, J. Lebowitz, A new algorithm for Monte Carlo simulation of Ising spin systems, J. Comput. Phys. 17 (1975) 10–18. https://doi.org/10.1016/0021-9991(75)90060-1</w:t>
      </w:r>
    </w:p>
    <w:p>
      <w:pPr>
        <w:spacing w:line="276" w:lineRule="auto" w:after="60"/>
      </w:pPr>
      <w:r>
        <w:rPr>
          <w:rFonts w:ascii="Times New Roman" w:hAnsi="Times New Roman" w:eastAsia="Times New Roman"/>
          <w:b w:val="0"/>
          <w:i w:val="0"/>
          <w:sz w:val="20"/>
        </w:rPr>
        <w:t>[25] R. Pfister, K.A. Schwarz, M. Janczyk, R. Dale, J.B. Freeman, Good things peak in pairs: a note on the bimodality coefficient, Front. Psychol. 4 (2013) 700. https://doi.org/10.3389/fpsyg.2013.00700</w:t>
      </w:r>
    </w:p>
    <w:p>
      <w:pPr>
        <w:spacing w:line="276" w:lineRule="auto" w:after="60"/>
      </w:pPr>
      <w:r>
        <w:rPr>
          <w:rFonts w:ascii="Times New Roman" w:hAnsi="Times New Roman" w:eastAsia="Times New Roman"/>
          <w:b w:val="0"/>
          <w:i w:val="0"/>
          <w:sz w:val="20"/>
        </w:rPr>
        <w:t>[26] D.R. Nelson, J.M. Kosterlitz, Universal jump in the superfluid density of two-dimensional superfluids, Phys. Rev. Lett. 39 (1977) 1201–1205. https://doi.org/10.1103/PhysRevLett.39.1201</w:t>
      </w:r>
    </w:p>
    <w:p>
      <w:pPr>
        <w:spacing w:line="276" w:lineRule="auto" w:after="60"/>
      </w:pPr>
      <w:r>
        <w:rPr>
          <w:rFonts w:ascii="Times New Roman" w:hAnsi="Times New Roman" w:eastAsia="Times New Roman"/>
          <w:b w:val="0"/>
          <w:i w:val="0"/>
          <w:sz w:val="20"/>
        </w:rPr>
        <w:t>[27] H. Weber, P. Minnhagen, Monte Carlo determination of the critical temperature for the two-dimensional XY model, Phys. Rev. B 37 (1988) 5986–5989. https://doi.org/10.1103/PhysRevB.37.5986</w:t>
      </w:r>
    </w:p>
    <w:p>
      <w:pPr>
        <w:spacing w:line="276" w:lineRule="auto" w:after="60"/>
      </w:pPr>
      <w:r>
        <w:rPr>
          <w:rFonts w:ascii="Times New Roman" w:hAnsi="Times New Roman" w:eastAsia="Times New Roman"/>
          <w:b w:val="0"/>
          <w:i w:val="0"/>
          <w:sz w:val="20"/>
        </w:rPr>
        <w:t>[28] D. Stauffer, A. Aharony, Introduction to Percolation Theory, second ed., Taylor &amp; Francis, London, 1994.</w:t>
      </w:r>
    </w:p>
    <w:p>
      <w:pPr>
        <w:spacing w:line="276" w:lineRule="auto" w:after="60"/>
      </w:pPr>
      <w:r>
        <w:rPr>
          <w:rFonts w:ascii="Times New Roman" w:hAnsi="Times New Roman" w:eastAsia="Times New Roman"/>
          <w:b w:val="0"/>
          <w:i w:val="0"/>
          <w:sz w:val="20"/>
        </w:rPr>
        <w:t>[29] M. Hasenbusch, The two-dimensional XY model at the transition temperature: a high-precision Monte Carlo study, J. Phys. A: Math. Gen. 38 (2005) 5869–5883. https://doi.org/10.1088/0305-4470/38/26/003</w:t>
      </w:r>
    </w:p>
    <w:p>
      <w:pPr>
        <w:spacing w:line="276" w:lineRule="auto" w:after="60"/>
      </w:pPr>
      <w:r>
        <w:rPr>
          <w:rFonts w:ascii="Times New Roman" w:hAnsi="Times New Roman" w:eastAsia="Times New Roman"/>
          <w:b w:val="0"/>
          <w:i w:val="0"/>
          <w:sz w:val="20"/>
        </w:rPr>
        <w:t>[30] J. Schnakenberg, Network theory of microscopic and macroscopic behavior of master equation systems, Rev. Mod. Phys. 48 (1976) 571–585. https://doi.org/10.1103/RevModPhys.48.571</w:t>
      </w:r>
    </w:p>
    <w:p>
      <w:pPr>
        <w:spacing w:line="276" w:lineRule="auto" w:after="60"/>
      </w:pPr>
      <w:r>
        <w:rPr>
          <w:rFonts w:ascii="Times New Roman" w:hAnsi="Times New Roman" w:eastAsia="Times New Roman"/>
          <w:b w:val="0"/>
          <w:i w:val="0"/>
          <w:sz w:val="20"/>
        </w:rPr>
        <w:t>[31] B. Efron, Bootstrap methods: another look at the jackknife, Ann. Stat. 7 (1979) 1–26. https://doi.org/10.1214/aos/1176344552</w:t>
      </w:r>
    </w:p>
    <w:p>
      <w:pPr>
        <w:spacing w:line="276" w:lineRule="auto" w:after="60"/>
      </w:pPr>
      <w:r>
        <w:rPr>
          <w:rFonts w:ascii="Times New Roman" w:hAnsi="Times New Roman" w:eastAsia="Times New Roman"/>
          <w:b w:val="0"/>
          <w:i w:val="0"/>
          <w:sz w:val="20"/>
        </w:rPr>
        <w:t>[32] N. Madras, A.D. Sokal, The pivot algorithm: a highly efficient Monte Carlo method for the self-avoiding walk, J. Stat. Phys. 50 (1988) 109–186. https://doi.org/10.1007/BF01022990</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Self-Maintained Order and Hysteretic Collapse in a Non-Equilibrium Rotational Lattice</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