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160"/>
      </w:pPr>
      <w:r>
        <w:rPr>
          <w:b/>
        </w:rPr>
        <w:t>Highlights</w:t>
      </w:r>
      <w:r>
        <w:t xml:space="preserve"> – Risk-Calibrated Sensor Fusion for Underground Utility Mapping: A Simulation-Based Decision-Support Framework for Excavation Safety</w:t>
      </w:r>
    </w:p>
    <w:p>
      <w:pPr>
        <w:pStyle w:val="ListBullet"/>
        <w:spacing w:after="60"/>
      </w:pPr>
      <w:r>
        <w:t>A decision layer fuses GPR, EM locator and a known anchor along a utility corridor.</w:t>
      </w:r>
    </w:p>
    <w:p>
      <w:pPr>
        <w:pStyle w:val="ListBullet"/>
        <w:spacing w:after="60"/>
      </w:pPr>
      <w:r>
        <w:t>Each 5 m segment is present, absent or unverified; silence is never called clear.</w:t>
      </w:r>
    </w:p>
    <w:p>
      <w:pPr>
        <w:pStyle w:val="ListBullet"/>
        <w:spacing w:after="60"/>
      </w:pPr>
      <w:r>
        <w:t>Detection, calibration, location error and unverified share are reported apart.</w:t>
      </w:r>
    </w:p>
    <w:p>
      <w:pPr>
        <w:pStyle w:val="ListBullet"/>
        <w:spacing w:after="60"/>
      </w:pPr>
      <w:r>
        <w:t>Seeded simulation tests baselines, ablations, stress cases and an excavation trial.</w:t>
      </w:r>
    </w:p>
    <w:p>
      <w:pPr>
        <w:pStyle w:val="ListBullet"/>
        <w:spacing w:after="60"/>
      </w:pPr>
      <w:r>
        <w:t>Lateral shifts, uncertain depth and GPR failure are the main failure modes.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