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160"/>
      </w:pPr>
      <w:r>
        <w:rPr>
          <w:b/>
        </w:rPr>
        <w:t>Highlights</w:t>
      </w:r>
      <w:r>
        <w:t xml:space="preserve"> – Risk-Calibrated Sensor Fusion for Underground Utility Mapping: A Simulation-Based Decision-Support Framework for Excavation Safety</w:t>
      </w:r>
    </w:p>
    <w:p>
      <w:pPr>
        <w:pStyle w:val="ListBullet"/>
        <w:spacing w:after="60"/>
      </w:pPr>
      <w:r>
        <w:t>A filter tracks utilities along and across a corridor: present, absent or unverified.</w:t>
      </w:r>
    </w:p>
    <w:p>
      <w:pPr>
        <w:pStyle w:val="ListBullet"/>
        <w:spacing w:after="60"/>
      </w:pPr>
      <w:r>
        <w:t>A sensor flagged as failed no longer counts as evidence of absence.</w:t>
      </w:r>
    </w:p>
    <w:p>
      <w:pPr>
        <w:pStyle w:val="ListBullet"/>
        <w:spacing w:after="60"/>
      </w:pPr>
      <w:r>
        <w:t>Detection, calibration, lateral error and unverified share are reported separately.</w:t>
      </w:r>
    </w:p>
    <w:p>
      <w:pPr>
        <w:pStyle w:val="ListBullet"/>
        <w:spacing w:after="60"/>
      </w:pPr>
      <w:r>
        <w:t>Six models, sixteen scenarios and unseen soils are compared with bootstrap intervals.</w:t>
      </w:r>
    </w:p>
    <w:p>
      <w:pPr>
        <w:pStyle w:val="ListBullet"/>
        <w:spacing w:after="60"/>
      </w:pPr>
      <w:r>
        <w:t>At equal released coverage the gain is small; failures and unseen soils remain risks.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