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60"/>
      </w:pPr>
      <w:r>
        <w:rPr>
          <w:b/>
        </w:rPr>
        <w:t>Highlights</w:t>
      </w:r>
      <w:r>
        <w:t xml:space="preserve"> – Change-Aware Reliability-Gated Sensor Fusion: Risk-Bounded Decisions Under Infrastructure Modifications and Model Uncertainty</w:t>
      </w:r>
    </w:p>
    <w:p>
      <w:pPr>
        <w:pStyle w:val="ListBullet"/>
        <w:spacing w:after="60"/>
      </w:pPr>
      <w:r>
        <w:t>Change-aware fusion tracks hazard states that evolve between observations.</w:t>
      </w:r>
    </w:p>
    <w:p>
      <w:pPr>
        <w:pStyle w:val="ListBullet"/>
        <w:spacing w:after="60"/>
      </w:pPr>
      <w:r>
        <w:t>Work permits are used as context, not as proof that a change is safe.</w:t>
      </w:r>
    </w:p>
    <w:p>
      <w:pPr>
        <w:pStyle w:val="ListBullet"/>
        <w:spacing w:after="60"/>
      </w:pPr>
      <w:r>
        <w:t>Suppressing permit-matched changes left many hazardous changes unflagged.</w:t>
      </w:r>
    </w:p>
    <w:p>
      <w:pPr>
        <w:pStyle w:val="ListBullet"/>
        <w:spacing w:after="60"/>
      </w:pPr>
      <w:r>
        <w:t>A reliability gate lowers risk under mismatch mainly by abstaining.</w:t>
      </w:r>
    </w:p>
    <w:p>
      <w:pPr>
        <w:pStyle w:val="ListBullet"/>
        <w:spacing w:after="60"/>
      </w:pPr>
      <w:r>
        <w:t>Benefits are tested on two infrastructure problems, in simulation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