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160"/>
      </w:pPr>
      <w:r>
        <w:rPr>
          <w:b/>
        </w:rPr>
        <w:t>Highlights</w:t>
      </w:r>
      <w:r>
        <w:t xml:space="preserve"> – Risk-Calibrated Sensor Fusion Under Model Uncertainty: A Simulation-Based Reliability Framework for Underground Utility Mapping</w:t>
      </w:r>
    </w:p>
    <w:p>
      <w:pPr>
        <w:pStyle w:val="ListBullet"/>
        <w:spacing w:after="60"/>
      </w:pPr>
      <w:r>
        <w:t>Probabilistic sensor fusion is evaluated for safety-critical utility mapping.</w:t>
      </w:r>
    </w:p>
    <w:p>
      <w:pPr>
        <w:pStyle w:val="ListBullet"/>
        <w:spacing w:after="60"/>
      </w:pPr>
      <w:r>
        <w:t>Unsafe-clearance risk is examined under sensor and model failures.</w:t>
      </w:r>
    </w:p>
    <w:p>
      <w:pPr>
        <w:pStyle w:val="ListBullet"/>
        <w:spacing w:after="60"/>
      </w:pPr>
      <w:r>
        <w:t>Structural mismatch can make complex spatial models less reliable.</w:t>
      </w:r>
    </w:p>
    <w:p>
      <w:pPr>
        <w:pStyle w:val="ListBullet"/>
        <w:spacing w:after="60"/>
      </w:pPr>
      <w:r>
        <w:t>Robust abstention cut false clearance from 18% to 0.3% under parallel utilities.</w:t>
      </w:r>
    </w:p>
    <w:p>
      <w:pPr>
        <w:pStyle w:val="ListBullet"/>
        <w:spacing w:after="60"/>
      </w:pPr>
      <w:r>
        <w:t>Abstention identifies locations requiring independent verification.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