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Supplementary Material for “Well-Posed Shear-Suppression Closures for Reduced Tokamak Transport: Admissibility, Regularization, and Physical Calibration”</w:t>
      </w:r>
    </w:p>
    <w:p>
      <w:pPr>
        <w:keepNext w:val="0"/>
      </w:pPr>
      <w:r>
        <w:t>L. Sandler. Contents: S1 Proofs; S2 Numerical protocol; S3 Extended results; S4 Reproduction and file manifest.</w:t>
      </w:r>
    </w:p>
    <w:p>
      <w:pPr>
        <w:pStyle w:val="Heading1"/>
      </w:pPr>
      <w:r>
        <w:rPr>
          <w:rFonts w:ascii="Times New Roman" w:hAnsi="Times New Roman"/>
        </w:rPr>
        <w:t>S1 Proofs</w:t>
      </w:r>
    </w:p>
    <w:p>
      <w:pPr>
        <w:keepNext w:val="0"/>
        <w:jc w:val="both"/>
      </w:pPr>
      <w:r>
        <w:rPr>
          <w:i/>
        </w:rPr>
        <w:t>Proof of Proposition 1.</w:t>
      </w:r>
      <w:r>
        <w:t xml:space="preserve"> In steady state Eq. (6) of the paper gives (1/r)∂</w:t>
      </w:r>
      <w:r>
        <w:rPr>
          <w:vertAlign w:val="subscript"/>
        </w:rPr>
        <w:t>r</w:t>
      </w:r>
      <w:r>
        <w:t>(rG) = −τ</w:t>
      </w:r>
      <w:r>
        <w:rPr>
          <w:vertAlign w:val="subscript"/>
        </w:rPr>
        <w:t>in</w:t>
      </w:r>
      <w:r>
        <w:t xml:space="preserve"> with G = μ</w:t>
      </w:r>
      <w:r>
        <w:rPr>
          <w:vertAlign w:val="subscript"/>
        </w:rPr>
        <w:t>eff</w:t>
      </w:r>
      <w:r>
        <w:t>R</w:t>
      </w:r>
      <w:r>
        <w:rPr>
          <w:vertAlign w:val="subscript"/>
        </w:rPr>
        <w:t>0</w:t>
      </w:r>
      <w:r>
        <w:t>²∂</w:t>
      </w:r>
      <w:r>
        <w:rPr>
          <w:vertAlign w:val="subscript"/>
        </w:rPr>
        <w:t>r</w:t>
      </w:r>
      <w:r>
        <w:t>Ω. Integrating from the axis, where rG vanishes by regularity, gives rG(r) = −I(r) with I = ∫</w:t>
      </w:r>
      <w:r>
        <w:rPr>
          <w:vertAlign w:val="subscript"/>
        </w:rPr>
        <w:t>0</w:t>
      </w:r>
      <w:r>
        <w:rPr>
          <w:vertAlign w:val="superscript"/>
        </w:rPr>
        <w:t>r</w:t>
      </w:r>
      <w:r>
        <w:t>τ</w:t>
      </w:r>
      <w:r>
        <w:rPr>
          <w:vertAlign w:val="subscript"/>
        </w:rPr>
        <w:t>in</w:t>
      </w:r>
      <w:r>
        <w:t>r′dr′. Hence μ</w:t>
      </w:r>
      <w:r>
        <w:rPr>
          <w:vertAlign w:val="subscript"/>
        </w:rPr>
        <w:t>0</w:t>
      </w:r>
      <w:r>
        <w:t>R</w:t>
      </w:r>
      <w:r>
        <w:rPr>
          <w:vertAlign w:val="subscript"/>
        </w:rPr>
        <w:t>0</w:t>
      </w:r>
      <w:r>
        <w:t>²F(Λ)|∂</w:t>
      </w:r>
      <w:r>
        <w:rPr>
          <w:vertAlign w:val="subscript"/>
        </w:rPr>
        <w:t>r</w:t>
      </w:r>
      <w:r>
        <w:t>Ω| = I/r. With Λ = κ|∂</w:t>
      </w:r>
      <w:r>
        <w:rPr>
          <w:vertAlign w:val="subscript"/>
        </w:rPr>
        <w:t>r</w:t>
      </w:r>
      <w:r>
        <w:t>Ω| and κ = r/(qγ</w:t>
      </w:r>
      <w:r>
        <w:rPr>
          <w:vertAlign w:val="subscript"/>
        </w:rPr>
        <w:t>0</w:t>
      </w:r>
      <w:r>
        <w:t>), |∂</w:t>
      </w:r>
      <w:r>
        <w:rPr>
          <w:vertAlign w:val="subscript"/>
        </w:rPr>
        <w:t>r</w:t>
      </w:r>
      <w:r>
        <w:t>Ω| = Λ/κ and F(Λ)Λ = Iκ/(rμ</w:t>
      </w:r>
      <w:r>
        <w:rPr>
          <w:vertAlign w:val="subscript"/>
        </w:rPr>
        <w:t>0</w:t>
      </w:r>
      <w:r>
        <w:t>R</w:t>
      </w:r>
      <w:r>
        <w:rPr>
          <w:vertAlign w:val="subscript"/>
        </w:rPr>
        <w:t>0</w:t>
      </w:r>
      <w:r>
        <w:t>²) = I/(qγ</w:t>
      </w:r>
      <w:r>
        <w:rPr>
          <w:vertAlign w:val="subscript"/>
        </w:rPr>
        <w:t>0</w:t>
      </w:r>
      <w:r>
        <w:t>μ</w:t>
      </w:r>
      <w:r>
        <w:rPr>
          <w:vertAlign w:val="subscript"/>
        </w:rPr>
        <w:t>0</w:t>
      </w:r>
      <w:r>
        <w:t>R</w:t>
      </w:r>
      <w:r>
        <w:rPr>
          <w:vertAlign w:val="subscript"/>
        </w:rPr>
        <w:t>0</w:t>
      </w:r>
      <w:r>
        <w:t>²) = Θ. The total torque is ∫τ</w:t>
      </w:r>
      <w:r>
        <w:rPr>
          <w:vertAlign w:val="subscript"/>
        </w:rPr>
        <w:t>in</w:t>
      </w:r>
      <w:r>
        <w:t>dV = 4π²R</w:t>
      </w:r>
      <w:r>
        <w:rPr>
          <w:vertAlign w:val="subscript"/>
        </w:rPr>
        <w:t>0</w:t>
      </w:r>
      <w:r>
        <w:t>I(a). ∎</w:t>
      </w:r>
    </w:p>
    <w:p>
      <w:pPr>
        <w:keepNext w:val="0"/>
        <w:jc w:val="both"/>
      </w:pPr>
      <w:r>
        <w:rPr>
          <w:i/>
        </w:rPr>
        <w:t>Proof of Proposition 2.</w:t>
      </w:r>
      <w:r>
        <w:t xml:space="preserve"> (a) Ψ′ = F + ΛF′ = F(1 + d ln F/d ln Λ) and F &gt; 0. (b) If Ψ is strictly increasing and continuous with Ψ(0) = 0 and Ψ(Λ) → Ψ</w:t>
      </w:r>
      <w:r>
        <w:rPr>
          <w:vertAlign w:val="subscript"/>
        </w:rPr>
        <w:t>∞</w:t>
      </w:r>
      <w:r>
        <w:t>, then Ψ(Λ) = Θ has exactly one solution for 0 ≤ Θ &lt; Ψ</w:t>
      </w:r>
      <w:r>
        <w:rPr>
          <w:vertAlign w:val="subscript"/>
        </w:rPr>
        <w:t>∞</w:t>
      </w:r>
      <w:r>
        <w:t xml:space="preserve"> and none otherwise. (c) If Ψ increases to Ψ</w:t>
      </w:r>
      <w:r>
        <w:rPr>
          <w:vertAlign w:val="subscript"/>
        </w:rPr>
        <w:t>M</w:t>
      </w:r>
      <w:r>
        <w:t xml:space="preserve"> at Λ</w:t>
      </w:r>
      <w:r>
        <w:rPr>
          <w:vertAlign w:val="subscript"/>
        </w:rPr>
        <w:t>M</w:t>
      </w:r>
      <w:r>
        <w:t>, decreases to Ψ</w:t>
      </w:r>
      <w:r>
        <w:rPr>
          <w:vertAlign w:val="subscript"/>
        </w:rPr>
        <w:t>m</w:t>
      </w:r>
      <w:r>
        <w:t xml:space="preserve"> at Λ</w:t>
      </w:r>
      <w:r>
        <w:rPr>
          <w:vertAlign w:val="subscript"/>
        </w:rPr>
        <w:t>m</w:t>
      </w:r>
      <w:r>
        <w:t xml:space="preserve"> and increases again, the equation has three solutions for Ψ</w:t>
      </w:r>
      <w:r>
        <w:rPr>
          <w:vertAlign w:val="subscript"/>
        </w:rPr>
        <w:t>m</w:t>
      </w:r>
      <w:r>
        <w:t xml:space="preserve"> &lt; Θ &lt; Ψ</w:t>
      </w:r>
      <w:r>
        <w:rPr>
          <w:vertAlign w:val="subscript"/>
        </w:rPr>
        <w:t>M</w:t>
      </w:r>
      <w:r>
        <w:t>, one for Θ &lt; Ψ</w:t>
      </w:r>
      <w:r>
        <w:rPr>
          <w:vertAlign w:val="subscript"/>
        </w:rPr>
        <w:t>m</w:t>
      </w:r>
      <w:r>
        <w:t>, and one on the upper branch for Θ &gt; Ψ</w:t>
      </w:r>
      <w:r>
        <w:rPr>
          <w:vertAlign w:val="subscript"/>
        </w:rPr>
        <w:t>M</w:t>
      </w:r>
      <w:r>
        <w:t>. The branch from Λ = 0 is continuous in Θ until Θ = Ψ</w:t>
      </w:r>
      <w:r>
        <w:rPr>
          <w:vertAlign w:val="subscript"/>
        </w:rPr>
        <w:t>M</w:t>
      </w:r>
      <w:r>
        <w:t>, where it ends; a state on the upper branch is continuous until Θ = Ψ</w:t>
      </w:r>
      <w:r>
        <w:rPr>
          <w:vertAlign w:val="subscript"/>
        </w:rPr>
        <w:t>m</w:t>
      </w:r>
      <w:r>
        <w:t>. Because the steady relation is algebraic at each radius, the jump occurs at the first radius at which Θ(r) reaches the critical value, and Θ</w:t>
      </w:r>
      <w:r>
        <w:rPr>
          <w:vertAlign w:val="subscript"/>
        </w:rPr>
        <w:t>max</w:t>
      </w:r>
      <w:r>
        <w:t xml:space="preserve"> = θ′T</w:t>
      </w:r>
      <w:r>
        <w:rPr>
          <w:vertAlign w:val="subscript"/>
        </w:rPr>
        <w:t>tot</w:t>
      </w:r>
      <w:r>
        <w:t xml:space="preserve"> because Θ is linear in the torque. ∎</w:t>
      </w:r>
    </w:p>
    <w:p>
      <w:pPr>
        <w:keepNext w:val="0"/>
        <w:jc w:val="both"/>
      </w:pPr>
      <w:r>
        <w:rPr>
          <w:i/>
        </w:rPr>
        <w:t>Proof of Proposition 3.</w:t>
      </w:r>
      <w:r>
        <w:t xml:space="preserve"> (i) d ln F/d ln Λ = −mΛ</w:t>
      </w:r>
      <w:r>
        <w:rPr>
          <w:vertAlign w:val="superscript"/>
        </w:rPr>
        <w:t>m</w:t>
      </w:r>
      <w:r>
        <w:t>/(1 + Λ</w:t>
      </w:r>
      <w:r>
        <w:rPr>
          <w:vertAlign w:val="superscript"/>
        </w:rPr>
        <w:t>m</w:t>
      </w:r>
      <w:r>
        <w:t>) decreases monotonically from 0 to −m and stays above −1 for all Λ if and only if m ≤ 1. For m &gt; 1, Ψ′ = (1 + Λ</w:t>
      </w:r>
      <w:r>
        <w:rPr>
          <w:vertAlign w:val="superscript"/>
        </w:rPr>
        <w:t>m</w:t>
      </w:r>
      <w:r>
        <w:t xml:space="preserve"> − mΛ</w:t>
      </w:r>
      <w:r>
        <w:rPr>
          <w:vertAlign w:val="superscript"/>
        </w:rPr>
        <w:t>m</w:t>
      </w:r>
      <w:r>
        <w:t>)/(1 + Λ</w:t>
      </w:r>
      <w:r>
        <w:rPr>
          <w:vertAlign w:val="superscript"/>
        </w:rPr>
        <w:t>m</w:t>
      </w:r>
      <w:r>
        <w:t>)² = 0 at (Λ</w:t>
      </w:r>
      <w:r>
        <w:rPr>
          <w:vertAlign w:val="superscript"/>
        </w:rPr>
        <w:t>*</w:t>
      </w:r>
      <w:r>
        <w:t>)</w:t>
      </w:r>
      <w:r>
        <w:rPr>
          <w:vertAlign w:val="superscript"/>
        </w:rPr>
        <w:t>m</w:t>
      </w:r>
      <w:r>
        <w:t xml:space="preserve"> = 1/(m − 1), where F = 1/m and Ψ = Λ</w:t>
      </w:r>
      <w:r>
        <w:rPr>
          <w:vertAlign w:val="superscript"/>
        </w:rPr>
        <w:t>*</w:t>
      </w:r>
      <w:r>
        <w:t>/m; for m = 2, Λ</w:t>
      </w:r>
      <w:r>
        <w:rPr>
          <w:vertAlign w:val="superscript"/>
        </w:rPr>
        <w:t>*</w:t>
      </w:r>
      <w:r>
        <w:t xml:space="preserve"> = 1 and Ψ = 1/2; for m = 1, Ψ = Λ/(1 + Λ) → 1. (ii) With F = f + (1 − f)/(1 + Λ²), Ψ′ = f + (1 − f)g(x), g(x) = (1 − x)/(1 + x)², x = Λ² ≥ 0. Then g′ = (x − 3)/(1 + x)³, so g has its minimum at x = 3, g = −1/8, and Ψ′ &gt; 0 for all Λ if and only if f − (1 − f)/8 &gt; 0, i.e. f &gt; 1/9. (iii) With F = f + (1 − f)e</w:t>
      </w:r>
      <w:r>
        <w:rPr>
          <w:vertAlign w:val="superscript"/>
        </w:rPr>
        <w:t>−αΛ²</w:t>
      </w:r>
      <w:r>
        <w:t>, Ψ′ = f + (1 − f)(1 − 2x)e</w:t>
      </w:r>
      <w:r>
        <w:rPr>
          <w:vertAlign w:val="superscript"/>
        </w:rPr>
        <w:t>−x</w:t>
      </w:r>
      <w:r>
        <w:t>, x = αΛ². The function h(x) = (1 − 2x)e</w:t>
      </w:r>
      <w:r>
        <w:rPr>
          <w:vertAlign w:val="superscript"/>
        </w:rPr>
        <w:t>−x</w:t>
      </w:r>
      <w:r>
        <w:t xml:space="preserve"> has h′ = (2x − 3)e</w:t>
      </w:r>
      <w:r>
        <w:rPr>
          <w:vertAlign w:val="superscript"/>
        </w:rPr>
        <w:t>−x</w:t>
      </w:r>
      <w:r>
        <w:t>, a minimum −2e</w:t>
      </w:r>
      <w:r>
        <w:rPr>
          <w:vertAlign w:val="superscript"/>
        </w:rPr>
        <w:t>−3/2</w:t>
      </w:r>
      <w:r>
        <w:t xml:space="preserve"> = −0.4463 at x = 3/2, so Ψ′ &gt; 0 if and only if f &gt; 0.4463(1 − f), i.e. f &gt; 0.3086, independent of α. For f = 0, Ψ has its maximum at Λ = (2α)</w:t>
      </w:r>
      <w:r>
        <w:rPr>
          <w:vertAlign w:val="superscript"/>
        </w:rPr>
        <w:t>−1/2</w:t>
      </w:r>
      <w:r>
        <w:t xml:space="preserve"> with Ψ = (2αe)</w:t>
      </w:r>
      <w:r>
        <w:rPr>
          <w:vertAlign w:val="superscript"/>
        </w:rPr>
        <w:t>−1/2</w:t>
      </w:r>
      <w:r>
        <w:t>. ∎</w:t>
      </w:r>
    </w:p>
    <w:p>
      <w:pPr>
        <w:keepNext w:val="0"/>
        <w:jc w:val="both"/>
      </w:pPr>
      <w:r>
        <w:rPr>
          <w:i/>
        </w:rPr>
        <w:t>Branching of the local heat closure (Section III-B).</w:t>
      </w:r>
      <w:r>
        <w:t xml:space="preserve"> With T in keV, E</w:t>
      </w:r>
      <w:r>
        <w:rPr>
          <w:vertAlign w:val="subscript"/>
        </w:rPr>
        <w:t>r</w:t>
      </w:r>
      <w:r>
        <w:t xml:space="preserve"> = 10³(T′ + T n′/n) V m</w:t>
      </w:r>
      <w:r>
        <w:rPr>
          <w:vertAlign w:val="superscript"/>
        </w:rPr>
        <w:t>−1</w:t>
      </w:r>
      <w:r>
        <w:t xml:space="preserve"> and ω</w:t>
      </w:r>
      <w:r>
        <w:rPr>
          <w:vertAlign w:val="subscript"/>
        </w:rPr>
        <w:t>dia</w:t>
      </w:r>
      <w:r>
        <w:t xml:space="preserve"> = (r/q)∂</w:t>
      </w:r>
      <w:r>
        <w:rPr>
          <w:vertAlign w:val="subscript"/>
        </w:rPr>
        <w:t>r</w:t>
      </w:r>
      <w:r>
        <w:t>(qE</w:t>
      </w:r>
      <w:r>
        <w:rPr>
          <w:vertAlign w:val="subscript"/>
        </w:rPr>
        <w:t>r</w:t>
      </w:r>
      <w:r>
        <w:t>/rB) = ω</w:t>
      </w:r>
      <w:r>
        <w:rPr>
          <w:vertAlign w:val="subscript"/>
        </w:rPr>
        <w:t>0</w:t>
      </w:r>
      <w:r>
        <w:t>(r, T, T′) + (10³/B)T″, where ω</w:t>
      </w:r>
      <w:r>
        <w:rPr>
          <w:vertAlign w:val="subscript"/>
        </w:rPr>
        <w:t>0</w:t>
      </w:r>
      <w:r>
        <w:t xml:space="preserve"> collects the terms without T″. The heat flux is Φ = 3nχ</w:t>
      </w:r>
      <w:r>
        <w:rPr>
          <w:vertAlign w:val="subscript"/>
        </w:rPr>
        <w:t>base</w:t>
      </w:r>
      <w:r>
        <w:t>(T′, T)T′/[1 + ω</w:t>
      </w:r>
      <w:r>
        <w:rPr>
          <w:vertAlign w:val="subscript"/>
        </w:rPr>
        <w:t>dia</w:t>
      </w:r>
      <w:r>
        <w:t>²/(s</w:t>
      </w:r>
      <w:r>
        <w:rPr>
          <w:vertAlign w:val="subscript"/>
        </w:rPr>
        <w:t>c</w:t>
      </w:r>
      <w:r>
        <w:t>γ</w:t>
      </w:r>
      <w:r>
        <w:rPr>
          <w:vertAlign w:val="subscript"/>
        </w:rPr>
        <w:t>0</w:t>
      </w:r>
      <w:r>
        <w:t>)²], which depends on T″ only through ω</w:t>
      </w:r>
      <w:r>
        <w:rPr>
          <w:vertAlign w:val="subscript"/>
        </w:rPr>
        <w:t>dia</w:t>
      </w:r>
      <w:r>
        <w:t>². Integrating the steady balance from the axis gives rΦ = −I</w:t>
      </w:r>
      <w:r>
        <w:rPr>
          <w:vertAlign w:val="subscript"/>
        </w:rPr>
        <w:t>h</w:t>
      </w:r>
      <w:r>
        <w:t>(r). For given T′, T and a flux demand below the maximum of Φ over ω</w:t>
      </w:r>
      <w:r>
        <w:rPr>
          <w:vertAlign w:val="subscript"/>
        </w:rPr>
        <w:t>dia</w:t>
      </w:r>
      <w:r>
        <w:t>, the equation Φ = −I</w:t>
      </w:r>
      <w:r>
        <w:rPr>
          <w:vertAlign w:val="subscript"/>
        </w:rPr>
        <w:t>h</w:t>
      </w:r>
      <w:r>
        <w:t>/r has the two roots ω</w:t>
      </w:r>
      <w:r>
        <w:rPr>
          <w:vertAlign w:val="subscript"/>
        </w:rPr>
        <w:t>dia</w:t>
      </w:r>
      <w:r>
        <w:t xml:space="preserve"> = ±ω</w:t>
      </w:r>
      <w:r>
        <w:rPr>
          <w:vertAlign w:val="superscript"/>
        </w:rPr>
        <w:t>*</w:t>
      </w:r>
      <w:r>
        <w:t>, i.e. two values of T″. The steady local problem is therefore a branching second-order equation; the Dirichlet edge value T(a) = T</w:t>
      </w:r>
      <w:r>
        <w:rPr>
          <w:vertAlign w:val="subscript"/>
        </w:rPr>
        <w:t>a</w:t>
      </w:r>
      <w:r>
        <w:t xml:space="preserve"> and regularity at the axis do not select a branch. In the smoothed closure the flux depends on T″ through A, the solution of A − ℓ²r</w:t>
      </w:r>
      <w:r>
        <w:rPr>
          <w:vertAlign w:val="superscript"/>
        </w:rPr>
        <w:t>−1</w:t>
      </w:r>
      <w:r>
        <w:t>(rA′)′ = (ω</w:t>
      </w:r>
      <w:r>
        <w:rPr>
          <w:vertAlign w:val="subscript"/>
        </w:rPr>
        <w:t>E</w:t>
      </w:r>
      <w:r>
        <w:t>/γ</w:t>
      </w:r>
      <w:r>
        <w:rPr>
          <w:vertAlign w:val="subscript"/>
        </w:rPr>
        <w:t>0</w:t>
      </w:r>
      <w:r>
        <w:t>)² with A′(0) = A′(a) = 0, so (T, A) is a closed system with four conditions for two second-order equations. This is a diagnosis consistent with the numerical evidence of Section V-A; it is not a proof of ill-posedness. The principal part of the linearization, D</w:t>
      </w:r>
      <w:r>
        <w:rPr>
          <w:vertAlign w:val="subscript"/>
        </w:rPr>
        <w:t>eff</w:t>
      </w:r>
      <w:r>
        <w:t xml:space="preserve"> = [∂Φ/∂T′ + ∂</w:t>
      </w:r>
      <w:r>
        <w:rPr>
          <w:vertAlign w:val="subscript"/>
        </w:rPr>
        <w:t>r</w:t>
      </w:r>
      <w:r>
        <w:t>(∂Φ/∂T″)]/3n, was evaluated on the converged local profiles and is positive (Table S4), so the local problem does not lose ellipticity.</w:t>
      </w:r>
    </w:p>
    <w:p>
      <w:pPr>
        <w:pStyle w:val="Heading1"/>
      </w:pPr>
      <w:r>
        <w:rPr>
          <w:rFonts w:ascii="Times New Roman" w:hAnsi="Times New Roman"/>
        </w:rPr>
        <w:t>S2 Numerical protocol</w:t>
      </w:r>
    </w:p>
    <w:p>
      <w:pPr>
        <w:keepNext w:val="0"/>
        <w:jc w:val="both"/>
      </w:pPr>
      <w:r>
        <w:rPr>
          <w:i/>
        </w:rPr>
        <w:t>Grid and discretization.</w:t>
      </w:r>
      <w:r>
        <w:t xml:space="preserve"> N uniform cells in r (N = 50–800); face conductivities are arithmetic means of the adjacent cell values. The cell gradient of the edge cell is (4T</w:t>
      </w:r>
      <w:r>
        <w:rPr>
          <w:vertAlign w:val="subscript"/>
        </w:rPr>
        <w:t>a</w:t>
      </w:r>
      <w:r>
        <w:t>/3 − T</w:t>
      </w:r>
      <w:r>
        <w:rPr>
          <w:vertAlign w:val="subscript"/>
        </w:rPr>
        <w:t>N</w:t>
      </w:r>
      <w:r>
        <w:t xml:space="preserve"> − T</w:t>
      </w:r>
      <w:r>
        <w:rPr>
          <w:vertAlign w:val="subscript"/>
        </w:rPr>
        <w:t>N−1</w:t>
      </w:r>
      <w:r>
        <w:t>/3)/Δr and the edge-face derivative of f is (8f</w:t>
      </w:r>
      <w:r>
        <w:rPr>
          <w:vertAlign w:val="subscript"/>
        </w:rPr>
        <w:t>a</w:t>
      </w:r>
      <w:r>
        <w:t>/3 − 3f</w:t>
      </w:r>
      <w:r>
        <w:rPr>
          <w:vertAlign w:val="subscript"/>
        </w:rPr>
        <w:t>N</w:t>
      </w:r>
      <w:r>
        <w:t xml:space="preserve"> + f</w:t>
      </w:r>
      <w:r>
        <w:rPr>
          <w:vertAlign w:val="subscript"/>
        </w:rPr>
        <w:t>N−1</w:t>
      </w:r>
      <w:r>
        <w:t>/3)/Δr (quadratics through the edge value and the last two cells); the axis cell uses T = A + Br², so ∂</w:t>
      </w:r>
      <w:r>
        <w:rPr>
          <w:vertAlign w:val="subscript"/>
        </w:rPr>
        <w:t>r</w:t>
      </w:r>
      <w:r>
        <w:t>T = (T</w:t>
      </w:r>
      <w:r>
        <w:rPr>
          <w:vertAlign w:val="subscript"/>
        </w:rPr>
        <w:t>2</w:t>
      </w:r>
      <w:r>
        <w:t xml:space="preserve"> − T</w:t>
      </w:r>
      <w:r>
        <w:rPr>
          <w:vertAlign w:val="subscript"/>
        </w:rPr>
        <w:t>1</w:t>
      </w:r>
      <w:r>
        <w:t>)/2Δr there; u = qE</w:t>
      </w:r>
      <w:r>
        <w:rPr>
          <w:vertAlign w:val="subscript"/>
        </w:rPr>
        <w:t>r</w:t>
      </w:r>
      <w:r>
        <w:t>/rB is extrapolated evenly to the axis, u</w:t>
      </w:r>
      <w:r>
        <w:rPr>
          <w:vertAlign w:val="subscript"/>
        </w:rPr>
        <w:t>0</w:t>
      </w:r>
      <w:r>
        <w:t xml:space="preserve"> = (4u</w:t>
      </w:r>
      <w:r>
        <w:rPr>
          <w:vertAlign w:val="subscript"/>
        </w:rPr>
        <w:t>1</w:t>
      </w:r>
      <w:r>
        <w:t xml:space="preserve"> − u</w:t>
      </w:r>
      <w:r>
        <w:rPr>
          <w:vertAlign w:val="subscript"/>
        </w:rPr>
        <w:t>2</w:t>
      </w:r>
      <w:r>
        <w:t>)/3. The edge-face diffusivity is the linear extrapolation 1.5χ</w:t>
      </w:r>
      <w:r>
        <w:rPr>
          <w:vertAlign w:val="subscript"/>
        </w:rPr>
        <w:t>N</w:t>
      </w:r>
      <w:r>
        <w:t xml:space="preserve"> − 0.5χ</w:t>
      </w:r>
      <w:r>
        <w:rPr>
          <w:vertAlign w:val="subscript"/>
        </w:rPr>
        <w:t>N−1</w:t>
      </w:r>
      <w:r>
        <w:t>.</w:t>
      </w:r>
    </w:p>
    <w:p>
      <w:pPr>
        <w:keepNext w:val="0"/>
        <w:jc w:val="both"/>
      </w:pPr>
      <w:r>
        <w:rPr>
          <w:i/>
        </w:rPr>
        <w:t>Steady states.</w:t>
      </w:r>
      <w:r>
        <w:t xml:space="preserve"> Damped Newton iteration on the steady residual; Jacobian by central differences with a relative step 10</w:t>
      </w:r>
      <w:r>
        <w:rPr>
          <w:vertAlign w:val="superscript"/>
        </w:rPr>
        <w:t>−8</w:t>
      </w:r>
      <w:r>
        <w:t xml:space="preserve"> (banded with three sub- and super-diagonals for the local closure, dense for the smoothed closure); acceptance at a residual below 10</w:t>
      </w:r>
      <w:r>
        <w:rPr>
          <w:vertAlign w:val="superscript"/>
        </w:rPr>
        <w:t>−8</w:t>
      </w:r>
      <w:r>
        <w:t xml:space="preserve"> of the volume-averaged heating. The baseline is first marched in pseudo-time (backward Euler, step 0.05 s growing by 1.5 up to 50 s) from a parabolic profile; the closure is introduced by continuation in s</w:t>
      </w:r>
      <w:r>
        <w:rPr>
          <w:vertAlign w:val="subscript"/>
        </w:rPr>
        <w:t>c</w:t>
      </w:r>
      <w:r>
        <w:t xml:space="preserve"> (4, 2, 1, 0.7, 0.5, 0.4, 0.3, 0.2, 0.15, 0.1, 0.07, 0.05, 0.04, 0.03, 0.02). Eigenvalues are those of the dense Jacobian divided by 3ne. A finite-difference step of 10</w:t>
      </w:r>
      <w:r>
        <w:rPr>
          <w:vertAlign w:val="superscript"/>
        </w:rPr>
        <w:t>−6</w:t>
      </w:r>
      <w:r>
        <w:t xml:space="preserve"> gave a wrong derivative of the shearing rate near the axis (a quadratic contribution), a spurious instability, and Newton failures, which is why the step is 10</w:t>
      </w:r>
      <w:r>
        <w:rPr>
          <w:vertAlign w:val="superscript"/>
        </w:rPr>
        <w:t>−8</w:t>
      </w:r>
      <w:r>
        <w:t>; at N ≥ 400 the residual cannot be reduced below about 10</w:t>
      </w:r>
      <w:r>
        <w:rPr>
          <w:vertAlign w:val="superscript"/>
        </w:rPr>
        <w:t>−10</w:t>
      </w:r>
      <w:r>
        <w:t xml:space="preserve"> because of round-off, hence the tolerance.</w:t>
      </w:r>
    </w:p>
    <w:p>
      <w:pPr>
        <w:keepNext w:val="0"/>
        <w:jc w:val="both"/>
      </w:pPr>
      <w:r>
        <w:rPr>
          <w:i/>
        </w:rPr>
        <w:t>Time integration.</w:t>
      </w:r>
      <w:r>
        <w:t xml:space="preserve"> Radau (rtol = atol = 10</w:t>
      </w:r>
      <w:r>
        <w:rPr>
          <w:vertAlign w:val="superscript"/>
        </w:rPr>
        <w:t>−8</w:t>
      </w:r>
      <w:r>
        <w:t>, sparse pattern for the local closure) of dT/dt = residual/3ne from a parabolic cold profile; accessibility runs use rtol = atol = 10</w:t>
      </w:r>
      <w:r>
        <w:rPr>
          <w:vertAlign w:val="superscript"/>
        </w:rPr>
        <w:t>−7</w:t>
      </w:r>
      <w:r>
        <w:t xml:space="preserve"> and stop when the axis temperature exceeds 150 keV.</w:t>
      </w:r>
    </w:p>
    <w:p>
      <w:pPr>
        <w:keepNext w:val="0"/>
        <w:jc w:val="both"/>
      </w:pPr>
      <w:r>
        <w:rPr>
          <w:i/>
        </w:rPr>
        <w:t>Rotation equation.</w:t>
      </w:r>
      <w:r>
        <w:t xml:space="preserve"> The unknown is scaled by the linear-viscosity solution; Newton iteration (hybrid method) with eight steps of torque continuation; acceptance at a scaled residual below 10</w:t>
      </w:r>
      <w:r>
        <w:rPr>
          <w:vertAlign w:val="superscript"/>
        </w:rPr>
        <w:t>−8</w:t>
      </w:r>
      <w:r>
        <w:t>. Ramps use backward-Euler marching with the step doubled after every accepted step until the steady residual is below 10</w:t>
      </w:r>
      <w:r>
        <w:rPr>
          <w:vertAlign w:val="superscript"/>
        </w:rPr>
        <w:t>−10</w:t>
      </w:r>
      <w:r>
        <w:t xml:space="preserve">; runs that do not converge near a fold are reported as not converged. </w:t>
      </w:r>
      <w:r>
        <w:rPr>
          <w:i/>
        </w:rPr>
        <w:t>Coupled problem.</w:t>
      </w:r>
      <w:r>
        <w:t xml:space="preserve"> Fixed-point iteration between the rotation solve and the heat solve, converged when the maximum temperature change is below 10</w:t>
      </w:r>
      <w:r>
        <w:rPr>
          <w:vertAlign w:val="superscript"/>
        </w:rPr>
        <w:t>−7</w:t>
      </w:r>
      <w:r>
        <w:t xml:space="preserve"> keV.</w:t>
      </w:r>
    </w:p>
    <w:p>
      <w:pPr>
        <w:keepNext w:val="0"/>
        <w:jc w:val="both"/>
      </w:pPr>
      <w:r>
        <w:rPr>
          <w:i/>
        </w:rPr>
        <w:t>Uncertainty study.</w:t>
      </w:r>
      <w:r>
        <w:t xml:space="preserve"> Scrambled Sobol sequences (scipy.stats.qmc, seed 20261008): 128 points for the heat-closure parameters (ranges in Table S8) and 64 for the torque study; failures (no steady state) are counted and excluded. Spearman rank correlations use the sampled parameter values and the relative gain.</w:t>
      </w:r>
    </w:p>
    <w:p>
      <w:pPr>
        <w:keepNext w:val="0"/>
        <w:jc w:val="both"/>
      </w:pPr>
      <w:r>
        <w:rPr>
          <w:i/>
        </w:rPr>
        <w:t>Software.</w:t>
      </w:r>
      <w:r>
        <w:t xml:space="preserve"> Python 3.11.9, NumPy 2.4.6, SciPy 1.17.1; release v1.1.0 of the repository contains the exact scripts and results.json.</w:t>
      </w:r>
    </w:p>
    <w:p>
      <w:pPr>
        <w:pStyle w:val="Heading1"/>
      </w:pPr>
      <w:r>
        <w:rPr>
          <w:rFonts w:ascii="Times New Roman" w:hAnsi="Times New Roman"/>
        </w:rPr>
        <w:t>S3 Extended results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20888"/>
            <wp:docPr id="1" name="Picture 1" descr="Radial profiles of temperature, diffusivity and smoothed shearing 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2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Figure S1.</w:t>
      </w:r>
      <w:r>
        <w:rPr>
          <w:sz w:val="19"/>
        </w:rPr>
        <w:t xml:space="preserve"> (a) Temperature, (b) diffusivity, and (c) smoothed shearing rate against r/a at 40 MW (N = 400, ℓ = 0.05 m) for the baseline and the closure with s</w:t>
      </w:r>
      <w:r>
        <w:rPr>
          <w:sz w:val="19"/>
          <w:vertAlign w:val="subscript"/>
        </w:rPr>
        <w:t>c</w:t>
      </w:r>
      <w:r>
        <w:rPr>
          <w:sz w:val="19"/>
        </w:rPr>
        <w:t xml:space="preserve"> = 0.3 and 0.1.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009454"/>
            <wp:docPr id="2" name="Picture 2" descr="Fusion gain against heating pow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power_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0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Figure S2.</w:t>
      </w:r>
      <w:r>
        <w:rPr>
          <w:sz w:val="19"/>
        </w:rPr>
        <w:t xml:space="preserve"> (a) Gain and (b) relative gain against auxiliary power for the baseline and three closure settings (N = 200).</w:t>
      </w:r>
    </w:p>
    <w:p>
      <w:pPr>
        <w:keepNext/>
        <w:spacing w:line="276" w:lineRule="auto" w:after="200"/>
      </w:pPr>
      <w:r>
        <w:rPr>
          <w:b/>
          <w:sz w:val="19"/>
        </w:rPr>
        <w:t>Table S1.</w:t>
      </w:r>
      <w:r>
        <w:rPr>
          <w:sz w:val="19"/>
        </w:rPr>
        <w:t xml:space="preserve"> Smoothed closure (ℓ = 0.05 m, N = 200) at 40 MW; all rows are steady states with power-balance residual below 10</w:t>
      </w:r>
      <w:r>
        <w:rPr>
          <w:sz w:val="19"/>
          <w:vertAlign w:val="superscript"/>
        </w:rPr>
        <w:t>−9</w:t>
      </w:r>
      <w:r>
        <w:rPr>
          <w:sz w:val="19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864"/>
        <w:gridCol w:w="864"/>
        <w:gridCol w:w="864"/>
        <w:gridCol w:w="792"/>
        <w:gridCol w:w="792"/>
        <w:gridCol w:w="1152"/>
        <w:gridCol w:w="648"/>
        <w:gridCol w:w="648"/>
        <w:gridCol w:w="648"/>
        <w:gridCol w:w="864"/>
      </w:tblGrid>
      <w:tr>
        <w:trPr>
          <w:tblHeader w:val="true"/>
        </w:trPr>
        <w:tc>
          <w:tcPr>
            <w:tcW w:type="dxa" w:w="57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s</w:t>
            </w:r>
            <w:r>
              <w:rPr>
                <w:b/>
                <w:sz w:val="15"/>
                <w:vertAlign w:val="subscript"/>
              </w:rPr>
              <w:t>c</w:t>
            </w:r>
          </w:p>
        </w:tc>
        <w:tc>
          <w:tcPr>
            <w:tcW w:type="dxa" w:w="86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Q</w:t>
            </w:r>
          </w:p>
        </w:tc>
        <w:tc>
          <w:tcPr>
            <w:tcW w:type="dxa" w:w="86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P</w:t>
            </w:r>
            <w:r>
              <w:rPr>
                <w:b/>
                <w:sz w:val="15"/>
                <w:vertAlign w:val="subscript"/>
              </w:rPr>
              <w:t>fus</w:t>
            </w:r>
            <w:r>
              <w:rPr>
                <w:b/>
                <w:sz w:val="15"/>
              </w:rPr>
              <w:t xml:space="preserve"> (MW)</w:t>
            </w:r>
          </w:p>
        </w:tc>
        <w:tc>
          <w:tcPr>
            <w:tcW w:type="dxa" w:w="86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τ</w:t>
            </w:r>
            <w:r>
              <w:rPr>
                <w:b/>
                <w:sz w:val="15"/>
                <w:vertAlign w:val="subscript"/>
              </w:rPr>
              <w:t>E</w:t>
            </w:r>
            <w:r>
              <w:rPr>
                <w:b/>
                <w:sz w:val="15"/>
              </w:rPr>
              <w:t xml:space="preserve"> (s)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⟨T⟩ (keV)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T</w:t>
            </w:r>
            <w:r>
              <w:rPr>
                <w:b/>
                <w:sz w:val="15"/>
                <w:vertAlign w:val="subscript"/>
              </w:rPr>
              <w:t>0</w:t>
            </w:r>
            <w:r>
              <w:rPr>
                <w:b/>
                <w:sz w:val="15"/>
              </w:rPr>
              <w:t xml:space="preserve"> (keV)</w:t>
            </w:r>
          </w:p>
        </w:tc>
        <w:tc>
          <w:tcPr>
            <w:tcW w:type="dxa" w:w="115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max smoothed ω</w:t>
            </w:r>
            <w:r>
              <w:rPr>
                <w:b/>
                <w:sz w:val="15"/>
                <w:vertAlign w:val="subscript"/>
              </w:rPr>
              <w:t>E</w:t>
            </w:r>
            <w:r>
              <w:rPr>
                <w:b/>
                <w:sz w:val="15"/>
              </w:rPr>
              <w:t>/γ</w:t>
            </w:r>
            <w:r>
              <w:rPr>
                <w:b/>
                <w:sz w:val="15"/>
                <w:vertAlign w:val="subscript"/>
              </w:rPr>
              <w:t>0</w:t>
            </w:r>
          </w:p>
        </w:tc>
        <w:tc>
          <w:tcPr>
            <w:tcW w:type="dxa" w:w="64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H</w:t>
            </w:r>
            <w:r>
              <w:rPr>
                <w:b/>
                <w:sz w:val="15"/>
                <w:vertAlign w:val="subscript"/>
              </w:rPr>
              <w:t>89</w:t>
            </w:r>
          </w:p>
        </w:tc>
        <w:tc>
          <w:tcPr>
            <w:tcW w:type="dxa" w:w="64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H</w:t>
            </w:r>
            <w:r>
              <w:rPr>
                <w:b/>
                <w:sz w:val="15"/>
                <w:vertAlign w:val="subscript"/>
              </w:rPr>
              <w:t>98</w:t>
            </w:r>
          </w:p>
        </w:tc>
        <w:tc>
          <w:tcPr>
            <w:tcW w:type="dxa" w:w="64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β</w:t>
            </w:r>
            <w:r>
              <w:rPr>
                <w:b/>
                <w:sz w:val="15"/>
                <w:vertAlign w:val="subscript"/>
              </w:rPr>
              <w:t>N</w:t>
            </w:r>
          </w:p>
        </w:tc>
        <w:tc>
          <w:tcPr>
            <w:tcW w:type="dxa" w:w="86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λ</w:t>
            </w:r>
            <w:r>
              <w:rPr>
                <w:b/>
                <w:sz w:val="15"/>
                <w:vertAlign w:val="subscript"/>
              </w:rPr>
              <w:t>1</w:t>
            </w:r>
            <w:r>
              <w:rPr>
                <w:b/>
                <w:sz w:val="15"/>
              </w:rPr>
              <w:t xml:space="preserve"> (s</w:t>
            </w:r>
            <w:r>
              <w:rPr>
                <w:b/>
                <w:sz w:val="15"/>
                <w:vertAlign w:val="superscript"/>
              </w:rPr>
              <w:t>−1</w:t>
            </w:r>
            <w:r>
              <w:rPr>
                <w:b/>
                <w:sz w:val="15"/>
              </w:rPr>
              <w:t>)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∞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3.7021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148.1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1.8359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7.365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15.25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0.076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1.01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0.48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-2.68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3.7041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148.2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1.8359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7.367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15.25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0.076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1.01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0.48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-2.67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148.4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1.8358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7.372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15.26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0.076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1.01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0.48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-2.67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3.7250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149.0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1.8356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7.383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15.29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0.076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1.01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0.48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-2.66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3.7542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150.2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1.8351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7.405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15.35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0.076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1.02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0.48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-2.64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3.7960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151.8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1.8343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7.437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15.43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0.076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1.02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0.48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1.06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-2.62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3.9190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156.8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1.8320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7.530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15.67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0.076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1.02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0.48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-2.54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4.1530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166.1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1.8268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7.703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16.12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0.075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1.03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0.49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1.10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-2.41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4.5767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183.1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1.8158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8.003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16.94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0.071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1.05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0.50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1.14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-2.23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5.9086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236.3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1.7737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8.864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19.65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0.058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1.10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0.54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1.28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-1.80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8.2215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328.9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1.7025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10.187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24.67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0.044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1.16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0.59</w:t>
            </w:r>
          </w:p>
        </w:tc>
        <w:tc>
          <w:tcPr>
            <w:tcW w:type="dxa" w:w="64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1.49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-0.91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S2.</w:t>
      </w:r>
      <w:r>
        <w:rPr>
          <w:sz w:val="19"/>
        </w:rPr>
        <w:t xml:space="preserve"> Convergence of Q with N for the smoothed closure.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152"/>
        <w:gridCol w:w="1152"/>
        <w:gridCol w:w="1152"/>
        <w:gridCol w:w="1152"/>
        <w:gridCol w:w="2304"/>
      </w:tblGrid>
      <w:tr>
        <w:trPr>
          <w:tblHeader w:val="true"/>
        </w:trPr>
        <w:tc>
          <w:tcPr>
            <w:tcW w:type="dxa" w:w="72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</w:t>
            </w:r>
            <w:r>
              <w:rPr>
                <w:b/>
                <w:sz w:val="16"/>
                <w:vertAlign w:val="subscript"/>
              </w:rPr>
              <w:t>c</w:t>
            </w:r>
          </w:p>
        </w:tc>
        <w:tc>
          <w:tcPr>
            <w:tcW w:type="dxa" w:w="115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N = 100</w:t>
            </w:r>
          </w:p>
        </w:tc>
        <w:tc>
          <w:tcPr>
            <w:tcW w:type="dxa" w:w="115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N = 200</w:t>
            </w:r>
          </w:p>
        </w:tc>
        <w:tc>
          <w:tcPr>
            <w:tcW w:type="dxa" w:w="115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N = 400</w:t>
            </w:r>
          </w:p>
        </w:tc>
        <w:tc>
          <w:tcPr>
            <w:tcW w:type="dxa" w:w="115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N = 800</w:t>
            </w:r>
          </w:p>
        </w:tc>
        <w:tc>
          <w:tcPr>
            <w:tcW w:type="dxa" w:w="230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orders (100-200-400, 200-400-800)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∞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3.70193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3.70205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3.70208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3.70209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1.82, 1.91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3.71015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3.71025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3.71028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3.71029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1.83, 1.92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3.75434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3.75424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3.75421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3.75420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1.73, 1.90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3.92235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3.91975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3.91905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3.91887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1.87, 1.97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4.61842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4.58510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4.57665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4.57460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1.98, 2.05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S3.</w:t>
      </w:r>
      <w:r>
        <w:rPr>
          <w:sz w:val="19"/>
        </w:rPr>
        <w:t xml:space="preserve"> Local closure: leading eigenvalue λ</w:t>
      </w:r>
      <w:r>
        <w:rPr>
          <w:sz w:val="19"/>
          <w:vertAlign w:val="subscript"/>
        </w:rPr>
        <w:t>1</w:t>
      </w:r>
      <w:r>
        <w:rPr>
          <w:sz w:val="19"/>
        </w:rPr>
        <w:t xml:space="preserve"> (s</w:t>
      </w:r>
      <w:r>
        <w:rPr>
          <w:sz w:val="19"/>
          <w:vertAlign w:val="superscript"/>
        </w:rPr>
        <w:t>−1</w:t>
      </w:r>
      <w:r>
        <w:rPr>
          <w:sz w:val="19"/>
        </w:rPr>
        <w:t>) of the steady state against s</w:t>
      </w:r>
      <w:r>
        <w:rPr>
          <w:sz w:val="19"/>
          <w:vertAlign w:val="subscript"/>
        </w:rPr>
        <w:t>c</w:t>
      </w:r>
      <w:r>
        <w:rPr>
          <w:sz w:val="19"/>
        </w:rPr>
        <w:t xml:space="preserve"> and N. Onset thresholds s</w:t>
      </w:r>
      <w:r>
        <w:rPr>
          <w:sz w:val="19"/>
          <w:vertAlign w:val="subscript"/>
        </w:rPr>
        <w:t>c</w:t>
      </w:r>
      <w:r>
        <w:rPr>
          <w:sz w:val="19"/>
          <w:vertAlign w:val="superscript"/>
        </w:rPr>
        <w:t>lin</w:t>
      </w:r>
      <w:r>
        <w:rPr>
          <w:sz w:val="19"/>
        </w:rPr>
        <w:t>: N = 50: 0.124, N = 100: 0.181, N = 200: 0.261, N = 400: 0.372.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tcW w:type="dxa" w:w="57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N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1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0.7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0.5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0.4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0.35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0.3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0.25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0.2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0.15</w:t>
            </w:r>
          </w:p>
        </w:tc>
        <w:tc>
          <w:tcPr>
            <w:tcW w:type="dxa" w:w="7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</w:t>
            </w:r>
            <w:r>
              <w:rPr>
                <w:b/>
                <w:sz w:val="14"/>
                <w:vertAlign w:val="subscript"/>
              </w:rPr>
              <w:t>c</w:t>
            </w:r>
            <w:r>
              <w:rPr>
                <w:b/>
                <w:sz w:val="14"/>
              </w:rPr>
              <w:t xml:space="preserve"> = 0.1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50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-2.68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-2.65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-2.64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-2.59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5.01e+03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100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-2.65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-2.63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1.28e+04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9.12e+04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200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1.16e+04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1.49e+05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4.42e+05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8.73e+05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400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-2.67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7.35e+04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3.74e+05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1.25e+06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2.45e+06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4.5e+06</w:t>
            </w:r>
          </w:p>
        </w:tc>
        <w:tc>
          <w:tcPr>
            <w:tcW w:type="dxa" w:w="79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7.48e+06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S4.</w:t>
      </w:r>
      <w:r>
        <w:rPr>
          <w:sz w:val="19"/>
        </w:rPr>
        <w:t xml:space="preserve"> Gain Q at s</w:t>
      </w:r>
      <w:r>
        <w:rPr>
          <w:sz w:val="19"/>
          <w:vertAlign w:val="subscript"/>
        </w:rPr>
        <w:t>c</w:t>
      </w:r>
      <w:r>
        <w:rPr>
          <w:sz w:val="19"/>
        </w:rPr>
        <w:t xml:space="preserve"> = 0.1 and 0.05 for all edge treatments and smoothing lengths (– : no steady state found by Newton continuation).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259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Closure (edge condition)</w:t>
            </w:r>
          </w:p>
        </w:tc>
        <w:tc>
          <w:tcPr>
            <w:tcW w:type="dxa" w:w="93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Q(0.1), N=200</w:t>
            </w:r>
          </w:p>
        </w:tc>
        <w:tc>
          <w:tcPr>
            <w:tcW w:type="dxa" w:w="93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Q(0.1), N=400</w:t>
            </w:r>
          </w:p>
        </w:tc>
        <w:tc>
          <w:tcPr>
            <w:tcW w:type="dxa" w:w="93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λ</w:t>
            </w:r>
            <w:r>
              <w:rPr>
                <w:b/>
                <w:sz w:val="15"/>
                <w:vertAlign w:val="subscript"/>
              </w:rPr>
              <w:t>1</w:t>
            </w:r>
            <w:r>
              <w:rPr>
                <w:b/>
                <w:sz w:val="15"/>
              </w:rPr>
              <w:t>(0.1), N=400</w:t>
            </w:r>
          </w:p>
        </w:tc>
        <w:tc>
          <w:tcPr>
            <w:tcW w:type="dxa" w:w="93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Q(0.05), N=200</w:t>
            </w:r>
          </w:p>
        </w:tc>
        <w:tc>
          <w:tcPr>
            <w:tcW w:type="dxa" w:w="93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Q(0.05), N=400</w:t>
            </w:r>
          </w:p>
        </w:tc>
        <w:tc>
          <w:tcPr>
            <w:tcW w:type="dxa" w:w="93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λ</w:t>
            </w:r>
            <w:r>
              <w:rPr>
                <w:b/>
                <w:sz w:val="15"/>
                <w:vertAlign w:val="subscript"/>
              </w:rPr>
              <w:t>1</w:t>
            </w:r>
            <w:r>
              <w:rPr>
                <w:b/>
                <w:sz w:val="15"/>
              </w:rPr>
              <w:t>(0.05), N=400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local, first-order edge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4.142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4.134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-2.18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8.946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8.594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-0.412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local, second-order edge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4.051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4.056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7.48e+06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–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local, edge value held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3.924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3.930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-2.53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4.566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4.589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-2.24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local, no suppression in the last cell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3.856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3.862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-2.6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4.174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4.187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-2.46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smoothed, l = 0.02 m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3.935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3.932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-2.53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4.675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4.622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8.04e+04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smoothed, l = 0.05 m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3.920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3.919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-2.54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4.585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4.577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-2.23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smoothed, l = 0.10 m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3.908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3.907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-2.55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4.526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4.523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-2.24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smoothed, l = 0.20 m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3.899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3.899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-2.57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4.470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4.469</w:t>
            </w:r>
          </w:p>
        </w:tc>
        <w:tc>
          <w:tcPr>
            <w:tcW w:type="dxa" w:w="93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-2.29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S5.</w:t>
      </w:r>
      <w:r>
        <w:rPr>
          <w:sz w:val="19"/>
        </w:rPr>
        <w:t xml:space="preserve"> Principal part of the linearized local closure (N = 400): D</w:t>
      </w:r>
      <w:r>
        <w:rPr>
          <w:sz w:val="19"/>
          <w:vertAlign w:val="subscript"/>
        </w:rPr>
        <w:t>eff</w:t>
      </w:r>
      <w:r>
        <w:rPr>
          <w:sz w:val="19"/>
        </w:rPr>
        <w:t xml:space="preserve"> stays positive, so ellipticity is not lost.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016"/>
        <w:gridCol w:w="1152"/>
        <w:gridCol w:w="2304"/>
      </w:tblGrid>
      <w:tr>
        <w:trPr>
          <w:tblHeader w:val="true"/>
        </w:trPr>
        <w:tc>
          <w:tcPr>
            <w:tcW w:type="dxa" w:w="86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</w:t>
            </w:r>
            <w:r>
              <w:rPr>
                <w:b/>
                <w:sz w:val="16"/>
                <w:vertAlign w:val="subscript"/>
              </w:rPr>
              <w:t>c</w:t>
            </w:r>
          </w:p>
        </w:tc>
        <w:tc>
          <w:tcPr>
            <w:tcW w:type="dxa" w:w="201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min D</w:t>
            </w:r>
            <w:r>
              <w:rPr>
                <w:b/>
                <w:sz w:val="16"/>
                <w:vertAlign w:val="subscript"/>
              </w:rPr>
              <w:t>eff</w:t>
            </w:r>
            <w:r>
              <w:rPr>
                <w:b/>
                <w:sz w:val="16"/>
              </w:rPr>
              <w:t xml:space="preserve"> (m² s</w:t>
            </w:r>
            <w:r>
              <w:rPr>
                <w:b/>
                <w:sz w:val="16"/>
                <w:vertAlign w:val="superscript"/>
              </w:rPr>
              <w:t>−1</w:t>
            </w:r>
            <w:r>
              <w:rPr>
                <w:b/>
                <w:sz w:val="16"/>
              </w:rPr>
              <w:t>)</w:t>
            </w:r>
          </w:p>
        </w:tc>
        <w:tc>
          <w:tcPr>
            <w:tcW w:type="dxa" w:w="115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at r/a</w:t>
            </w:r>
          </w:p>
        </w:tc>
        <w:tc>
          <w:tcPr>
            <w:tcW w:type="dxa" w:w="230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min of the T″ part (m² s</w:t>
            </w:r>
            <w:r>
              <w:rPr>
                <w:b/>
                <w:sz w:val="16"/>
                <w:vertAlign w:val="superscript"/>
              </w:rPr>
              <w:t>−1</w:t>
            </w:r>
            <w:r>
              <w:rPr>
                <w:b/>
                <w:sz w:val="16"/>
              </w:rPr>
              <w:t>)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∞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0.3004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0.009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0.3003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0.009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-0.0341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0.3001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0.009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-0.1319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0.2997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0.009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-0.3393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0.2988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0.009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-0.5893</w:t>
            </w:r>
          </w:p>
        </w:tc>
      </w:tr>
      <w:tr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0.2975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0.009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-0.6589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S6.</w:t>
      </w:r>
      <w:r>
        <w:rPr>
          <w:sz w:val="19"/>
        </w:rPr>
        <w:t xml:space="preserve"> Dynamic accessibility from a cold start (120 s horizon; run stopped at T</w:t>
      </w:r>
      <w:r>
        <w:rPr>
          <w:sz w:val="19"/>
          <w:vertAlign w:val="subscript"/>
        </w:rPr>
        <w:t>0</w:t>
      </w:r>
      <w:r>
        <w:rPr>
          <w:sz w:val="19"/>
        </w:rPr>
        <w:t xml:space="preserve"> = 150 keV).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2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</w:t>
            </w:r>
            <w:r>
              <w:rPr>
                <w:b/>
                <w:sz w:val="16"/>
                <w:vertAlign w:val="subscript"/>
              </w:rPr>
              <w:t>c</w:t>
            </w:r>
          </w:p>
        </w:tc>
        <w:tc>
          <w:tcPr>
            <w:tcW w:type="dxa" w:w="201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smoothed closure (N = 100)</w:t>
            </w:r>
          </w:p>
        </w:tc>
        <w:tc>
          <w:tcPr>
            <w:tcW w:type="dxa" w:w="201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 (s) / T</w:t>
            </w:r>
            <w:r>
              <w:rPr>
                <w:b/>
                <w:sz w:val="16"/>
                <w:vertAlign w:val="subscript"/>
              </w:rPr>
              <w:t>0</w:t>
            </w:r>
            <w:r>
              <w:rPr>
                <w:b/>
                <w:sz w:val="16"/>
              </w:rPr>
              <w:t xml:space="preserve"> (keV) at stop</w:t>
            </w:r>
          </w:p>
        </w:tc>
        <w:tc>
          <w:tcPr>
            <w:tcW w:type="dxa" w:w="201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local closure (N = 100)</w:t>
            </w:r>
          </w:p>
        </w:tc>
        <w:tc>
          <w:tcPr>
            <w:tcW w:type="dxa" w:w="201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 (s) / T</w:t>
            </w:r>
            <w:r>
              <w:rPr>
                <w:b/>
                <w:sz w:val="16"/>
                <w:vertAlign w:val="subscript"/>
              </w:rPr>
              <w:t>0</w:t>
            </w:r>
            <w:r>
              <w:rPr>
                <w:b/>
                <w:sz w:val="16"/>
              </w:rPr>
              <w:t xml:space="preserve"> (keV) at stop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15.3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15.3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15.3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15.3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15.3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15.3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15.3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runs away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7.7 / 150.0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15.7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runs away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7.8 / 150.0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settles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120.0 / 17.0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runs away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7.5 / 150.0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S7.</w:t>
      </w:r>
      <w:r>
        <w:rPr>
          <w:sz w:val="19"/>
        </w:rPr>
        <w:t xml:space="preserve"> Steady flux relation against the direct finite-volume solution of the rotation equation (all cases).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1296"/>
        <w:gridCol w:w="1008"/>
        <w:gridCol w:w="2016"/>
        <w:gridCol w:w="2016"/>
        <w:gridCol w:w="1440"/>
      </w:tblGrid>
      <w:tr>
        <w:trPr>
          <w:tblHeader w:val="true"/>
        </w:trPr>
        <w:tc>
          <w:tcPr>
            <w:tcW w:type="dxa" w:w="57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m</w:t>
            </w:r>
          </w:p>
        </w:tc>
        <w:tc>
          <w:tcPr>
            <w:tcW w:type="dxa" w:w="129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Torque (N m)</w:t>
            </w:r>
          </w:p>
        </w:tc>
        <w:tc>
          <w:tcPr>
            <w:tcW w:type="dxa" w:w="100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Θ</w:t>
            </w:r>
            <w:r>
              <w:rPr>
                <w:b/>
                <w:sz w:val="15"/>
                <w:vertAlign w:val="subscript"/>
              </w:rPr>
              <w:t>max</w:t>
            </w:r>
          </w:p>
        </w:tc>
        <w:tc>
          <w:tcPr>
            <w:tcW w:type="dxa" w:w="201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Λ</w:t>
            </w:r>
            <w:r>
              <w:rPr>
                <w:b/>
                <w:sz w:val="15"/>
                <w:vertAlign w:val="subscript"/>
              </w:rPr>
              <w:t>max</w:t>
            </w:r>
            <w:r>
              <w:rPr>
                <w:b/>
                <w:sz w:val="15"/>
              </w:rPr>
              <w:t xml:space="preserve"> predicted</w:t>
            </w:r>
          </w:p>
        </w:tc>
        <w:tc>
          <w:tcPr>
            <w:tcW w:type="dxa" w:w="201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Λ</w:t>
            </w:r>
            <w:r>
              <w:rPr>
                <w:b/>
                <w:sz w:val="15"/>
                <w:vertAlign w:val="subscript"/>
              </w:rPr>
              <w:t>max</w:t>
            </w:r>
            <w:r>
              <w:rPr>
                <w:b/>
                <w:sz w:val="15"/>
              </w:rPr>
              <w:t xml:space="preserve"> simulated</w:t>
            </w:r>
          </w:p>
        </w:tc>
        <w:tc>
          <w:tcPr>
            <w:tcW w:type="dxa" w:w="144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relative error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0.0504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0.06310410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0.06310410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3.7×10</w:t>
            </w:r>
            <w:r>
              <w:rPr>
                <w:sz w:val="15"/>
                <w:vertAlign w:val="superscript"/>
              </w:rPr>
              <w:t>−14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0.1009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0.13839404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0.13839404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2.6×10</w:t>
            </w:r>
            <w:r>
              <w:rPr>
                <w:sz w:val="15"/>
                <w:vertAlign w:val="superscript"/>
              </w:rPr>
              <w:t>−13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0.2017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0.31495625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0.31495625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1.7×10</w:t>
            </w:r>
            <w:r>
              <w:rPr>
                <w:sz w:val="15"/>
                <w:vertAlign w:val="superscript"/>
              </w:rPr>
              <w:t>−12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0.3026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0.52103959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0.52103959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4.9×10</w:t>
            </w:r>
            <w:r>
              <w:rPr>
                <w:sz w:val="15"/>
                <w:vertAlign w:val="superscript"/>
              </w:rPr>
              <w:t>−12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0.4035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0.75377760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0.75377760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3.4×10</w:t>
            </w:r>
            <w:r>
              <w:rPr>
                <w:sz w:val="15"/>
                <w:vertAlign w:val="superscript"/>
              </w:rPr>
              <w:t>−13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0.5043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1.01161307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1.01161307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6.2×10</w:t>
            </w:r>
            <w:r>
              <w:rPr>
                <w:sz w:val="15"/>
                <w:vertAlign w:val="superscript"/>
              </w:rPr>
              <w:t>−13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0.0504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0.05311341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0.05311341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5.6×10</w:t>
            </w:r>
            <w:r>
              <w:rPr>
                <w:sz w:val="15"/>
                <w:vertAlign w:val="superscript"/>
              </w:rPr>
              <w:t>−13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0.1009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0.11218536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0.11218536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4.5×10</w:t>
            </w:r>
            <w:r>
              <w:rPr>
                <w:sz w:val="15"/>
                <w:vertAlign w:val="superscript"/>
              </w:rPr>
              <w:t>−13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0.2017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0.25272248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0.25272248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1.9×10</w:t>
            </w:r>
            <w:r>
              <w:rPr>
                <w:sz w:val="15"/>
                <w:vertAlign w:val="superscript"/>
              </w:rPr>
              <w:t>−12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0.3026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0.43391359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0.43391359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2.2×10</w:t>
            </w:r>
            <w:r>
              <w:rPr>
                <w:sz w:val="15"/>
                <w:vertAlign w:val="superscript"/>
              </w:rPr>
              <w:t>−12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0.4035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0.67638188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0.67638188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6.4×10</w:t>
            </w:r>
            <w:r>
              <w:rPr>
                <w:sz w:val="15"/>
                <w:vertAlign w:val="superscript"/>
              </w:rPr>
              <w:t>−12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0.5043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1.01753850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1.01753850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2.1×10</w:t>
            </w:r>
            <w:r>
              <w:rPr>
                <w:sz w:val="15"/>
                <w:vertAlign w:val="superscript"/>
              </w:rPr>
              <w:t>−11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0.0504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0.05056360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0.05056360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7.0×10</w:t>
            </w:r>
            <w:r>
              <w:rPr>
                <w:sz w:val="15"/>
                <w:vertAlign w:val="superscript"/>
              </w:rPr>
              <w:t>−14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0.1009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0.10191704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0.10191704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5.2×10</w:t>
            </w:r>
            <w:r>
              <w:rPr>
                <w:sz w:val="15"/>
                <w:vertAlign w:val="superscript"/>
              </w:rPr>
              <w:t>−14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0.2017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0.21069419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0.21069419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1.6×10</w:t>
            </w:r>
            <w:r>
              <w:rPr>
                <w:sz w:val="15"/>
                <w:vertAlign w:val="superscript"/>
              </w:rPr>
              <w:t>−12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0.3026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0.33696832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0.33696832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3.4×10</w:t>
            </w:r>
            <w:r>
              <w:rPr>
                <w:sz w:val="15"/>
                <w:vertAlign w:val="superscript"/>
              </w:rPr>
              <w:t>−11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0.4035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0.50732268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0.50732268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4.8×10</w:t>
            </w:r>
            <w:r>
              <w:rPr>
                <w:sz w:val="15"/>
                <w:vertAlign w:val="superscript"/>
              </w:rPr>
              <w:t>−11</w:t>
            </w:r>
          </w:p>
        </w:tc>
      </w:tr>
      <w:tr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0.5043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none (Θ &gt; Ψ</w:t>
            </w:r>
            <w:r>
              <w:rPr>
                <w:sz w:val="15"/>
                <w:vertAlign w:val="subscript"/>
              </w:rPr>
              <w:t>∞</w:t>
            </w:r>
            <w:r>
              <w:rPr>
                <w:sz w:val="15"/>
              </w:rPr>
              <w:t>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no steady state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–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S8.</w:t>
      </w:r>
      <w:r>
        <w:rPr>
          <w:sz w:val="19"/>
        </w:rPr>
        <w:t xml:space="preserve"> Gain with torque-driven shear (s</w:t>
      </w:r>
      <w:r>
        <w:rPr>
          <w:sz w:val="19"/>
          <w:vertAlign w:val="subscript"/>
        </w:rPr>
        <w:t>c</w:t>
      </w:r>
      <w:r>
        <w:rPr>
          <w:sz w:val="19"/>
        </w:rPr>
        <w:t xml:space="preserve"> = 0.5, N = 100, Pr = 1): all viscosity closures and both orientations.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1440"/>
        <w:gridCol w:w="893"/>
        <w:gridCol w:w="893"/>
        <w:gridCol w:w="893"/>
        <w:gridCol w:w="893"/>
        <w:gridCol w:w="893"/>
        <w:gridCol w:w="893"/>
        <w:gridCol w:w="893"/>
      </w:tblGrid>
      <w:tr>
        <w:trPr>
          <w:tblHeader w:val="true"/>
        </w:trPr>
        <w:tc>
          <w:tcPr>
            <w:tcW w:type="dxa" w:w="50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σ</w:t>
            </w:r>
          </w:p>
        </w:tc>
        <w:tc>
          <w:tcPr>
            <w:tcW w:type="dxa" w:w="144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Closure</w:t>
            </w:r>
          </w:p>
        </w:tc>
        <w:tc>
          <w:tcPr>
            <w:tcW w:type="dxa" w:w="893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0</w:t>
            </w:r>
          </w:p>
        </w:tc>
        <w:tc>
          <w:tcPr>
            <w:tcW w:type="dxa" w:w="893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25</w:t>
            </w:r>
          </w:p>
        </w:tc>
        <w:tc>
          <w:tcPr>
            <w:tcW w:type="dxa" w:w="893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50</w:t>
            </w:r>
          </w:p>
        </w:tc>
        <w:tc>
          <w:tcPr>
            <w:tcW w:type="dxa" w:w="893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100</w:t>
            </w:r>
          </w:p>
        </w:tc>
        <w:tc>
          <w:tcPr>
            <w:tcW w:type="dxa" w:w="893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150</w:t>
            </w:r>
          </w:p>
        </w:tc>
        <w:tc>
          <w:tcPr>
            <w:tcW w:type="dxa" w:w="893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200</w:t>
            </w:r>
          </w:p>
        </w:tc>
        <w:tc>
          <w:tcPr>
            <w:tcW w:type="dxa" w:w="893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250 N m</w:t>
            </w:r>
          </w:p>
        </w:tc>
      </w:tr>
      <w:tr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+1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linear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3.741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3.811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4.058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4.441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4.949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5.575</w:t>
            </w:r>
          </w:p>
        </w:tc>
      </w:tr>
      <w:tr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+1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m=1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3.744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3.830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4.217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5.020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6.443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8.667</w:t>
            </w:r>
          </w:p>
        </w:tc>
      </w:tr>
      <w:tr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+1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m=2 f=0.20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3.741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3.812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4.077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4.536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5.259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6.386</w:t>
            </w:r>
          </w:p>
        </w:tc>
      </w:tr>
      <w:tr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+1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m=2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3.741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3.812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4.082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4.568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5.396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−1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linear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3.718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3.764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3.968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4.316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4.797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5.407</w:t>
            </w:r>
          </w:p>
        </w:tc>
      </w:tr>
      <w:tr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−1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m=1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3.719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3.778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4.110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4.870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6.286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8.566</w:t>
            </w:r>
          </w:p>
        </w:tc>
      </w:tr>
      <w:tr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−1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m=2 f=0.20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3.718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3.765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3.985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4.406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5.103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6.230</w:t>
            </w:r>
          </w:p>
        </w:tc>
      </w:tr>
      <w:tr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−1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m=2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3.718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3.765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3.990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4.436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5.241</w:t>
            </w:r>
          </w:p>
        </w:tc>
        <w:tc>
          <w:tcPr>
            <w:tcW w:type="dxa" w:w="893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none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S9.</w:t>
      </w:r>
      <w:r>
        <w:rPr>
          <w:sz w:val="19"/>
        </w:rPr>
        <w:t xml:space="preserve"> Sensitivity to the viscosity multiplier at 200 N m (s</w:t>
      </w:r>
      <w:r>
        <w:rPr>
          <w:sz w:val="19"/>
          <w:vertAlign w:val="subscript"/>
        </w:rPr>
        <w:t>c</w:t>
      </w:r>
      <w:r>
        <w:rPr>
          <w:sz w:val="19"/>
        </w:rPr>
        <w:t xml:space="preserve"> = 0.5).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728"/>
        <w:gridCol w:w="1152"/>
        <w:gridCol w:w="1152"/>
      </w:tblGrid>
      <w:tr>
        <w:trPr>
          <w:tblHeader w:val="true"/>
        </w:trPr>
        <w:tc>
          <w:tcPr>
            <w:tcW w:type="dxa" w:w="72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Pr</w:t>
            </w:r>
          </w:p>
        </w:tc>
        <w:tc>
          <w:tcPr>
            <w:tcW w:type="dxa" w:w="172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Closure</w:t>
            </w:r>
          </w:p>
        </w:tc>
        <w:tc>
          <w:tcPr>
            <w:tcW w:type="dxa" w:w="115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Θ</w:t>
            </w:r>
            <w:r>
              <w:rPr>
                <w:b/>
                <w:sz w:val="16"/>
                <w:vertAlign w:val="subscript"/>
              </w:rPr>
              <w:t>max</w:t>
            </w:r>
          </w:p>
        </w:tc>
        <w:tc>
          <w:tcPr>
            <w:tcW w:type="dxa" w:w="115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Q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linear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0.384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4.949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m=1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0.365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6.443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m=2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0.378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5.396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linear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0.199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4.058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m=1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0.197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4.217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m=2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0.198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4.082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linear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3.811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m=1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3.830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m=2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3.812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S10.</w:t>
      </w:r>
      <w:r>
        <w:rPr>
          <w:sz w:val="19"/>
        </w:rPr>
        <w:t xml:space="preserve"> Gain with torque-driven shear against s</w:t>
      </w:r>
      <w:r>
        <w:rPr>
          <w:sz w:val="19"/>
          <w:vertAlign w:val="subscript"/>
        </w:rPr>
        <w:t>c</w:t>
      </w:r>
      <w:r>
        <w:rPr>
          <w:sz w:val="19"/>
        </w:rPr>
        <w:t xml:space="preserve"> (constant viscosity, shears adding, N = 100).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72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</w:t>
            </w:r>
            <w:r>
              <w:rPr>
                <w:b/>
                <w:sz w:val="16"/>
                <w:vertAlign w:val="subscript"/>
              </w:rPr>
              <w:t>c</w:t>
            </w:r>
          </w:p>
        </w:tc>
        <w:tc>
          <w:tcPr>
            <w:tcW w:type="dxa" w:w="108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Q at 0</w:t>
            </w:r>
          </w:p>
        </w:tc>
        <w:tc>
          <w:tcPr>
            <w:tcW w:type="dxa" w:w="108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25</w:t>
            </w:r>
          </w:p>
        </w:tc>
        <w:tc>
          <w:tcPr>
            <w:tcW w:type="dxa" w:w="108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36</w:t>
            </w:r>
          </w:p>
        </w:tc>
        <w:tc>
          <w:tcPr>
            <w:tcW w:type="dxa" w:w="108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50</w:t>
            </w:r>
          </w:p>
        </w:tc>
        <w:tc>
          <w:tcPr>
            <w:tcW w:type="dxa" w:w="108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100</w:t>
            </w:r>
          </w:p>
        </w:tc>
        <w:tc>
          <w:tcPr>
            <w:tcW w:type="dxa" w:w="1080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200 N m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3.704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3.712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3.718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3.729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3.793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4.030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3.710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3.741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3.767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3.811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4.058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4.949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3.725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3.811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3.882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4.000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4.656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6.929</w:t>
            </w:r>
          </w:p>
        </w:tc>
      </w:tr>
      <w:tr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3.754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3.947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4.102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4.358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5.745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10.187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S11.</w:t>
      </w:r>
      <w:r>
        <w:rPr>
          <w:sz w:val="19"/>
        </w:rPr>
        <w:t xml:space="preserve"> Heat-closure uncertainty study (128 points, 128 converged): sampled ranges, rank correlations, and gain percentiles. Baseline Q: 1.63 / 3.51 / 7.12 (5 / 50 / 95 %).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728"/>
        <w:gridCol w:w="1872"/>
        <w:gridCol w:w="1584"/>
        <w:gridCol w:w="1584"/>
      </w:tblGrid>
      <w:tr>
        <w:trPr>
          <w:tblHeader w:val="true"/>
        </w:trPr>
        <w:tc>
          <w:tcPr>
            <w:tcW w:type="dxa" w:w="2016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72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Range</w:t>
            </w:r>
          </w:p>
        </w:tc>
        <w:tc>
          <w:tcPr>
            <w:tcW w:type="dxa" w:w="187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Spearman ρ, gain at 0.3</w:t>
            </w:r>
          </w:p>
        </w:tc>
        <w:tc>
          <w:tcPr>
            <w:tcW w:type="dxa" w:w="158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at 0.1</w:t>
            </w:r>
          </w:p>
        </w:tc>
        <w:tc>
          <w:tcPr>
            <w:tcW w:type="dxa" w:w="158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at 0.05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χ</w:t>
            </w:r>
            <w:r>
              <w:rPr>
                <w:sz w:val="16"/>
                <w:vertAlign w:val="subscript"/>
              </w:rPr>
              <w:t>s</w:t>
            </w:r>
            <w:r>
              <w:rPr>
                <w:sz w:val="16"/>
              </w:rPr>
              <w:t xml:space="preserve"> (m² s</w:t>
            </w:r>
            <w:r>
              <w:rPr>
                <w:sz w:val="16"/>
                <w:vertAlign w:val="superscript"/>
              </w:rPr>
              <w:t>−1</w:t>
            </w:r>
            <w:r>
              <w:rPr>
                <w:sz w:val="16"/>
              </w:rPr>
              <w:t>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0.7 – 1.4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-0.40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-0.43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-0.45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κ</w:t>
            </w:r>
            <w:r>
              <w:rPr>
                <w:sz w:val="16"/>
                <w:vertAlign w:val="subscript"/>
              </w:rPr>
              <w:t>c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3.6 – 4.4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-0.34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-0.31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-0.29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w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 – 0.7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0.14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0.11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T</w:t>
            </w:r>
            <w:r>
              <w:rPr>
                <w:sz w:val="16"/>
                <w:vertAlign w:val="subscript"/>
              </w:rPr>
              <w:t>a</w:t>
            </w:r>
            <w:r>
              <w:rPr>
                <w:sz w:val="16"/>
              </w:rPr>
              <w:t xml:space="preserve"> (keV)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 – 5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0.44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0.43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0.32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n</w:t>
            </w:r>
            <w:r>
              <w:rPr>
                <w:sz w:val="16"/>
                <w:vertAlign w:val="subscript"/>
              </w:rPr>
              <w:t>0</w:t>
            </w:r>
            <w:r>
              <w:rPr>
                <w:sz w:val="16"/>
              </w:rPr>
              <w:t xml:space="preserve"> (m</w:t>
            </w:r>
            <w:r>
              <w:rPr>
                <w:sz w:val="16"/>
                <w:vertAlign w:val="superscript"/>
              </w:rPr>
              <w:t>−3</w:t>
            </w:r>
            <w:r>
              <w:rPr>
                <w:sz w:val="16"/>
              </w:rPr>
              <w:t>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8e+19 – 1.2e+20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0.18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0.17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0.20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B (T)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4.8 – 5.8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-0.68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-0.65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-0.62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ℓ (m)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0.02 – 0.1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-0.06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-0.21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-0.37</w:t>
            </w:r>
          </w:p>
        </w:tc>
      </w:tr>
      <w:tr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gain 5 / 50 / 95 %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0.47 / 0.61 / 0.79 %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4.4 / 5.8 / 7.6 %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17.9 / 23.8 / 32.2 %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S12.</w:t>
      </w:r>
      <w:r>
        <w:rPr>
          <w:sz w:val="19"/>
        </w:rPr>
        <w:t xml:space="preserve"> Torque uncertainty study (64 points, 64 converged): gain 0–37 % (median 4 %).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872"/>
        <w:gridCol w:w="2304"/>
      </w:tblGrid>
      <w:tr>
        <w:trPr>
          <w:tblHeader w:val="true"/>
        </w:trPr>
        <w:tc>
          <w:tcPr>
            <w:tcW w:type="dxa" w:w="230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87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Range</w:t>
            </w:r>
          </w:p>
        </w:tc>
        <w:tc>
          <w:tcPr>
            <w:tcW w:type="dxa" w:w="2304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Spearman ρ with the gain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torque (N m)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25 – 200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0.58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torque width (a)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 – 0.6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-0.11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Pr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 – 4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-0.51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</w:t>
            </w:r>
            <w:r>
              <w:rPr>
                <w:sz w:val="16"/>
                <w:vertAlign w:val="subscript"/>
              </w:rPr>
              <w:t>c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 – 1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-0.53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orientation σ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-1 – 1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ℓ (m)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0.02 – 0.1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-0.05</w:t>
            </w:r>
          </w:p>
        </w:tc>
      </w:tr>
    </w:tbl>
    <w:p>
      <w:pPr>
        <w:spacing w:after="40"/>
      </w:pPr>
    </w:p>
    <w:p>
      <w:pPr>
        <w:keepNext/>
        <w:spacing w:line="276" w:lineRule="auto" w:after="200"/>
      </w:pPr>
      <w:r>
        <w:rPr>
          <w:b/>
          <w:sz w:val="19"/>
        </w:rPr>
        <w:t>Table S13.</w:t>
      </w:r>
      <w:r>
        <w:rPr>
          <w:sz w:val="19"/>
        </w:rPr>
        <w:t xml:space="preserve"> Calibration formulas and values.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748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Reference device</w:t>
            </w:r>
          </w:p>
        </w:tc>
        <w:tc>
          <w:tcPr>
            <w:tcW w:type="dxa" w:w="748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R</w:t>
            </w:r>
            <w:r>
              <w:rPr>
                <w:sz w:val="16"/>
                <w:vertAlign w:val="subscript"/>
              </w:rPr>
              <w:t>0</w:t>
            </w:r>
            <w:r>
              <w:rPr>
                <w:sz w:val="16"/>
              </w:rPr>
              <w:t xml:space="preserve"> = 6.2 m, a = 2.0 m, B = 5.3 T, I</w:t>
            </w:r>
            <w:r>
              <w:rPr>
                <w:sz w:val="16"/>
                <w:vertAlign w:val="subscript"/>
              </w:rPr>
              <w:t>p</w:t>
            </w:r>
            <w:r>
              <w:rPr>
                <w:sz w:val="16"/>
              </w:rPr>
              <w:t xml:space="preserve"> = 15 MA, κ</w:t>
            </w:r>
            <w:r>
              <w:rPr>
                <w:sz w:val="16"/>
                <w:vertAlign w:val="subscript"/>
              </w:rPr>
              <w:t>a</w:t>
            </w:r>
            <w:r>
              <w:rPr>
                <w:sz w:val="16"/>
              </w:rPr>
              <w:t xml:space="preserve"> = 1.7, 2.5 amu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IPB98(y,2)</w:t>
            </w:r>
          </w:p>
        </w:tc>
        <w:tc>
          <w:tcPr>
            <w:tcW w:type="dxa" w:w="748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τ = 0.0562 I</w:t>
            </w:r>
            <w:r>
              <w:rPr>
                <w:sz w:val="16"/>
                <w:vertAlign w:val="superscript"/>
              </w:rPr>
              <w:t>0.93</w:t>
            </w:r>
            <w:r>
              <w:rPr>
                <w:sz w:val="16"/>
              </w:rPr>
              <w:t>B</w:t>
            </w:r>
            <w:r>
              <w:rPr>
                <w:sz w:val="16"/>
                <w:vertAlign w:val="superscript"/>
              </w:rPr>
              <w:t>0.15</w:t>
            </w:r>
            <w:r>
              <w:rPr>
                <w:sz w:val="16"/>
              </w:rPr>
              <w:t>P</w:t>
            </w:r>
            <w:r>
              <w:rPr>
                <w:sz w:val="16"/>
                <w:vertAlign w:val="superscript"/>
              </w:rPr>
              <w:t>−0.69</w:t>
            </w:r>
            <w:r>
              <w:rPr>
                <w:sz w:val="16"/>
              </w:rPr>
              <w:t>n</w:t>
            </w:r>
            <w:r>
              <w:rPr>
                <w:sz w:val="16"/>
                <w:vertAlign w:val="subscript"/>
              </w:rPr>
              <w:t>19</w:t>
            </w:r>
            <w:r>
              <w:rPr>
                <w:sz w:val="16"/>
                <w:vertAlign w:val="superscript"/>
              </w:rPr>
              <w:t>0.41</w:t>
            </w:r>
            <w:r>
              <w:rPr>
                <w:sz w:val="16"/>
              </w:rPr>
              <w:t>M</w:t>
            </w:r>
            <w:r>
              <w:rPr>
                <w:sz w:val="16"/>
                <w:vertAlign w:val="superscript"/>
              </w:rPr>
              <w:t>0.19</w:t>
            </w:r>
            <w:r>
              <w:rPr>
                <w:sz w:val="16"/>
              </w:rPr>
              <w:t>R</w:t>
            </w:r>
            <w:r>
              <w:rPr>
                <w:sz w:val="16"/>
                <w:vertAlign w:val="superscript"/>
              </w:rPr>
              <w:t>1.97</w:t>
            </w:r>
            <w:r>
              <w:rPr>
                <w:sz w:val="16"/>
              </w:rPr>
              <w:t>ε</w:t>
            </w:r>
            <w:r>
              <w:rPr>
                <w:sz w:val="16"/>
                <w:vertAlign w:val="superscript"/>
              </w:rPr>
              <w:t>0.58</w:t>
            </w:r>
            <w:r>
              <w:rPr>
                <w:sz w:val="16"/>
              </w:rPr>
              <w:t>κ</w:t>
            </w:r>
            <w:r>
              <w:rPr>
                <w:sz w:val="16"/>
                <w:vertAlign w:val="subscript"/>
              </w:rPr>
              <w:t>a</w:t>
            </w:r>
            <w:r>
              <w:rPr>
                <w:sz w:val="16"/>
                <w:vertAlign w:val="superscript"/>
              </w:rPr>
              <w:t>0.78</w:t>
            </w:r>
            <w:r>
              <w:rPr>
                <w:sz w:val="16"/>
              </w:rPr>
              <w:t xml:space="preserve"> (s; MA, T, MW, 10</w:t>
            </w:r>
            <w:r>
              <w:rPr>
                <w:sz w:val="16"/>
                <w:vertAlign w:val="superscript"/>
              </w:rPr>
              <w:t>19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  <w:vertAlign w:val="superscript"/>
              </w:rPr>
              <w:t>−3</w:t>
            </w:r>
            <w:r>
              <w:rPr>
                <w:sz w:val="16"/>
              </w:rPr>
              <w:t>, amu, m)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ITER89-P</w:t>
            </w:r>
          </w:p>
        </w:tc>
        <w:tc>
          <w:tcPr>
            <w:tcW w:type="dxa" w:w="748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τ = 0.048 M</w:t>
            </w:r>
            <w:r>
              <w:rPr>
                <w:sz w:val="16"/>
                <w:vertAlign w:val="superscript"/>
              </w:rPr>
              <w:t>0.5</w:t>
            </w:r>
            <w:r>
              <w:rPr>
                <w:sz w:val="16"/>
              </w:rPr>
              <w:t>I</w:t>
            </w:r>
            <w:r>
              <w:rPr>
                <w:sz w:val="16"/>
                <w:vertAlign w:val="superscript"/>
              </w:rPr>
              <w:t>0.85</w:t>
            </w:r>
            <w:r>
              <w:rPr>
                <w:sz w:val="16"/>
              </w:rPr>
              <w:t>R</w:t>
            </w:r>
            <w:r>
              <w:rPr>
                <w:sz w:val="16"/>
                <w:vertAlign w:val="superscript"/>
              </w:rPr>
              <w:t>1.2</w:t>
            </w:r>
            <w:r>
              <w:rPr>
                <w:sz w:val="16"/>
              </w:rPr>
              <w:t>a</w:t>
            </w:r>
            <w:r>
              <w:rPr>
                <w:sz w:val="16"/>
                <w:vertAlign w:val="superscript"/>
              </w:rPr>
              <w:t>0.3</w:t>
            </w:r>
            <w:r>
              <w:rPr>
                <w:sz w:val="16"/>
              </w:rPr>
              <w:t>κ</w:t>
            </w:r>
            <w:r>
              <w:rPr>
                <w:sz w:val="16"/>
                <w:vertAlign w:val="superscript"/>
              </w:rPr>
              <w:t>0.5</w:t>
            </w:r>
            <w:r>
              <w:rPr>
                <w:sz w:val="16"/>
              </w:rPr>
              <w:t>n</w:t>
            </w:r>
            <w:r>
              <w:rPr>
                <w:sz w:val="16"/>
                <w:vertAlign w:val="subscript"/>
              </w:rPr>
              <w:t>20</w:t>
            </w:r>
            <w:r>
              <w:rPr>
                <w:sz w:val="16"/>
                <w:vertAlign w:val="superscript"/>
              </w:rPr>
              <w:t>0.1</w:t>
            </w:r>
            <w:r>
              <w:rPr>
                <w:sz w:val="16"/>
              </w:rPr>
              <w:t>B</w:t>
            </w:r>
            <w:r>
              <w:rPr>
                <w:sz w:val="16"/>
                <w:vertAlign w:val="superscript"/>
              </w:rPr>
              <w:t>0.2</w:t>
            </w:r>
            <w:r>
              <w:rPr>
                <w:sz w:val="16"/>
              </w:rPr>
              <w:t>P</w:t>
            </w:r>
            <w:r>
              <w:rPr>
                <w:sz w:val="16"/>
                <w:vertAlign w:val="superscript"/>
              </w:rPr>
              <w:t>−0.5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β</w:t>
            </w:r>
            <w:r>
              <w:rPr>
                <w:sz w:val="16"/>
                <w:vertAlign w:val="subscript"/>
              </w:rPr>
              <w:t>N</w:t>
            </w:r>
            <w:r>
              <w:rPr>
                <w:sz w:val="16"/>
              </w:rPr>
              <w:t>; Greenwald</w:t>
            </w:r>
          </w:p>
        </w:tc>
        <w:tc>
          <w:tcPr>
            <w:tcW w:type="dxa" w:w="748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β</w:t>
            </w:r>
            <w:r>
              <w:rPr>
                <w:sz w:val="16"/>
                <w:vertAlign w:val="subscript"/>
              </w:rPr>
              <w:t>N</w:t>
            </w:r>
            <w:r>
              <w:rPr>
                <w:sz w:val="16"/>
              </w:rPr>
              <w:t xml:space="preserve"> = 100 β aB/I</w:t>
            </w:r>
            <w:r>
              <w:rPr>
                <w:sz w:val="16"/>
                <w:vertAlign w:val="subscript"/>
              </w:rPr>
              <w:t>p</w:t>
            </w:r>
            <w:r>
              <w:rPr>
                <w:sz w:val="16"/>
              </w:rPr>
              <w:t xml:space="preserve"> (β from 2μ</w:t>
            </w:r>
            <w:r>
              <w:rPr>
                <w:sz w:val="16"/>
                <w:vertAlign w:val="subscript"/>
              </w:rPr>
              <w:t>0</w:t>
            </w:r>
            <w:r>
              <w:rPr>
                <w:sz w:val="16"/>
              </w:rPr>
              <w:t>⟨p⟩/B², p = 2nT); n</w:t>
            </w:r>
            <w:r>
              <w:rPr>
                <w:sz w:val="16"/>
                <w:vertAlign w:val="subscript"/>
              </w:rPr>
              <w:t>G</w:t>
            </w:r>
            <w:r>
              <w:rPr>
                <w:sz w:val="16"/>
              </w:rPr>
              <w:t xml:space="preserve"> = I</w:t>
            </w:r>
            <w:r>
              <w:rPr>
                <w:sz w:val="16"/>
                <w:vertAlign w:val="subscript"/>
              </w:rPr>
              <w:t>p</w:t>
            </w:r>
            <w:r>
              <w:rPr>
                <w:sz w:val="16"/>
              </w:rPr>
              <w:t>/πa² = 1.19×10</w:t>
            </w:r>
            <w:r>
              <w:rPr>
                <w:sz w:val="16"/>
                <w:vertAlign w:val="superscript"/>
              </w:rPr>
              <w:t>20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  <w:vertAlign w:val="superscript"/>
              </w:rPr>
              <w:t>−3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Beam torque</w:t>
            </w:r>
          </w:p>
        </w:tc>
        <w:tc>
          <w:tcPr>
            <w:tcW w:type="dxa" w:w="748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T = 2PR</w:t>
            </w:r>
            <w:r>
              <w:rPr>
                <w:sz w:val="16"/>
                <w:vertAlign w:val="subscript"/>
              </w:rPr>
              <w:t>t</w:t>
            </w:r>
            <w:r>
              <w:rPr>
                <w:sz w:val="16"/>
              </w:rPr>
              <w:t>/v; v = 9.788×10</w:t>
            </w:r>
            <w:r>
              <w:rPr>
                <w:sz w:val="16"/>
                <w:vertAlign w:val="superscript"/>
              </w:rPr>
              <w:t>6</w:t>
            </w:r>
            <w:r>
              <w:rPr>
                <w:sz w:val="16"/>
              </w:rPr>
              <w:t xml:space="preserve"> m s</w:t>
            </w:r>
            <w:r>
              <w:rPr>
                <w:sz w:val="16"/>
                <w:vertAlign w:val="superscript"/>
              </w:rPr>
              <w:t>−1</w:t>
            </w:r>
            <w:r>
              <w:rPr>
                <w:sz w:val="16"/>
              </w:rPr>
              <w:t>; R</w:t>
            </w:r>
            <w:r>
              <w:rPr>
                <w:sz w:val="16"/>
                <w:vertAlign w:val="subscript"/>
              </w:rPr>
              <w:t>t</w:t>
            </w:r>
            <w:r>
              <w:rPr>
                <w:sz w:val="16"/>
              </w:rPr>
              <w:t xml:space="preserve"> = 4.5, 5.3, 6.0 m: 30.3, 35.7, 40.5 N m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Ion gyroradius</w:t>
            </w:r>
          </w:p>
        </w:tc>
        <w:tc>
          <w:tcPr>
            <w:tcW w:type="dxa" w:w="748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ρ</w:t>
            </w:r>
            <w:r>
              <w:rPr>
                <w:sz w:val="16"/>
                <w:vertAlign w:val="subscript"/>
              </w:rPr>
              <w:t>i</w:t>
            </w:r>
            <w:r>
              <w:rPr>
                <w:sz w:val="16"/>
              </w:rPr>
              <w:t xml:space="preserve"> = (m</w:t>
            </w:r>
            <w:r>
              <w:rPr>
                <w:sz w:val="16"/>
                <w:vertAlign w:val="subscript"/>
              </w:rPr>
              <w:t>i</w:t>
            </w:r>
            <w:r>
              <w:rPr>
                <w:sz w:val="16"/>
              </w:rPr>
              <w:t>T)</w:t>
            </w:r>
            <w:r>
              <w:rPr>
                <w:sz w:val="16"/>
                <w:vertAlign w:val="superscript"/>
              </w:rPr>
              <w:t>1/2</w:t>
            </w:r>
            <w:r>
              <w:rPr>
                <w:sz w:val="16"/>
              </w:rPr>
              <w:t>/eB = 3.04 mm at 10 keV, 5.3 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S4 Reproduction and file manifest</w:t>
      </w:r>
    </w:p>
    <w:p>
      <w:pPr>
        <w:keepNext w:val="0"/>
        <w:jc w:val="both"/>
      </w:pPr>
      <w:r>
        <w:t>Running code/reproduce.py (about 40 minutes), code/tests.py (about 5 minutes), and code/figures.py regenerates results.json and the figures; the builders in manuscript/ produce the manuscript, this file, and the cover letter. No experimental data are used. The repository is https://github.com/sandlerleon/tokamak-statedependent-closure (release v1.1.0), archived at https://doi.org/10.5281/zenodo.23251965. The first 16 hexadecimal digits of the SHA-256 checksum of each file at release v1.1.0 follow.</w:t>
      </w:r>
    </w:p>
    <w:p>
      <w:pPr>
        <w:keepNext/>
        <w:spacing w:line="276" w:lineRule="auto" w:after="200"/>
      </w:pPr>
      <w:r>
        <w:rPr>
          <w:b/>
          <w:sz w:val="19"/>
        </w:rPr>
        <w:t>Table S14.</w:t>
      </w:r>
      <w:r>
        <w:rPr>
          <w:sz w:val="19"/>
        </w:rPr>
        <w:t xml:space="preserve"> File manifest.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3168"/>
      </w:tblGrid>
      <w:tr>
        <w:trPr>
          <w:tblHeader w:val="true"/>
        </w:trPr>
        <w:tc>
          <w:tcPr>
            <w:tcW w:type="dxa" w:w="460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File</w:t>
            </w:r>
          </w:p>
        </w:tc>
        <w:tc>
          <w:tcPr>
            <w:tcW w:type="dxa" w:w="3168"/>
            <w:shd w:val="clear" w:color="auto" w:fill="E7ECF1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SHA-256 (first 16 hex digits)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code/arclength.py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a39fa290fd94d40f…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code/calibration.py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5829b78730ca8933…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code/coupled.py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94151dcaf32d9794…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code/ellipticity.py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ac79b461a1a1f524…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code/figures.py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bbd244c36bb0a5a7…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code/model.py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9a4234d3e4c6cf6d…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code/momentum.py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57957a0a80d58b34…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code/reproduce.py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5fb45ea5344d2ade…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code/stability.py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bde7f32cb4349a3e…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code/tests.py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b977c0c0260c283b…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code/theory.py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da498cb934d03489…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code/uncertainty.py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865715086ab33eae…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refs/build_refs.py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cc2123ae9bba6211…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results.json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f74c6618cc10869e…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requirements.txt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6377368e2a7d6230…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LICENSE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c9c53f85a70adf9f…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figures/fig1_profiles.png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cef31730909a7c45…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figures/fig2_illposed.png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3d6877d1865e3771…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figures/fig3_smoothed.png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a8eb0e632d2832f9…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figures/fig4_admissibility.png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356a5f246d35659a…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figures/fig5_torque.png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175645d64b5f3b5b…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figures/figS1_power_scan.png</w:t>
            </w:r>
          </w:p>
        </w:tc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dbc5ad71f3cdeb84…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