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sz w:val="44"/>
        </w:rPr>
        <w:t>Numerical Admissibility and Regularization of Shear-Suppression Closures for Reduced Tokamak Transport</w:t>
      </w:r>
    </w:p>
    <w:p>
      <w:pPr>
        <w:spacing w:after="40"/>
        <w:jc w:val="center"/>
      </w:pPr>
      <w:r>
        <w:rPr>
          <w:sz w:val="22"/>
        </w:rPr>
        <w:t>Leon Sandler</w:t>
      </w:r>
    </w:p>
    <w:p>
      <w:pPr>
        <w:jc w:val="center"/>
      </w:pPr>
      <w:r>
        <w:rPr>
          <w:i/>
          <w:sz w:val="18"/>
        </w:rPr>
        <w:t>Independent researcher, Northbrook, IL 60062 USA (e-mail: sandler.leon@gmail.com; ORCID: 0009-0007-4584-808X)</w:t>
      </w:r>
    </w:p>
    <w:p>
      <w:pPr>
        <w:spacing w:after="80"/>
      </w:pPr>
    </w:p>
    <w:p>
      <w:pPr>
        <w:spacing w:after="80"/>
        <w:jc w:val="both"/>
      </w:pPr>
      <w:r>
        <w:rPr>
          <w:b/>
          <w:i/>
          <w:sz w:val="18"/>
        </w:rPr>
        <w:t>Abstract—</w:t>
      </w:r>
      <w:r>
        <w:rPr>
          <w:b/>
          <w:sz w:val="18"/>
        </w:rPr>
        <w:t>Closures in which turbulent heat transport is suppressed by sheared plasma flow make the transport coefficient depend on the evolving profile, yet the conditions under which they define a solvable problem are rarely examined. This paper studies such closures in a reduced model of a reactor-scale tokamak, with a one-dimensional radial energy balance, fusion heating, and a toroidal-rotation equation, so that only the closure changes between runs. The local closure, whose shearing rate contains the second derivative of the temperature, is found numerically to be ill posed: its steady state depends on how the edge is treated, and a grid-scale instability appears at a threshold that grows as the square root of the number of cells. A closure that smooths the shearing rate over a fixed length is stable and grid converged over the tested conditions; its fusion gain converges at second order and is fitted by an inverse-square relation in the suppression threshold. For momentum transport, a steady flux relation gives closed-form conditions under which a shear-dependent viscosity admits a steady rotation profile and predicts its saturation, fold, and hysteresis, which direct solutions reproduce to ten digits. The baseline, with its edge temperature imposed, is consistent with an L-mode scaling (a check, not a validation), the smoothed closure raises the fusion gain by 0.6% at a threshold of 0.3 and by 6% at 0.1, and neutral-beam torque of reactor size adds about 1.5%. Parameter uncertainty is quantified. No experimental data are used.</w:t>
      </w:r>
    </w:p>
    <w:p>
      <w:pPr>
        <w:spacing w:after="160"/>
        <w:jc w:val="both"/>
      </w:pPr>
      <w:r>
        <w:rPr>
          <w:b/>
          <w:i/>
          <w:sz w:val="18"/>
        </w:rPr>
        <w:t>Index Terms—</w:t>
      </w:r>
      <w:r>
        <w:rPr>
          <w:b/>
          <w:sz w:val="18"/>
        </w:rPr>
        <w:t>Bifurcation, fusion reactors, numerical stability, plasma confinement, plasma transport processes, tokamaks.</w:t>
      </w:r>
    </w:p>
    <w:p>
      <w:pPr>
        <w:sectPr>
          <w:footerReference w:type="default" r:id="rId9"/>
          <w:pgSz w:w="12240" w:h="15840"/>
          <w:pgMar w:top="1080" w:right="900" w:bottom="1440" w:left="900" w:header="720" w:footer="720" w:gutter="0"/>
          <w:docGrid w:linePitch="360"/>
          <w:cols w:num="1"/>
        </w:sectPr>
      </w:pPr>
    </w:p>
    <w:p>
      <w:pPr>
        <w:keepNext/>
        <w:spacing w:before="160" w:after="80"/>
        <w:jc w:val="center"/>
      </w:pPr>
      <w:r>
        <w:rPr>
          <w:sz w:val="20"/>
        </w:rPr>
        <w:t>I. INTRODUCTION</w:t>
      </w:r>
    </w:p>
    <w:p>
      <w:pPr>
        <w:spacing w:after="40"/>
        <w:ind w:firstLine="245"/>
        <w:jc w:val="both"/>
      </w:pPr>
      <w:r>
        <w:rPr>
          <w:sz w:val="20"/>
        </w:rPr>
        <w:t>Predicting energy confinement in a tokamak requires a model of the transport driven by micro-turbulence. The transport is stiff: above a critical normalized temperature gradient a small increase of the gradient produces a large increase of the heat flux, so profiles are pinned near marginal stability [1], [2]. Sheared E×B flow decorrelates the turbulence and reduces the transport; this underlies the edge transport barrier and many improved-confinement regimes [3]–[6], and quench rules that suppress the turbulence when the shearing rate exceeds a growth-rate scale are used in transport models [7]. A closure that encodes this is state dependent: the shearing rate is a function of the evolving profile, and the feedback it creates is the standard route to bistability and hysteresis in models of the L–H transition [8], [9].</w:t>
      </w:r>
    </w:p>
    <w:p>
      <w:pPr>
        <w:spacing w:after="40"/>
        <w:ind w:firstLine="245"/>
        <w:jc w:val="both"/>
      </w:pPr>
      <w:r>
        <w:rPr>
          <w:sz w:val="20"/>
        </w:rPr>
        <w:t>Whether such a closure defines a well-behaved steady problem, and how much it changes the fusion gain under controlled conditions, are separate questions that are seldom answered together. This paper makes four contributions.</w:t>
      </w:r>
    </w:p>
    <w:p>
      <w:pPr>
        <w:spacing w:after="20"/>
        <w:ind w:left="288" w:hanging="245"/>
        <w:jc w:val="both"/>
      </w:pPr>
      <w:r>
        <w:rPr>
          <w:sz w:val="20"/>
        </w:rPr>
        <w:t>1)  Closed-form admissibility conditions for shear-dependent flux closures, from a steady flux relation, with the saturation, fold, and hysteresis predicted when they fail (Section III), tested against direct solutions (Section V-C).</w:t>
      </w:r>
    </w:p>
    <w:p>
      <w:pPr>
        <w:spacing w:after="20"/>
        <w:ind w:left="288" w:hanging="245"/>
        <w:jc w:val="both"/>
      </w:pPr>
      <w:r>
        <w:rPr>
          <w:sz w:val="20"/>
        </w:rPr>
        <w:t>2)  A diagnosis of the local heat closure: because the shearing rate contains the second derivative of the temperature, the steady problem is numerically ill posed, and a smoothed (adaptive-field) closure with a fixed length restores numerical stability and convergence over the tested conditions (Sections III-B and V-A).</w:t>
      </w:r>
    </w:p>
    <w:p>
      <w:pPr>
        <w:spacing w:after="20"/>
        <w:ind w:left="288" w:hanging="245"/>
        <w:jc w:val="both"/>
      </w:pPr>
      <w:r>
        <w:rPr>
          <w:sz w:val="20"/>
        </w:rPr>
        <w:t>3)  A controlled, verified comparison in which only the closure differs, with grid-converged results, a fitted gain relation, a torque-driven extension, and a parameter-uncertainty study (Sections V-B to V-E).</w:t>
      </w:r>
    </w:p>
    <w:p>
      <w:pPr>
        <w:spacing w:after="20"/>
        <w:ind w:left="288" w:hanging="245"/>
        <w:jc w:val="both"/>
      </w:pPr>
      <w:r>
        <w:rPr>
          <w:sz w:val="20"/>
        </w:rPr>
        <w:t>4)  A physical calibration: the baseline is benchmarked against recognized confinement scalings, operating limits, and neutral-beam torque, and the conclusions are stated as conditional on the unknown suppression threshold (Section VI).</w:t>
      </w:r>
    </w:p>
    <w:p>
      <w:pPr>
        <w:spacing w:after="40"/>
        <w:ind w:firstLine="245"/>
        <w:jc w:val="both"/>
      </w:pPr>
      <w:r>
        <w:rPr>
          <w:sz w:val="20"/>
        </w:rPr>
        <w:t>Nothing is fitted to experiment, no new fluid equation is proposed, and the model describes no specific device; the results are statements about closures in a reduced model. “Well posed” is used here in a numerical sense: the admissibility conditions of Section III are proved, but for the nonlinear heat problem existence, uniqueness, and continuous dependence are not, and the evidence is numerical (eigenvalues, convergence orders, edge-condition variants).</w:t>
      </w:r>
    </w:p>
    <w:p>
      <w:pPr>
        <w:keepNext/>
        <w:spacing w:before="160" w:after="80"/>
        <w:jc w:val="center"/>
      </w:pPr>
      <w:r>
        <w:rPr>
          <w:sz w:val="20"/>
        </w:rPr>
        <w:t>II. MODEL</w:t>
      </w:r>
    </w:p>
    <w:p>
      <w:pPr>
        <w:keepNext/>
        <w:spacing w:before="80" w:after="40"/>
      </w:pPr>
      <w:r>
        <w:rPr>
          <w:i/>
        </w:rPr>
        <w:t xml:space="preserve">A. </w:t>
      </w:r>
      <w:r>
        <w:rPr>
          <w:i/>
        </w:rPr>
        <w:t>Energy Balance and Baseline Closure</w:t>
      </w:r>
    </w:p>
    <w:p>
      <w:pPr>
        <w:spacing w:after="40"/>
        <w:ind w:firstLine="245"/>
        <w:jc w:val="both"/>
      </w:pPr>
      <w:r>
        <w:rPr>
          <w:sz w:val="20"/>
        </w:rPr>
        <w:t>One temperature T(r) (electrons and ions equal) is solved on a circular torus with flux-surface radius r ∈ [0, a], major radius R</w:t>
      </w:r>
      <w:r>
        <w:rPr>
          <w:sz w:val="20"/>
          <w:vertAlign w:val="subscript"/>
        </w:rPr>
        <w:t>0</w:t>
      </w:r>
      <w:r>
        <w:rPr>
          <w:sz w:val="20"/>
        </w:rPr>
        <w:t>, and fixed density n(r) and safety factor q(r). The thermal energy density is 3nT, so a diffusivity χ acting on the energy per particle gives the heat flux −3nχ ∂</w:t>
      </w:r>
      <w:r>
        <w:rPr>
          <w:sz w:val="20"/>
          <w:vertAlign w:val="subscript"/>
        </w:rPr>
        <w:t>r</w:t>
      </w:r>
      <w:r>
        <w:rPr>
          <w:sz w:val="20"/>
        </w:rPr>
        <w:t>T (T in energy units):</w:t>
      </w:r>
    </w:p>
    <w:p>
      <w:pPr>
        <w:keepLines/>
        <w:tabs>
          <w:tab w:pos="2520" w:val="center"/>
          <w:tab w:pos="5040" w:val="right"/>
        </w:tabs>
        <w:spacing w:before="60" w:after="60"/>
      </w:pPr>
      <w:r>
        <w:tab/>
      </w:r>
      <m:oMath>
        <m:r>
          <m:rPr>
            <m:nor/>
          </m:rPr>
          <w:rPr>
            <w:rFonts w:ascii="Cambria Math" w:hAnsi="Cambria Math"/>
            <w:i w:val="0"/>
          </w:rPr>
          <m:t xml:space="preserve">3</m:t>
        </m:r>
        <m:r>
          <m:rPr>
            <m:sty m:val="i"/>
          </m:rPr>
          <w:rPr>
            <w:rFonts w:ascii="Cambria Math" w:hAnsi="Cambria Math"/>
            <w:i/>
          </w:rPr>
          <m:t xml:space="preserve">n</m:t>
        </m:r>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t</m:t>
            </m:r>
          </m:sub>
        </m:sSub>
        <m:r>
          <m:rPr>
            <m:sty m:val="i"/>
          </m:rPr>
          <w:rPr>
            <w:rFonts w:ascii="Cambria Math" w:hAnsi="Cambria Math"/>
            <w:i/>
          </w:rPr>
          <m:t xml:space="preserve">T</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r</m:t>
            </m:r>
          </m:den>
        </m:f>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d>
          <m:dPr>
            <m:begChr m:val="["/>
            <m:endChr m:val="]"/>
            <m:ctrlPr>
              <w:rPr>
                <w:rFonts w:ascii="Cambria Math" w:hAnsi="Cambria Math"/>
                <w:i/>
              </w:rPr>
            </m:ctrlPr>
          </m:dPr>
          <m:e>
            <m:r>
              <m:rPr>
                <m:nor/>
              </m:rPr>
              <w:rPr>
                <w:rFonts w:ascii="Cambria Math" w:hAnsi="Cambria Math"/>
                <w:i w:val="0"/>
              </w:rPr>
              <m:t xml:space="preserve">3</m:t>
            </m:r>
            <m:r>
              <m:rPr>
                <m:sty m:val="i"/>
              </m:rPr>
              <w:rPr>
                <w:rFonts w:ascii="Cambria Math" w:hAnsi="Cambria Math"/>
                <w:i/>
              </w:rPr>
              <m:t xml:space="preserve">r n χ</m:t>
            </m:r>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r>
              <m:rPr>
                <m:sty m:val="i"/>
              </m:rPr>
              <w:rPr>
                <w:rFonts w:ascii="Cambria Math" w:hAnsi="Cambria Math"/>
                <w:i/>
              </w:rPr>
              <m:t xml:space="preserve">T</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S</m:t>
            </m:r>
          </m:e>
          <m:sub>
            <m:r>
              <m:rPr>
                <m:nor/>
              </m:rPr>
              <w:rPr>
                <w:rFonts w:ascii="Cambria Math" w:hAnsi="Cambria Math"/>
                <w:i w:val="0"/>
              </w:rPr>
              <m:t xml:space="preserve">aux</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S</m:t>
            </m:r>
          </m:e>
          <m:sub>
            <m:r>
              <m:rPr>
                <m:nor/>
              </m:rPr>
              <w:rPr>
                <w:rFonts w:ascii="Cambria Math" w:hAnsi="Cambria Math"/>
                <w:i w:val="0"/>
              </w:rPr>
              <m:t xml:space="preserve">α</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S</m:t>
            </m:r>
          </m:e>
          <m:sub>
            <m:r>
              <m:rPr>
                <m:nor/>
              </m:rPr>
              <w:rPr>
                <w:rFonts w:ascii="Cambria Math" w:hAnsi="Cambria Math"/>
                <w:i w:val="0"/>
              </w:rPr>
              <m:t xml:space="preserve">rad</m:t>
            </m:r>
          </m:sub>
        </m:sSub>
        <m:r>
          <m:rPr>
            <m:nor/>
          </m:rPr>
          <w:rPr>
            <w:rFonts w:ascii="Cambria Math" w:hAnsi="Cambria Math"/>
            <w:i w:val="0"/>
          </w:rPr>
          <m:t xml:space="preserve">.</m:t>
        </m:r>
      </m:oMath>
      <w:r>
        <w:tab/>
        <w:t xml:space="preserve">(1)</w:t>
      </w:r>
    </w:p>
    <w:p>
      <w:pPr>
        <w:spacing w:after="40"/>
        <w:ind w:firstLine="245"/>
        <w:jc w:val="both"/>
      </w:pPr>
      <w:r>
        <w:rPr>
          <w:sz w:val="20"/>
        </w:rPr>
        <w:t>The sources are a Gaussian auxiliary heating of power P</w:t>
      </w:r>
      <w:r>
        <w:rPr>
          <w:sz w:val="20"/>
          <w:vertAlign w:val="subscript"/>
        </w:rPr>
        <w:t>aux</w:t>
      </w:r>
      <w:r>
        <w:rPr>
          <w:sz w:val="20"/>
        </w:rPr>
        <w:t>, alpha heating S</w:t>
      </w:r>
      <w:r>
        <w:rPr>
          <w:sz w:val="20"/>
          <w:vertAlign w:val="subscript"/>
        </w:rPr>
        <w:t>α</w:t>
      </w:r>
      <w:r>
        <w:rPr>
          <w:sz w:val="20"/>
        </w:rPr>
        <w:t xml:space="preserve"> = (n²/4)⟨σv⟩E</w:t>
      </w:r>
      <w:r>
        <w:rPr>
          <w:sz w:val="20"/>
          <w:vertAlign w:val="subscript"/>
        </w:rPr>
        <w:t>α</w:t>
      </w:r>
      <w:r>
        <w:rPr>
          <w:sz w:val="20"/>
        </w:rPr>
        <w:t xml:space="preserve"> for a 50:50 deuterium–tritium plasma with the Bosch–Hale reactivity [10], and bremsstrahlung S</w:t>
      </w:r>
      <w:r>
        <w:rPr>
          <w:sz w:val="20"/>
          <w:vertAlign w:val="subscript"/>
        </w:rPr>
        <w:t>rad</w:t>
      </w:r>
      <w:r>
        <w:rPr>
          <w:sz w:val="20"/>
        </w:rPr>
        <w:t xml:space="preserve"> = 5.35×10</w:t>
      </w:r>
      <w:r>
        <w:rPr>
          <w:sz w:val="20"/>
          <w:vertAlign w:val="superscript"/>
        </w:rPr>
        <w:t>−37</w:t>
      </w:r>
      <w:r>
        <w:rPr>
          <w:sz w:val="20"/>
        </w:rPr>
        <w:t xml:space="preserve"> n²T</w:t>
      </w:r>
      <w:r>
        <w:rPr>
          <w:sz w:val="20"/>
          <w:vertAlign w:val="superscript"/>
        </w:rPr>
        <w:t>1/2</w:t>
      </w:r>
      <w:r>
        <w:rPr>
          <w:sz w:val="20"/>
        </w:rPr>
        <w:t xml:space="preserve"> W m</w:t>
      </w:r>
      <w:r>
        <w:rPr>
          <w:sz w:val="20"/>
          <w:vertAlign w:val="superscript"/>
        </w:rPr>
        <w:t>−3</w:t>
      </w:r>
      <w:r>
        <w:rPr>
          <w:sz w:val="20"/>
        </w:rPr>
        <w:t xml:space="preserve"> (T in keV). The fusion power is P</w:t>
      </w:r>
      <w:r>
        <w:rPr>
          <w:sz w:val="20"/>
          <w:vertAlign w:val="subscript"/>
        </w:rPr>
        <w:t>fus</w:t>
      </w:r>
      <w:r>
        <w:rPr>
          <w:sz w:val="20"/>
        </w:rPr>
        <w:t xml:space="preserve"> = 5P</w:t>
      </w:r>
      <w:r>
        <w:rPr>
          <w:sz w:val="20"/>
          <w:vertAlign w:val="subscript"/>
        </w:rPr>
        <w:t>α</w:t>
      </w:r>
      <w:r>
        <w:rPr>
          <w:sz w:val="20"/>
        </w:rPr>
        <w:t>, the gain Q = P</w:t>
      </w:r>
      <w:r>
        <w:rPr>
          <w:sz w:val="20"/>
          <w:vertAlign w:val="subscript"/>
        </w:rPr>
        <w:t>fus</w:t>
      </w:r>
      <w:r>
        <w:rPr>
          <w:sz w:val="20"/>
        </w:rPr>
        <w:t>/P</w:t>
      </w:r>
      <w:r>
        <w:rPr>
          <w:sz w:val="20"/>
          <w:vertAlign w:val="subscript"/>
        </w:rPr>
        <w:t>aux</w:t>
      </w:r>
      <w:r>
        <w:rPr>
          <w:sz w:val="20"/>
        </w:rPr>
        <w:t>, and τ</w:t>
      </w:r>
      <w:r>
        <w:rPr>
          <w:sz w:val="20"/>
          <w:vertAlign w:val="subscript"/>
        </w:rPr>
        <w:t>E</w:t>
      </w:r>
      <w:r>
        <w:rPr>
          <w:sz w:val="20"/>
        </w:rPr>
        <w:t xml:space="preserve"> = W/(P</w:t>
      </w:r>
      <w:r>
        <w:rPr>
          <w:sz w:val="20"/>
          <w:vertAlign w:val="subscript"/>
        </w:rPr>
        <w:t>aux</w:t>
      </w:r>
      <w:r>
        <w:rPr>
          <w:sz w:val="20"/>
        </w:rPr>
        <w:t xml:space="preserve"> + P</w:t>
      </w:r>
      <w:r>
        <w:rPr>
          <w:sz w:val="20"/>
          <w:vertAlign w:val="subscript"/>
        </w:rPr>
        <w:t>α</w:t>
      </w:r>
      <w:r>
        <w:rPr>
          <w:sz w:val="20"/>
        </w:rPr>
        <w:t xml:space="preserve"> − P</w:t>
      </w:r>
      <w:r>
        <w:rPr>
          <w:sz w:val="20"/>
          <w:vertAlign w:val="subscript"/>
        </w:rPr>
        <w:t>rad</w:t>
      </w:r>
      <w:r>
        <w:rPr>
          <w:sz w:val="20"/>
        </w:rPr>
        <w:t>). The edge temperature is fixed at T</w:t>
      </w:r>
      <w:r>
        <w:rPr>
          <w:sz w:val="20"/>
          <w:vertAlign w:val="subscript"/>
        </w:rPr>
        <w:t>a</w:t>
      </w:r>
      <w:r>
        <w:rPr>
          <w:sz w:val="20"/>
        </w:rPr>
        <w:t xml:space="preserve"> = 4 keV. The model reduces the single-fluid magnetohydrodynamic description [11], [12] to a thermal-transport coefficient; no fluid equation is modified. Table I lists the parameters, which are generic reactor-scale values, not a model of a specific device. The baseline diffusivity is a smoothed critical-gradient form [1], [2],</w:t>
      </w:r>
    </w:p>
    <w:p>
      <w:pPr>
        <w:keepLines/>
        <w:tabs>
          <w:tab w:pos="2520" w:val="center"/>
          <w:tab w:pos="5040" w:val="right"/>
        </w:tabs>
        <w:spacing w:before="60" w:after="60"/>
      </w:pPr>
      <w:r>
        <w:tab/>
      </w:r>
      <m:oMath>
        <m:sSub>
          <m:sSubPr>
            <m:ctrlPr>
              <w:rPr>
                <w:rFonts w:ascii="Cambria Math" w:hAnsi="Cambria Math"/>
                <w:i/>
              </w:rPr>
            </m:ctrlPr>
          </m:sSubPr>
          <m:e>
            <m:r>
              <m:rPr>
                <m:sty m:val="i"/>
              </m:rPr>
              <w:rPr>
                <w:rFonts w:ascii="Cambria Math" w:hAnsi="Cambria Math"/>
                <w:i/>
              </w:rPr>
              <m:t xml:space="preserve">χ</m:t>
            </m:r>
          </m:e>
          <m:sub>
            <m:r>
              <m:rPr>
                <m:nor/>
              </m:rPr>
              <w:rPr>
                <w:rFonts w:ascii="Cambria Math" w:hAnsi="Cambria Math"/>
                <w:i w:val="0"/>
              </w:rPr>
              <m:t xml:space="preserve">base</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χ</m:t>
            </m:r>
          </m:e>
          <m:sub>
            <m:r>
              <m:rPr>
                <m:nor/>
              </m:rPr>
              <w:rPr>
                <w:rFonts w:ascii="Cambria Math" w:hAnsi="Cambria Math"/>
                <w:i w:val="0"/>
              </w:rPr>
              <m:t xml:space="preserve">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χ</m:t>
            </m:r>
          </m:e>
          <m:sub>
            <m:r>
              <m:rPr>
                <m:nor/>
              </m:rPr>
              <w:rPr>
                <w:rFonts w:ascii="Cambria Math" w:hAnsi="Cambria Math"/>
                <w:i w:val="0"/>
              </w:rPr>
              <m:t xml:space="preserve">s</m:t>
            </m:r>
          </m:sub>
        </m:sSub>
        <m:r>
          <m:rPr>
            <m:sty m:val="i"/>
          </m:rPr>
          <w:rPr>
            <w:rFonts w:ascii="Cambria Math" w:hAnsi="Cambria Math"/>
            <w:i/>
          </w:rPr>
          <m:t xml:space="preserve">w</m:t>
        </m:r>
        <m:r>
          <m:rPr>
            <m:nor/>
          </m:rPr>
          <w:rPr>
            <w:rFonts w:ascii="Cambria Math" w:hAnsi="Cambria Math"/>
            <w:i w:val="0"/>
          </w:rPr>
          <m:t xml:space="preserve"> ln</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κ</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c</m:t>
                        </m:r>
                      </m:sub>
                    </m:sSub>
                  </m:num>
                  <m:den>
                    <m:r>
                      <m:rPr>
                        <m:sty m:val="i"/>
                      </m:rPr>
                      <w:rPr>
                        <w:rFonts w:ascii="Cambria Math" w:hAnsi="Cambria Math"/>
                        <w:i/>
                      </w:rPr>
                      <m:t xml:space="preserve">w</m:t>
                    </m:r>
                  </m:den>
                </m:f>
              </m:e>
            </m:d>
          </m:e>
        </m:d>
        <m:r>
          <m:rPr>
            <m:nor/>
          </m:rPr>
          <w:rPr>
            <w:rFonts w:ascii="Cambria Math" w:hAnsi="Cambria Math"/>
            <w:i w:val="0"/>
          </w:rPr>
          <m:t xml:space="preserve">,   </m:t>
        </m:r>
        <m:r>
          <m:rPr>
            <m:sty m:val="i"/>
          </m:rPr>
          <w:rPr>
            <w:rFonts w:ascii="Cambria Math" w:hAnsi="Cambria Math"/>
            <w:i/>
          </w:rPr>
          <m:t xml:space="preserve">κ</m:t>
        </m:r>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0</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r>
              <m:rPr>
                <m:sty m:val="i"/>
              </m:rPr>
              <w:rPr>
                <w:rFonts w:ascii="Cambria Math" w:hAnsi="Cambria Math"/>
                <w:i/>
              </w:rPr>
              <m:t xml:space="preserve">T</m:t>
            </m:r>
            <m:r>
              <m:rPr>
                <m:nor/>
              </m:rPr>
              <w:rPr>
                <w:rFonts w:ascii="Cambria Math" w:hAnsi="Cambria Math"/>
                <w:i w:val="0"/>
              </w:rPr>
              <m:t xml:space="preserve">|</m:t>
            </m:r>
          </m:num>
          <m:den>
            <m:r>
              <m:rPr>
                <m:sty m:val="i"/>
              </m:rPr>
              <w:rPr>
                <w:rFonts w:ascii="Cambria Math" w:hAnsi="Cambria Math"/>
                <w:i/>
              </w:rPr>
              <m:t xml:space="preserve">T</m:t>
            </m:r>
          </m:den>
        </m:f>
        <m:r>
          <m:rPr>
            <m:nor/>
          </m:rPr>
          <w:rPr>
            <w:rFonts w:ascii="Cambria Math" w:hAnsi="Cambria Math"/>
            <w:i w:val="0"/>
          </w:rPr>
          <m:t xml:space="preserve">.</m:t>
        </m:r>
      </m:oMath>
      <w:r>
        <w:tab/>
        <w:t xml:space="preserve">(2)</w:t>
      </w:r>
    </w:p>
    <w:p>
      <w:pPr>
        <w:keepNext/>
        <w:spacing w:before="80" w:after="40"/>
      </w:pPr>
      <w:r>
        <w:rPr>
          <w:i/>
        </w:rPr>
        <w:t xml:space="preserve">B. </w:t>
      </w:r>
      <w:r>
        <w:rPr>
          <w:i/>
        </w:rPr>
        <w:t>State-Dependent Closure and the Adaptive Field</w:t>
      </w:r>
    </w:p>
    <w:p>
      <w:pPr>
        <w:spacing w:after="40"/>
        <w:ind w:firstLine="245"/>
        <w:jc w:val="both"/>
      </w:pPr>
      <w:r>
        <w:rPr>
          <w:sz w:val="20"/>
        </w:rPr>
        <w:t>The closure divides the baseline by a shear-suppression factor,</w:t>
      </w:r>
    </w:p>
    <w:p>
      <w:pPr>
        <w:keepLines/>
        <w:tabs>
          <w:tab w:pos="2520" w:val="center"/>
          <w:tab w:pos="5040" w:val="right"/>
        </w:tabs>
        <w:spacing w:before="60" w:after="60"/>
      </w:pPr>
      <w:r>
        <w:tab/>
      </w:r>
      <m:oMath>
        <m:r>
          <m:rPr>
            <m:sty m:val="i"/>
          </m:rPr>
          <w:rPr>
            <w:rFonts w:ascii="Cambria Math" w:hAnsi="Cambria Math"/>
            <w:i/>
          </w:rPr>
          <m:t xml:space="preserve">χ</m:t>
        </m:r>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χ</m:t>
                </m:r>
              </m:e>
              <m:sub>
                <m:r>
                  <m:rPr>
                    <m:nor/>
                  </m:rPr>
                  <w:rPr>
                    <w:rFonts w:ascii="Cambria Math" w:hAnsi="Cambria Math"/>
                    <w:i w:val="0"/>
                  </w:rPr>
                  <m:t xml:space="preserve">base</m:t>
                </m:r>
              </m:sub>
            </m:sSub>
          </m:num>
          <m:den>
            <m:r>
              <m:rPr>
                <m:nor/>
              </m:rPr>
              <w:rPr>
                <w:rFonts w:ascii="Cambria Math" w:hAnsi="Cambria Math"/>
                <w:i w:val="0"/>
              </w:rPr>
              <m:t xml:space="preserve">1</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A</m:t>
                </m:r>
              </m:num>
              <m:den>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s</m:t>
                        </m:r>
                      </m:e>
                      <m:sub>
                        <m:r>
                          <m:rPr>
                            <m:nor/>
                          </m:rPr>
                          <w:rPr>
                            <w:rFonts w:ascii="Cambria Math" w:hAnsi="Cambria Math"/>
                            <w:i w:val="0"/>
                          </w:rPr>
                          <m:t xml:space="preserve">c</m:t>
                        </m:r>
                      </m:sub>
                    </m:sSub>
                  </m:e>
                  <m:sup>
                    <m:r>
                      <m:rPr>
                        <m:nor/>
                      </m:rPr>
                      <w:rPr>
                        <w:rFonts w:ascii="Cambria Math" w:hAnsi="Cambria Math"/>
                        <w:i w:val="0"/>
                      </w:rPr>
                      <m:t xml:space="preserve">2</m:t>
                    </m:r>
                  </m:sup>
                </m:sSup>
              </m:den>
            </m:f>
          </m:den>
        </m:f>
        <m:r>
          <m:rPr>
            <m:nor/>
          </m:rPr>
          <w:rPr>
            <w:rFonts w:ascii="Cambria Math" w:hAnsi="Cambria Math"/>
            <w:i w:val="0"/>
          </w:rPr>
          <m:t xml:space="preserve">,   </m:t>
        </m:r>
        <m:r>
          <m:rPr>
            <m:sty m:val="i"/>
          </m:rPr>
          <w:rPr>
            <w:rFonts w:ascii="Cambria Math" w:hAnsi="Cambria Math"/>
            <w:i/>
          </w:rPr>
          <m:t xml:space="preserve">A</m:t>
        </m:r>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ℓ</m:t>
            </m:r>
          </m:e>
          <m:sup>
            <m:r>
              <m:rPr>
                <m:nor/>
              </m:rPr>
              <w:rPr>
                <w:rFonts w:ascii="Cambria Math" w:hAnsi="Cambria Math"/>
                <w:i w:val="0"/>
              </w:rPr>
              <m:t xml:space="preserve">2</m:t>
            </m:r>
          </m:sup>
        </m:sSup>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r</m:t>
            </m:r>
          </m:den>
        </m:f>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d>
          <m:dPr>
            <m:begChr m:val="("/>
            <m:endChr m:val=")"/>
            <m:ctrlPr>
              <w:rPr>
                <w:rFonts w:ascii="Cambria Math" w:hAnsi="Cambria Math"/>
                <w:i/>
              </w:rPr>
            </m:ctrlPr>
          </m:dPr>
          <m:e>
            <m:r>
              <m:rPr>
                <m:sty m:val="i"/>
              </m:rPr>
              <w:rPr>
                <w:rFonts w:ascii="Cambria Math" w:hAnsi="Cambria Math"/>
                <w:i/>
              </w:rPr>
              <m:t xml:space="preserve">r</m:t>
            </m:r>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r>
              <m:rPr>
                <m:sty m:val="i"/>
              </m:rPr>
              <w:rPr>
                <w:rFonts w:ascii="Cambria Math" w:hAnsi="Cambria Math"/>
                <w:i/>
              </w:rPr>
              <m:t xml:space="preserve">A</m:t>
            </m:r>
          </m:e>
        </m:d>
        <m:r>
          <m:rPr>
            <m:nor/>
          </m:rPr>
          <w:rPr>
            <w:rFonts w:ascii="Cambria Math" w:hAnsi="Cambria Math"/>
            <w:i w:val="0"/>
          </w:rPr>
          <m:t xml:space="preserve"> = </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ω</m:t>
                        </m:r>
                      </m:e>
                      <m:sub>
                        <m:r>
                          <m:rPr>
                            <m:nor/>
                          </m:rPr>
                          <w:rPr>
                            <w:rFonts w:ascii="Cambria Math" w:hAnsi="Cambria Math"/>
                            <w:i w:val="0"/>
                          </w:rPr>
                          <m:t xml:space="preserve">E</m:t>
                        </m:r>
                      </m:sub>
                    </m:sSub>
                  </m:num>
                  <m:den>
                    <m:sSub>
                      <m:sSubPr>
                        <m:ctrlPr>
                          <w:rPr>
                            <w:rFonts w:ascii="Cambria Math" w:hAnsi="Cambria Math"/>
                            <w:i/>
                          </w:rPr>
                        </m:ctrlPr>
                      </m:sSubPr>
                      <m:e>
                        <m:r>
                          <m:rPr>
                            <m:sty m:val="i"/>
                          </m:rPr>
                          <w:rPr>
                            <w:rFonts w:ascii="Cambria Math" w:hAnsi="Cambria Math"/>
                            <w:i/>
                          </w:rPr>
                          <m:t xml:space="preserve">γ</m:t>
                        </m:r>
                      </m:e>
                      <m:sub>
                        <m:r>
                          <m:rPr>
                            <m:nor/>
                          </m:rPr>
                          <w:rPr>
                            <w:rFonts w:ascii="Cambria Math" w:hAnsi="Cambria Math"/>
                            <w:i w:val="0"/>
                          </w:rPr>
                          <m:t xml:space="preserve">0</m:t>
                        </m:r>
                      </m:sub>
                    </m:sSub>
                  </m:den>
                </m:f>
              </m:e>
            </m:d>
          </m:e>
          <m:sup>
            <m:r>
              <m:rPr>
                <m:nor/>
              </m:rPr>
              <w:rPr>
                <w:rFonts w:ascii="Cambria Math" w:hAnsi="Cambria Math"/>
                <w:i w:val="0"/>
              </w:rPr>
              <m:t xml:space="preserve">2</m:t>
            </m:r>
          </m:sup>
        </m:sSup>
        <m:r>
          <m:rPr>
            <m:nor/>
          </m:rPr>
          <w:rPr>
            <w:rFonts w:ascii="Cambria Math" w:hAnsi="Cambria Math"/>
            <w:i w:val="0"/>
          </w:rPr>
          <m:t xml:space="preserve">,</m:t>
        </m:r>
      </m:oMath>
      <w:r>
        <w:tab/>
        <w:t xml:space="preserve">(3)</w:t>
      </w:r>
    </w:p>
    <w:p>
      <w:pPr>
        <w:spacing w:after="40"/>
        <w:ind w:firstLine="245"/>
        <w:jc w:val="both"/>
      </w:pPr>
      <w:r>
        <w:rPr>
          <w:sz w:val="20"/>
        </w:rPr>
        <w:t>where γ</w:t>
      </w:r>
      <w:r>
        <w:rPr>
          <w:sz w:val="20"/>
          <w:vertAlign w:val="subscript"/>
        </w:rPr>
        <w:t>0</w:t>
      </w:r>
      <w:r>
        <w:rPr>
          <w:sz w:val="20"/>
        </w:rPr>
        <w:t xml:space="preserve"> = c</w:t>
      </w:r>
      <w:r>
        <w:rPr>
          <w:sz w:val="20"/>
          <w:vertAlign w:val="subscript"/>
        </w:rPr>
        <w:t>s</w:t>
      </w:r>
      <w:r>
        <w:rPr>
          <w:sz w:val="20"/>
        </w:rPr>
        <w:t>/R</w:t>
      </w:r>
      <w:r>
        <w:rPr>
          <w:sz w:val="20"/>
          <w:vertAlign w:val="subscript"/>
        </w:rPr>
        <w:t>0</w:t>
      </w:r>
      <w:r>
        <w:rPr>
          <w:sz w:val="20"/>
        </w:rPr>
        <w:t xml:space="preserve"> is a decorrelation-rate proxy (c</w:t>
      </w:r>
      <w:r>
        <w:rPr>
          <w:sz w:val="20"/>
          <w:vertAlign w:val="subscript"/>
        </w:rPr>
        <w:t>s</w:t>
      </w:r>
      <w:r>
        <w:rPr>
          <w:sz w:val="20"/>
        </w:rPr>
        <w:t xml:space="preserve"> = (T/m</w:t>
      </w:r>
      <w:r>
        <w:rPr>
          <w:sz w:val="20"/>
          <w:vertAlign w:val="subscript"/>
        </w:rPr>
        <w:t>i</w:t>
      </w:r>
      <w:r>
        <w:rPr>
          <w:sz w:val="20"/>
        </w:rPr>
        <w:t>)</w:t>
      </w:r>
      <w:r>
        <w:rPr>
          <w:sz w:val="20"/>
          <w:vertAlign w:val="superscript"/>
        </w:rPr>
        <w:t>1/2</w:t>
      </w:r>
      <w:r>
        <w:rPr>
          <w:sz w:val="20"/>
        </w:rPr>
        <w:t>, m</w:t>
      </w:r>
      <w:r>
        <w:rPr>
          <w:sz w:val="20"/>
          <w:vertAlign w:val="subscript"/>
        </w:rPr>
        <w:t>i</w:t>
      </w:r>
      <w:r>
        <w:rPr>
          <w:sz w:val="20"/>
        </w:rPr>
        <w:t xml:space="preserve"> = 2.5 amu), ω</w:t>
      </w:r>
      <w:r>
        <w:rPr>
          <w:sz w:val="20"/>
          <w:vertAlign w:val="subscript"/>
        </w:rPr>
        <w:t>E</w:t>
      </w:r>
      <w:r>
        <w:rPr>
          <w:sz w:val="20"/>
        </w:rPr>
        <w:t xml:space="preserve"> is the Hahm–Burrell shearing rate [4], ω</w:t>
      </w:r>
      <w:r>
        <w:rPr>
          <w:sz w:val="20"/>
          <w:vertAlign w:val="subscript"/>
        </w:rPr>
        <w:t>E</w:t>
      </w:r>
      <w:r>
        <w:rPr>
          <w:sz w:val="20"/>
        </w:rPr>
        <w:t xml:space="preserve"> = |(r/q) ∂</w:t>
      </w:r>
      <w:r>
        <w:rPr>
          <w:sz w:val="20"/>
          <w:vertAlign w:val="subscript"/>
        </w:rPr>
        <w:t>r</w:t>
      </w:r>
      <w:r>
        <w:rPr>
          <w:sz w:val="20"/>
        </w:rPr>
        <w:t>(qE</w:t>
      </w:r>
      <w:r>
        <w:rPr>
          <w:sz w:val="20"/>
          <w:vertAlign w:val="subscript"/>
        </w:rPr>
        <w:t>r</w:t>
      </w:r>
      <w:r>
        <w:rPr>
          <w:sz w:val="20"/>
        </w:rPr>
        <w:t>/rB)| with E</w:t>
      </w:r>
      <w:r>
        <w:rPr>
          <w:sz w:val="20"/>
          <w:vertAlign w:val="subscript"/>
        </w:rPr>
        <w:t>r</w:t>
      </w:r>
      <w:r>
        <w:rPr>
          <w:sz w:val="20"/>
        </w:rPr>
        <w:t xml:space="preserve"> = (en)</w:t>
      </w:r>
      <w:r>
        <w:rPr>
          <w:sz w:val="20"/>
          <w:vertAlign w:val="superscript"/>
        </w:rPr>
        <w:t>−1</w:t>
      </w:r>
      <w:r>
        <w:rPr>
          <w:sz w:val="20"/>
        </w:rPr>
        <w:t>∂</w:t>
      </w:r>
      <w:r>
        <w:rPr>
          <w:sz w:val="20"/>
          <w:vertAlign w:val="subscript"/>
        </w:rPr>
        <w:t>r</w:t>
      </w:r>
      <w:r>
        <w:rPr>
          <w:sz w:val="20"/>
        </w:rPr>
        <w:t>(nT), and A is a dimensionless adaptive field that relaxes to (ω</w:t>
      </w:r>
      <w:r>
        <w:rPr>
          <w:sz w:val="20"/>
          <w:vertAlign w:val="subscript"/>
        </w:rPr>
        <w:t>E</w:t>
      </w:r>
      <w:r>
        <w:rPr>
          <w:sz w:val="20"/>
        </w:rPr>
        <w:t>/γ</w:t>
      </w:r>
      <w:r>
        <w:rPr>
          <w:sz w:val="20"/>
          <w:vertAlign w:val="subscript"/>
        </w:rPr>
        <w:t>0</w:t>
      </w:r>
      <w:r>
        <w:rPr>
          <w:sz w:val="20"/>
        </w:rPr>
        <w:t>)² and diffuses over the length ℓ (zero-flux ends); it is the steady limit of ∂</w:t>
      </w:r>
      <w:r>
        <w:rPr>
          <w:sz w:val="20"/>
          <w:vertAlign w:val="subscript"/>
        </w:rPr>
        <w:t>t</w:t>
      </w:r>
      <w:r>
        <w:rPr>
          <w:sz w:val="20"/>
        </w:rPr>
        <w:t>A = D</w:t>
      </w:r>
      <w:r>
        <w:rPr>
          <w:sz w:val="20"/>
          <w:vertAlign w:val="subscript"/>
        </w:rPr>
        <w:t>A</w:t>
      </w:r>
      <w:r>
        <w:rPr>
          <w:sz w:val="20"/>
        </w:rPr>
        <w:t>∇²A + [(ω</w:t>
      </w:r>
      <w:r>
        <w:rPr>
          <w:sz w:val="20"/>
          <w:vertAlign w:val="subscript"/>
        </w:rPr>
        <w:t>E</w:t>
      </w:r>
      <w:r>
        <w:rPr>
          <w:sz w:val="20"/>
        </w:rPr>
        <w:t>/γ</w:t>
      </w:r>
      <w:r>
        <w:rPr>
          <w:sz w:val="20"/>
          <w:vertAlign w:val="subscript"/>
        </w:rPr>
        <w:t>0</w:t>
      </w:r>
      <w:r>
        <w:rPr>
          <w:sz w:val="20"/>
        </w:rPr>
        <w:t>)² − A]/τ</w:t>
      </w:r>
      <w:r>
        <w:rPr>
          <w:sz w:val="20"/>
          <w:vertAlign w:val="subscript"/>
        </w:rPr>
        <w:t>A</w:t>
      </w:r>
      <w:r>
        <w:rPr>
          <w:sz w:val="20"/>
        </w:rPr>
        <w:t xml:space="preserve"> with ℓ² = D</w:t>
      </w:r>
      <w:r>
        <w:rPr>
          <w:sz w:val="20"/>
          <w:vertAlign w:val="subscript"/>
        </w:rPr>
        <w:t>A</w:t>
      </w:r>
      <w:r>
        <w:rPr>
          <w:sz w:val="20"/>
        </w:rPr>
        <w:t>τ</w:t>
      </w:r>
      <w:r>
        <w:rPr>
          <w:sz w:val="20"/>
          <w:vertAlign w:val="subscript"/>
        </w:rPr>
        <w:t>A</w:t>
      </w:r>
      <w:r>
        <w:rPr>
          <w:sz w:val="20"/>
        </w:rPr>
        <w:t>. The threshold s</w:t>
      </w:r>
      <w:r>
        <w:rPr>
          <w:sz w:val="20"/>
          <w:vertAlign w:val="subscript"/>
        </w:rPr>
        <w:t>c</w:t>
      </w:r>
      <w:r>
        <w:rPr>
          <w:sz w:val="20"/>
        </w:rPr>
        <w:t xml:space="preserve"> is the only other parameter, and s</w:t>
      </w:r>
      <w:r>
        <w:rPr>
          <w:sz w:val="20"/>
          <w:vertAlign w:val="subscript"/>
        </w:rPr>
        <w:t>c</w:t>
      </w:r>
      <w:r>
        <w:rPr>
          <w:sz w:val="20"/>
        </w:rPr>
        <w:t xml:space="preserve"> → ∞ recovers the baseline. The limit ℓ → 0 is the local closure, A = (ω</w:t>
      </w:r>
      <w:r>
        <w:rPr>
          <w:sz w:val="20"/>
          <w:vertAlign w:val="subscript"/>
        </w:rPr>
        <w:t>E</w:t>
      </w:r>
      <w:r>
        <w:rPr>
          <w:sz w:val="20"/>
        </w:rPr>
        <w:t>/γ</w:t>
      </w:r>
      <w:r>
        <w:rPr>
          <w:sz w:val="20"/>
          <w:vertAlign w:val="subscript"/>
        </w:rPr>
        <w:t>0</w:t>
      </w:r>
      <w:r>
        <w:rPr>
          <w:sz w:val="20"/>
        </w:rPr>
        <w:t>)². The reference length ℓ = 0.05 m is about 16 ion gyroradii at 10 keV; it is a new parameter, varied in Section V-E.</w:t>
      </w:r>
    </w:p>
    <w:p>
      <w:pPr>
        <w:keepNext/>
        <w:spacing w:before="80" w:after="40"/>
      </w:pPr>
      <w:r>
        <w:rPr>
          <w:i/>
        </w:rPr>
        <w:t xml:space="preserve">C. </w:t>
      </w:r>
      <w:r>
        <w:rPr>
          <w:i/>
        </w:rPr>
        <w:t>Rotation, Viscosity Closures, and Coupling</w:t>
      </w:r>
    </w:p>
    <w:p>
      <w:pPr>
        <w:spacing w:after="40"/>
        <w:ind w:firstLine="245"/>
        <w:jc w:val="both"/>
      </w:pPr>
      <w:r>
        <w:rPr>
          <w:sz w:val="20"/>
        </w:rPr>
        <w:t>Toroidal rotation Ω(r, t) obeys</w:t>
      </w:r>
    </w:p>
    <w:p>
      <w:pPr>
        <w:keepLines/>
        <w:tabs>
          <w:tab w:pos="2520" w:val="center"/>
          <w:tab w:pos="5040" w:val="right"/>
        </w:tabs>
        <w:spacing w:before="60" w:after="60"/>
      </w:pPr>
      <w:r>
        <w:tab/>
      </w:r>
      <m:oMath>
        <m:sSub>
          <m:sSubPr>
            <m:ctrlPr>
              <w:rPr>
                <w:rFonts w:ascii="Cambria Math" w:hAnsi="Cambria Math"/>
                <w:i/>
              </w:rPr>
            </m:ctrlPr>
          </m:sSubPr>
          <m:e>
            <m:r>
              <m:rPr>
                <m:sty m:val="i"/>
              </m:rPr>
              <w:rPr>
                <w:rFonts w:ascii="Cambria Math" w:hAnsi="Cambria Math"/>
                <w:i/>
              </w:rPr>
              <m:t xml:space="preserve">ρ</m:t>
            </m:r>
          </m:e>
          <m:sub>
            <m:r>
              <m:rPr>
                <m:nor/>
              </m:rPr>
              <w:rPr>
                <w:rFonts w:ascii="Cambria Math" w:hAnsi="Cambria Math"/>
                <w:i w:val="0"/>
              </w:rPr>
              <m:t xml:space="preserve">m</m:t>
            </m:r>
          </m:sub>
        </m:sSub>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0</m:t>
                </m:r>
              </m:sub>
            </m:sSub>
          </m:e>
          <m:sup>
            <m:r>
              <m:rPr>
                <m:nor/>
              </m:rPr>
              <w:rPr>
                <w:rFonts w:ascii="Cambria Math" w:hAnsi="Cambria Math"/>
                <w:i w:val="0"/>
              </w:rPr>
              <m:t xml:space="preserve">2</m:t>
            </m:r>
          </m:sup>
        </m:sSup>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t</m:t>
            </m:r>
          </m:sub>
        </m:sSub>
        <m:r>
          <m:rPr>
            <m:sty m:val="i"/>
          </m:rPr>
          <w:rPr>
            <w:rFonts w:ascii="Cambria Math" w:hAnsi="Cambria Math"/>
            <w:i/>
          </w:rPr>
          <m:t xml:space="preserve">Ω</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r</m:t>
            </m:r>
          </m:den>
        </m:f>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d>
          <m:dPr>
            <m:begChr m:val="["/>
            <m:endChr m:val="]"/>
            <m:ctrlPr>
              <w:rPr>
                <w:rFonts w:ascii="Cambria Math" w:hAnsi="Cambria Math"/>
                <w:i/>
              </w:rPr>
            </m:ctrlPr>
          </m:dPr>
          <m:e>
            <m:r>
              <m:rPr>
                <m:sty m:val="i"/>
              </m:rPr>
              <w:rPr>
                <w:rFonts w:ascii="Cambria Math" w:hAnsi="Cambria Math"/>
                <w:i/>
              </w:rPr>
              <m:t xml:space="preserve">r</m:t>
            </m:r>
            <m:sSub>
              <m:sSubPr>
                <m:ctrlPr>
                  <w:rPr>
                    <w:rFonts w:ascii="Cambria Math" w:hAnsi="Cambria Math"/>
                    <w:i/>
                  </w:rPr>
                </m:ctrlPr>
              </m:sSubPr>
              <m:e>
                <m:r>
                  <m:rPr>
                    <m:sty m:val="i"/>
                  </m:rPr>
                  <w:rPr>
                    <w:rFonts w:ascii="Cambria Math" w:hAnsi="Cambria Math"/>
                    <w:i/>
                  </w:rPr>
                  <m:t xml:space="preserve">μ</m:t>
                </m:r>
              </m:e>
              <m:sub>
                <m:r>
                  <m:rPr>
                    <m:nor/>
                  </m:rPr>
                  <w:rPr>
                    <w:rFonts w:ascii="Cambria Math" w:hAnsi="Cambria Math"/>
                    <w:i w:val="0"/>
                  </w:rPr>
                  <m:t xml:space="preserve">eff</m:t>
                </m:r>
              </m:sub>
            </m:sSub>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0</m:t>
                    </m:r>
                  </m:sub>
                </m:sSub>
              </m:e>
              <m:sup>
                <m:r>
                  <m:rPr>
                    <m:nor/>
                  </m:rPr>
                  <w:rPr>
                    <w:rFonts w:ascii="Cambria Math" w:hAnsi="Cambria Math"/>
                    <w:i w:val="0"/>
                  </w:rPr>
                  <m:t xml:space="preserve">2</m:t>
                </m:r>
              </m:sup>
            </m:sSup>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r>
              <m:rPr>
                <m:sty m:val="i"/>
              </m:rPr>
              <w:rPr>
                <w:rFonts w:ascii="Cambria Math" w:hAnsi="Cambria Math"/>
                <w:i/>
              </w:rPr>
              <m:t xml:space="preserve">Ω</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in</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μ</m:t>
            </m:r>
          </m:e>
          <m:sub>
            <m:r>
              <m:rPr>
                <m:nor/>
              </m:rPr>
              <w:rPr>
                <w:rFonts w:ascii="Cambria Math" w:hAnsi="Cambria Math"/>
                <w:i w:val="0"/>
              </w:rPr>
              <m:t xml:space="preserve">eff</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μ</m:t>
            </m:r>
          </m:e>
          <m:sub>
            <m:r>
              <m:rPr>
                <m:nor/>
              </m:rPr>
              <w:rPr>
                <w:rFonts w:ascii="Cambria Math" w:hAnsi="Cambria Math"/>
                <w:i w:val="0"/>
              </w:rPr>
              <m:t xml:space="preserve">0</m:t>
            </m:r>
          </m:sub>
        </m:sSub>
        <m:r>
          <m:rPr>
            <m:sty m:val="i"/>
          </m:rPr>
          <w:rPr>
            <w:rFonts w:ascii="Cambria Math" w:hAnsi="Cambria Math"/>
            <w:i/>
          </w:rPr>
          <m:t xml:space="preserve">F</m:t>
        </m:r>
        <m:d>
          <m:dPr>
            <m:begChr m:val="("/>
            <m:endChr m:val=")"/>
            <m:ctrlPr>
              <w:rPr>
                <w:rFonts w:ascii="Cambria Math" w:hAnsi="Cambria Math"/>
                <w:i/>
              </w:rPr>
            </m:ctrlPr>
          </m:dPr>
          <m:e>
            <m:r>
              <m:rPr>
                <m:sty m:val="i"/>
              </m:rPr>
              <w:rPr>
                <w:rFonts w:ascii="Cambria Math" w:hAnsi="Cambria Math"/>
                <w:i/>
              </w:rPr>
              <m:t xml:space="preserve">Λ</m:t>
            </m:r>
          </m:e>
        </m:d>
        <m:r>
          <m:rPr>
            <m:nor/>
          </m:rPr>
          <w:rPr>
            <w:rFonts w:ascii="Cambria Math" w:hAnsi="Cambria Math"/>
            <w:i w:val="0"/>
          </w:rPr>
          <m:t xml:space="preserve">,   </m:t>
        </m:r>
        <m:r>
          <m:rPr>
            <m:sty m:val="i"/>
          </m:rPr>
          <w:rPr>
            <w:rFonts w:ascii="Cambria Math" w:hAnsi="Cambria Math"/>
            <w:i/>
          </w:rPr>
          <m:t xml:space="preserve">Λ</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r</m:t>
            </m:r>
          </m:num>
          <m:den>
            <m:r>
              <m:rPr>
                <m:sty m:val="i"/>
              </m:rPr>
              <w:rPr>
                <w:rFonts w:ascii="Cambria Math" w:hAnsi="Cambria Math"/>
                <w:i/>
              </w:rPr>
              <m:t xml:space="preserve">q</m:t>
            </m:r>
            <m:sSub>
              <m:sSubPr>
                <m:ctrlPr>
                  <w:rPr>
                    <w:rFonts w:ascii="Cambria Math" w:hAnsi="Cambria Math"/>
                    <w:i/>
                  </w:rPr>
                </m:ctrlPr>
              </m:sSubPr>
              <m:e>
                <m:r>
                  <m:rPr>
                    <m:sty m:val="i"/>
                  </m:rPr>
                  <w:rPr>
                    <w:rFonts w:ascii="Cambria Math" w:hAnsi="Cambria Math"/>
                    <w:i/>
                  </w:rPr>
                  <m:t xml:space="preserve">γ</m:t>
                </m:r>
              </m:e>
              <m:sub>
                <m:r>
                  <m:rPr>
                    <m:nor/>
                  </m:rPr>
                  <w:rPr>
                    <w:rFonts w:ascii="Cambria Math" w:hAnsi="Cambria Math"/>
                    <w:i w:val="0"/>
                  </w:rPr>
                  <m:t xml:space="preserve">0</m:t>
                </m:r>
              </m:sub>
            </m:sSub>
          </m:den>
        </m:f>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m:t>
            </m:r>
          </m:e>
          <m:sub>
            <m:r>
              <m:rPr>
                <m:sty m:val="i"/>
              </m:rPr>
              <w:rPr>
                <w:rFonts w:ascii="Cambria Math" w:hAnsi="Cambria Math"/>
                <w:i/>
              </w:rPr>
              <m:t xml:space="preserve">r</m:t>
            </m:r>
          </m:sub>
        </m:sSub>
        <m:r>
          <m:rPr>
            <m:sty m:val="i"/>
          </m:rPr>
          <w:rPr>
            <w:rFonts w:ascii="Cambria Math" w:hAnsi="Cambria Math"/>
            <w:i/>
          </w:rPr>
          <m:t xml:space="preserve">Ω</m:t>
        </m:r>
        <m:r>
          <m:rPr>
            <m:nor/>
          </m:rPr>
          <w:rPr>
            <w:rFonts w:ascii="Cambria Math" w:hAnsi="Cambria Math"/>
            <w:i w:val="0"/>
          </w:rPr>
          <m:t xml:space="preserve">|</m:t>
        </m:r>
        <m:r>
          <m:rPr>
            <m:nor/>
          </m:rPr>
          <w:rPr>
            <w:rFonts w:ascii="Cambria Math" w:hAnsi="Cambria Math"/>
            <w:i w:val="0"/>
          </w:rPr>
          <m:t xml:space="preserve">,</m:t>
        </m:r>
      </m:oMath>
      <w:r>
        <w:tab/>
        <w:t xml:space="preserve">(4)</w:t>
      </w:r>
    </w:p>
    <w:p>
      <w:pPr>
        <w:spacing w:after="40"/>
        <w:ind w:firstLine="245"/>
        <w:jc w:val="both"/>
      </w:pPr>
      <w:r>
        <w:rPr>
          <w:sz w:val="20"/>
        </w:rPr>
        <w:t>with ρ</w:t>
      </w:r>
      <w:r>
        <w:rPr>
          <w:sz w:val="20"/>
          <w:vertAlign w:val="subscript"/>
        </w:rPr>
        <w:t>m</w:t>
      </w:r>
      <w:r>
        <w:rPr>
          <w:sz w:val="20"/>
        </w:rPr>
        <w:t xml:space="preserve"> = nm</w:t>
      </w:r>
      <w:r>
        <w:rPr>
          <w:sz w:val="20"/>
          <w:vertAlign w:val="subscript"/>
        </w:rPr>
        <w:t>i</w:t>
      </w:r>
      <w:r>
        <w:rPr>
          <w:sz w:val="20"/>
        </w:rPr>
        <w:t>, regularity on the axis, and Ω(a) = 0. The torque density τ</w:t>
      </w:r>
      <w:r>
        <w:rPr>
          <w:sz w:val="20"/>
          <w:vertAlign w:val="subscript"/>
        </w:rPr>
        <w:t>in</w:t>
      </w:r>
      <w:r>
        <w:rPr>
          <w:sz w:val="20"/>
        </w:rPr>
        <w:t xml:space="preserve"> has a Gaussian profile of width 0.4a and total ∫τ</w:t>
      </w:r>
      <w:r>
        <w:rPr>
          <w:sz w:val="20"/>
          <w:vertAlign w:val="subscript"/>
        </w:rPr>
        <w:t>in</w:t>
      </w:r>
      <w:r>
        <w:rPr>
          <w:sz w:val="20"/>
        </w:rPr>
        <w:t>dV = T</w:t>
      </w:r>
      <w:r>
        <w:rPr>
          <w:sz w:val="20"/>
          <w:vertAlign w:val="subscript"/>
        </w:rPr>
        <w:t>tot</w:t>
      </w:r>
      <w:r>
        <w:rPr>
          <w:sz w:val="20"/>
        </w:rPr>
        <w:t>; μ</w:t>
      </w:r>
      <w:r>
        <w:rPr>
          <w:sz w:val="20"/>
          <w:vertAlign w:val="subscript"/>
        </w:rPr>
        <w:t>0</w:t>
      </w:r>
      <w:r>
        <w:rPr>
          <w:sz w:val="20"/>
        </w:rPr>
        <w:t xml:space="preserve"> = Pr ρ̄ χ</w:t>
      </w:r>
      <w:r>
        <w:rPr>
          <w:sz w:val="20"/>
          <w:vertAlign w:val="subscript"/>
        </w:rPr>
        <w:t>s</w:t>
      </w:r>
      <w:r>
        <w:rPr>
          <w:sz w:val="20"/>
        </w:rPr>
        <w:t xml:space="preserve"> with Pr = 1 unless stated (μ</w:t>
      </w:r>
      <w:r>
        <w:rPr>
          <w:sz w:val="20"/>
          <w:vertAlign w:val="subscript"/>
        </w:rPr>
        <w:t>0</w:t>
      </w:r>
      <w:r>
        <w:rPr>
          <w:sz w:val="20"/>
        </w:rPr>
        <w:t xml:space="preserve"> = 3.11×10</w:t>
      </w:r>
      <w:r>
        <w:rPr>
          <w:sz w:val="20"/>
          <w:vertAlign w:val="superscript"/>
        </w:rPr>
        <w:t>−7</w:t>
      </w:r>
      <w:r>
        <w:rPr>
          <w:sz w:val="20"/>
        </w:rPr>
        <w:t xml:space="preserve"> kg m</w:t>
      </w:r>
      <w:r>
        <w:rPr>
          <w:sz w:val="20"/>
          <w:vertAlign w:val="superscript"/>
        </w:rPr>
        <w:t>−1</w:t>
      </w:r>
      <w:r>
        <w:rPr>
          <w:sz w:val="20"/>
        </w:rPr>
        <w:t xml:space="preserve"> s</w:t>
      </w:r>
      <w:r>
        <w:rPr>
          <w:sz w:val="20"/>
          <w:vertAlign w:val="superscript"/>
        </w:rPr>
        <w:t>−1</w:t>
      </w:r>
      <w:r>
        <w:rPr>
          <w:sz w:val="20"/>
        </w:rPr>
        <w:t>). Λ = ω</w:t>
      </w:r>
      <w:r>
        <w:rPr>
          <w:sz w:val="20"/>
          <w:vertAlign w:val="subscript"/>
        </w:rPr>
        <w:t>rot</w:t>
      </w:r>
      <w:r>
        <w:rPr>
          <w:sz w:val="20"/>
        </w:rPr>
        <w:t>/γ</w:t>
      </w:r>
      <w:r>
        <w:rPr>
          <w:sz w:val="20"/>
          <w:vertAlign w:val="subscript"/>
        </w:rPr>
        <w:t>0</w:t>
      </w:r>
      <w:r>
        <w:rPr>
          <w:sz w:val="20"/>
        </w:rPr>
        <w:t xml:space="preserve"> is the rotation shearing rate in units of γ</w:t>
      </w:r>
      <w:r>
        <w:rPr>
          <w:sz w:val="20"/>
          <w:vertAlign w:val="subscript"/>
        </w:rPr>
        <w:t>0</w:t>
      </w:r>
      <w:r>
        <w:rPr>
          <w:sz w:val="20"/>
        </w:rPr>
        <w:t>. Four viscosity closures F(Λ) are used: F = 1; 1/(1 + Λ</w:t>
      </w:r>
      <w:r>
        <w:rPr>
          <w:sz w:val="20"/>
          <w:vertAlign w:val="superscript"/>
        </w:rPr>
        <w:t>m</w:t>
      </w:r>
      <w:r>
        <w:rPr>
          <w:sz w:val="20"/>
        </w:rPr>
        <w:t>); the floor form f + (1 − f)/(1 + Λ²); and f + (1 − f)exp(−αΛ²). Rotation adds to the diamagnetic shear in the heat closure because qE</w:t>
      </w:r>
      <w:r>
        <w:rPr>
          <w:sz w:val="20"/>
          <w:vertAlign w:val="subscript"/>
        </w:rPr>
        <w:t>r</w:t>
      </w:r>
      <w:r>
        <w:rPr>
          <w:sz w:val="20"/>
        </w:rPr>
        <w:t>/rB contains −Ω: ω</w:t>
      </w:r>
      <w:r>
        <w:rPr>
          <w:sz w:val="20"/>
          <w:vertAlign w:val="subscript"/>
        </w:rPr>
        <w:t>E</w:t>
      </w:r>
      <w:r>
        <w:rPr>
          <w:sz w:val="20"/>
        </w:rPr>
        <w:t xml:space="preserve"> → |ω</w:t>
      </w:r>
      <w:r>
        <w:rPr>
          <w:sz w:val="20"/>
          <w:vertAlign w:val="subscript"/>
        </w:rPr>
        <w:t>dia</w:t>
      </w:r>
      <w:r>
        <w:rPr>
          <w:sz w:val="20"/>
        </w:rPr>
        <w:t xml:space="preserve"> + σω</w:t>
      </w:r>
      <w:r>
        <w:rPr>
          <w:sz w:val="20"/>
          <w:vertAlign w:val="subscript"/>
        </w:rPr>
        <w:t>rot</w:t>
      </w:r>
      <w:r>
        <w:rPr>
          <w:sz w:val="20"/>
        </w:rPr>
        <w:t>| with σ = +1 when the shears add and σ = −1 when they oppose, and the coupling is one way (T sets γ</w:t>
      </w:r>
      <w:r>
        <w:rPr>
          <w:sz w:val="20"/>
          <w:vertAlign w:val="subscript"/>
        </w:rPr>
        <w:t>0</w:t>
      </w:r>
      <w:r>
        <w:rPr>
          <w:sz w:val="20"/>
        </w:rPr>
        <w:t>; Ω adds shear).</w:t>
      </w:r>
    </w:p>
    <w:p>
      <w:pPr>
        <w:keepNext/>
        <w:spacing w:before="120"/>
        <w:jc w:val="center"/>
      </w:pPr>
      <w:r>
        <w:rPr>
          <w:sz w:val="16"/>
        </w:rPr>
        <w:t>TABLE I</w:t>
      </w:r>
    </w:p>
    <w:p>
      <w:pPr>
        <w:keepNext/>
        <w:spacing w:after="60"/>
        <w:jc w:val="center"/>
      </w:pPr>
      <w:r>
        <w:rPr>
          <w:smallCaps/>
          <w:sz w:val="16"/>
        </w:rPr>
        <w:t>Model parameters held identical in every run</w:t>
      </w:r>
    </w:p>
    <w:tbl>
      <w:tblPr>
        <w:tblStyle w:val="TableGrid"/>
        <w:tblW w:type="auto" w:w="0"/>
        <w:jc w:val="center"/>
        <w:tblLayout w:type="fixed"/>
        <w:tblLook w:firstColumn="1" w:firstRow="1" w:lastColumn="0" w:lastRow="0" w:noHBand="0" w:noVBand="1" w:val="04A0"/>
      </w:tblPr>
      <w:tblGrid>
        <w:gridCol w:w="1800"/>
        <w:gridCol w:w="3168"/>
      </w:tblGrid>
      <w:tr>
        <w:trPr>
          <w:tblHeader w:val="true"/>
        </w:trPr>
        <w:tc>
          <w:tcPr>
            <w:tcW w:type="dxa" w:w="1800"/>
            <w:shd w:val="clear" w:color="auto" w:fill="E7ECF1"/>
          </w:tcPr>
          <w:p>
            <w:pPr>
              <w:spacing w:line="240" w:lineRule="auto" w:after="0"/>
            </w:pPr>
            <w:r/>
            <w:r>
              <w:rPr>
                <w:b/>
                <w:sz w:val="15"/>
              </w:rPr>
              <w:t>Quantity</w:t>
            </w:r>
          </w:p>
        </w:tc>
        <w:tc>
          <w:tcPr>
            <w:tcW w:type="dxa" w:w="3168"/>
            <w:shd w:val="clear" w:color="auto" w:fill="E7ECF1"/>
          </w:tcPr>
          <w:p>
            <w:pPr>
              <w:spacing w:line="240" w:lineRule="auto" w:after="0"/>
            </w:pPr>
            <w:r/>
            <w:r>
              <w:rPr>
                <w:b/>
                <w:sz w:val="15"/>
              </w:rPr>
              <w:t>Value</w:t>
            </w:r>
          </w:p>
        </w:tc>
      </w:tr>
      <w:tr>
        <w:tc>
          <w:tcPr>
            <w:tcW w:type="dxa" w:w="1800"/>
          </w:tcPr>
          <w:p>
            <w:pPr>
              <w:spacing w:line="240" w:lineRule="auto" w:after="0"/>
            </w:pPr>
            <w:r/>
            <w:r>
              <w:rPr>
                <w:sz w:val="15"/>
              </w:rPr>
              <w:t>R</w:t>
            </w:r>
            <w:r>
              <w:rPr>
                <w:sz w:val="15"/>
                <w:vertAlign w:val="subscript"/>
              </w:rPr>
              <w:t>0</w:t>
            </w:r>
            <w:r>
              <w:rPr>
                <w:sz w:val="15"/>
              </w:rPr>
              <w:t>, a, B</w:t>
            </w:r>
          </w:p>
        </w:tc>
        <w:tc>
          <w:tcPr>
            <w:tcW w:type="dxa" w:w="3168"/>
          </w:tcPr>
          <w:p>
            <w:pPr>
              <w:spacing w:line="240" w:lineRule="auto" w:after="0"/>
            </w:pPr>
            <w:r/>
            <w:r>
              <w:rPr>
                <w:sz w:val="15"/>
              </w:rPr>
              <w:t>6.2 m, 2.0 m, 5.3 T</w:t>
            </w:r>
          </w:p>
        </w:tc>
      </w:tr>
      <w:tr>
        <w:tc>
          <w:tcPr>
            <w:tcW w:type="dxa" w:w="1800"/>
          </w:tcPr>
          <w:p>
            <w:pPr>
              <w:spacing w:line="240" w:lineRule="auto" w:after="0"/>
            </w:pPr>
            <w:r/>
            <w:r>
              <w:rPr>
                <w:sz w:val="15"/>
              </w:rPr>
              <w:t>n(r), q(r)</w:t>
            </w:r>
          </w:p>
        </w:tc>
        <w:tc>
          <w:tcPr>
            <w:tcW w:type="dxa" w:w="3168"/>
          </w:tcPr>
          <w:p>
            <w:pPr>
              <w:spacing w:line="240" w:lineRule="auto" w:after="0"/>
            </w:pPr>
            <w:r/>
            <w:r>
              <w:rPr>
                <w:sz w:val="15"/>
              </w:rPr>
              <w:t>10</w:t>
            </w:r>
            <w:r>
              <w:rPr>
                <w:sz w:val="15"/>
                <w:vertAlign w:val="superscript"/>
              </w:rPr>
              <w:t>20</w:t>
            </w:r>
            <w:r>
              <w:rPr>
                <w:sz w:val="15"/>
              </w:rPr>
              <w:t>(1 − 0.75(r/a)²) m</w:t>
            </w:r>
            <w:r>
              <w:rPr>
                <w:sz w:val="15"/>
                <w:vertAlign w:val="superscript"/>
              </w:rPr>
              <w:t>−3</w:t>
            </w:r>
            <w:r>
              <w:rPr>
                <w:sz w:val="15"/>
              </w:rPr>
              <w:t>; 1 + 2(r/a)²</w:t>
            </w:r>
          </w:p>
        </w:tc>
      </w:tr>
      <w:tr>
        <w:tc>
          <w:tcPr>
            <w:tcW w:type="dxa" w:w="1800"/>
          </w:tcPr>
          <w:p>
            <w:pPr>
              <w:spacing w:line="240" w:lineRule="auto" w:after="0"/>
            </w:pPr>
            <w:r/>
            <w:r>
              <w:rPr>
                <w:sz w:val="15"/>
              </w:rPr>
              <w:t>T</w:t>
            </w:r>
            <w:r>
              <w:rPr>
                <w:sz w:val="15"/>
                <w:vertAlign w:val="subscript"/>
              </w:rPr>
              <w:t>a</w:t>
            </w:r>
            <w:r>
              <w:rPr>
                <w:sz w:val="15"/>
              </w:rPr>
              <w:t>; P</w:t>
            </w:r>
            <w:r>
              <w:rPr>
                <w:sz w:val="15"/>
                <w:vertAlign w:val="subscript"/>
              </w:rPr>
              <w:t>aux</w:t>
            </w:r>
          </w:p>
        </w:tc>
        <w:tc>
          <w:tcPr>
            <w:tcW w:type="dxa" w:w="3168"/>
          </w:tcPr>
          <w:p>
            <w:pPr>
              <w:spacing w:line="240" w:lineRule="auto" w:after="0"/>
            </w:pPr>
            <w:r/>
            <w:r>
              <w:rPr>
                <w:sz w:val="15"/>
              </w:rPr>
              <w:t>4 keV (fixed); 40 MW Gaussian, width 0.4a</w:t>
            </w:r>
          </w:p>
        </w:tc>
      </w:tr>
      <w:tr>
        <w:tc>
          <w:tcPr>
            <w:tcW w:type="dxa" w:w="1800"/>
          </w:tcPr>
          <w:p>
            <w:pPr>
              <w:spacing w:line="240" w:lineRule="auto" w:after="0"/>
            </w:pPr>
            <w:r/>
            <w:r>
              <w:rPr>
                <w:sz w:val="15"/>
              </w:rPr>
              <w:t>χ</w:t>
            </w:r>
            <w:r>
              <w:rPr>
                <w:sz w:val="15"/>
                <w:vertAlign w:val="subscript"/>
              </w:rPr>
              <w:t>n</w:t>
            </w:r>
            <w:r>
              <w:rPr>
                <w:sz w:val="15"/>
              </w:rPr>
              <w:t>, χ</w:t>
            </w:r>
            <w:r>
              <w:rPr>
                <w:sz w:val="15"/>
                <w:vertAlign w:val="subscript"/>
              </w:rPr>
              <w:t>s</w:t>
            </w:r>
            <w:r>
              <w:rPr>
                <w:sz w:val="15"/>
              </w:rPr>
              <w:t>, κ</w:t>
            </w:r>
            <w:r>
              <w:rPr>
                <w:sz w:val="15"/>
                <w:vertAlign w:val="subscript"/>
              </w:rPr>
              <w:t>c</w:t>
            </w:r>
            <w:r>
              <w:rPr>
                <w:sz w:val="15"/>
              </w:rPr>
              <w:t>, w</w:t>
            </w:r>
          </w:p>
        </w:tc>
        <w:tc>
          <w:tcPr>
            <w:tcW w:type="dxa" w:w="3168"/>
          </w:tcPr>
          <w:p>
            <w:pPr>
              <w:spacing w:line="240" w:lineRule="auto" w:after="0"/>
            </w:pPr>
            <w:r/>
            <w:r>
              <w:rPr>
                <w:sz w:val="15"/>
              </w:rPr>
              <w:t>0.3, 1.0 m² s</w:t>
            </w:r>
            <w:r>
              <w:rPr>
                <w:sz w:val="15"/>
                <w:vertAlign w:val="superscript"/>
              </w:rPr>
              <w:t>−1</w:t>
            </w:r>
            <w:r>
              <w:rPr>
                <w:sz w:val="15"/>
              </w:rPr>
              <w:t>, 4, 0.5</w:t>
            </w:r>
          </w:p>
        </w:tc>
      </w:tr>
      <w:tr>
        <w:tc>
          <w:tcPr>
            <w:tcW w:type="dxa" w:w="1800"/>
          </w:tcPr>
          <w:p>
            <w:pPr>
              <w:spacing w:line="240" w:lineRule="auto" w:after="0"/>
            </w:pPr>
            <w:r/>
            <w:r>
              <w:rPr>
                <w:sz w:val="15"/>
              </w:rPr>
              <w:t>m</w:t>
            </w:r>
            <w:r>
              <w:rPr>
                <w:sz w:val="15"/>
                <w:vertAlign w:val="subscript"/>
              </w:rPr>
              <w:t>i</w:t>
            </w:r>
            <w:r>
              <w:rPr>
                <w:sz w:val="15"/>
              </w:rPr>
              <w:t>; E</w:t>
            </w:r>
            <w:r>
              <w:rPr>
                <w:sz w:val="15"/>
                <w:vertAlign w:val="subscript"/>
              </w:rPr>
              <w:t>α</w:t>
            </w:r>
          </w:p>
        </w:tc>
        <w:tc>
          <w:tcPr>
            <w:tcW w:type="dxa" w:w="3168"/>
          </w:tcPr>
          <w:p>
            <w:pPr>
              <w:spacing w:line="240" w:lineRule="auto" w:after="0"/>
            </w:pPr>
            <w:r/>
            <w:r>
              <w:rPr>
                <w:sz w:val="15"/>
              </w:rPr>
              <w:t>2.5 amu; 3.5 MeV</w:t>
            </w:r>
          </w:p>
        </w:tc>
      </w:tr>
      <w:tr>
        <w:tc>
          <w:tcPr>
            <w:tcW w:type="dxa" w:w="1800"/>
          </w:tcPr>
          <w:p>
            <w:pPr>
              <w:spacing w:line="240" w:lineRule="auto" w:after="0"/>
            </w:pPr>
            <w:r/>
            <w:r>
              <w:rPr>
                <w:sz w:val="15"/>
              </w:rPr>
              <w:t>ℓ (reference)</w:t>
            </w:r>
          </w:p>
        </w:tc>
        <w:tc>
          <w:tcPr>
            <w:tcW w:type="dxa" w:w="3168"/>
          </w:tcPr>
          <w:p>
            <w:pPr>
              <w:spacing w:line="240" w:lineRule="auto" w:after="0"/>
            </w:pPr>
            <w:r/>
            <w:r>
              <w:rPr>
                <w:sz w:val="15"/>
              </w:rPr>
              <w:t>0.05 m</w:t>
            </w:r>
          </w:p>
        </w:tc>
      </w:tr>
      <w:tr>
        <w:tc>
          <w:tcPr>
            <w:tcW w:type="dxa" w:w="1800"/>
          </w:tcPr>
          <w:p>
            <w:pPr>
              <w:spacing w:line="240" w:lineRule="auto" w:after="0"/>
            </w:pPr>
            <w:r/>
            <w:r>
              <w:rPr>
                <w:sz w:val="15"/>
              </w:rPr>
              <w:t>μ</w:t>
            </w:r>
            <w:r>
              <w:rPr>
                <w:sz w:val="15"/>
                <w:vertAlign w:val="subscript"/>
              </w:rPr>
              <w:t>0</w:t>
            </w:r>
            <w:r>
              <w:rPr>
                <w:sz w:val="15"/>
              </w:rPr>
              <w:t xml:space="preserve"> (Pr = 1)</w:t>
            </w:r>
          </w:p>
        </w:tc>
        <w:tc>
          <w:tcPr>
            <w:tcW w:type="dxa" w:w="3168"/>
          </w:tcPr>
          <w:p>
            <w:pPr>
              <w:spacing w:line="240" w:lineRule="auto" w:after="0"/>
            </w:pPr>
            <w:r/>
            <w:r>
              <w:rPr>
                <w:sz w:val="15"/>
              </w:rPr>
              <w:t>3.11×10</w:t>
            </w:r>
            <w:r>
              <w:rPr>
                <w:sz w:val="15"/>
                <w:vertAlign w:val="superscript"/>
              </w:rPr>
              <w:t>−7</w:t>
            </w:r>
            <w:r>
              <w:rPr>
                <w:sz w:val="15"/>
              </w:rPr>
              <w:t xml:space="preserve"> kg m</w:t>
            </w:r>
            <w:r>
              <w:rPr>
                <w:sz w:val="15"/>
                <w:vertAlign w:val="superscript"/>
              </w:rPr>
              <w:t>−1</w:t>
            </w:r>
            <w:r>
              <w:rPr>
                <w:sz w:val="15"/>
              </w:rPr>
              <w:t xml:space="preserve"> s</w:t>
            </w:r>
            <w:r>
              <w:rPr>
                <w:sz w:val="15"/>
                <w:vertAlign w:val="superscript"/>
              </w:rPr>
              <w:t>−1</w:t>
            </w:r>
          </w:p>
        </w:tc>
      </w:tr>
      <w:tr>
        <w:tc>
          <w:tcPr>
            <w:tcW w:type="dxa" w:w="1800"/>
          </w:tcPr>
          <w:p>
            <w:pPr>
              <w:spacing w:line="240" w:lineRule="auto" w:after="0"/>
            </w:pPr>
            <w:r/>
            <w:r>
              <w:rPr>
                <w:sz w:val="15"/>
              </w:rPr>
              <w:t>Torque profile</w:t>
            </w:r>
          </w:p>
        </w:tc>
        <w:tc>
          <w:tcPr>
            <w:tcW w:type="dxa" w:w="3168"/>
          </w:tcPr>
          <w:p>
            <w:pPr>
              <w:spacing w:line="240" w:lineRule="auto" w:after="0"/>
            </w:pPr>
            <w:r/>
            <w:r>
              <w:rPr>
                <w:sz w:val="15"/>
              </w:rPr>
              <w:t>Gaussian, width 0.4a, 0–250 N m</w:t>
            </w:r>
          </w:p>
        </w:tc>
      </w:tr>
    </w:tbl>
    <w:p>
      <w:pPr>
        <w:spacing w:after="80"/>
      </w:pPr>
    </w:p>
    <w:p>
      <w:pPr>
        <w:keepNext/>
        <w:spacing w:before="160" w:after="80"/>
        <w:jc w:val="center"/>
      </w:pPr>
      <w:r>
        <w:rPr>
          <w:sz w:val="20"/>
        </w:rPr>
        <w:t>III. ADMISSIBILITY AND REGULARIZATION</w:t>
      </w:r>
    </w:p>
    <w:p>
      <w:pPr>
        <w:keepNext/>
        <w:spacing w:before="80" w:after="40"/>
      </w:pPr>
      <w:r>
        <w:rPr>
          <w:i/>
        </w:rPr>
        <w:t xml:space="preserve">A. </w:t>
      </w:r>
      <w:r>
        <w:rPr>
          <w:i/>
        </w:rPr>
        <w:t>Shear-Dependent Viscosity: Steady Flux Relation</w:t>
      </w:r>
    </w:p>
    <w:p>
      <w:pPr>
        <w:spacing w:after="40"/>
        <w:ind w:firstLine="245"/>
        <w:jc w:val="both"/>
      </w:pPr>
      <w:r>
        <w:rPr>
          <w:b/>
          <w:sz w:val="20"/>
        </w:rPr>
        <w:t>Proposition 1 (steady flux relation).</w:t>
      </w:r>
      <w:r>
        <w:rPr>
          <w:sz w:val="20"/>
        </w:rPr>
        <w:t xml:space="preserve"> In steady state, with regularity on the axis, the shearing rate satisfies at each radius</w:t>
      </w:r>
    </w:p>
    <w:p>
      <w:pPr>
        <w:keepLines/>
        <w:tabs>
          <w:tab w:pos="2520" w:val="center"/>
          <w:tab w:pos="5040" w:val="right"/>
        </w:tabs>
        <w:spacing w:before="60" w:after="60"/>
      </w:pPr>
      <w:r>
        <w:tab/>
      </w:r>
      <m:oMath>
        <m:r>
          <m:rPr>
            <m:sty m:val="i"/>
          </m:rPr>
          <w:rPr>
            <w:rFonts w:ascii="Cambria Math" w:hAnsi="Cambria Math"/>
            <w:i/>
          </w:rPr>
          <m:t xml:space="preserve">F</m:t>
        </m:r>
        <m:d>
          <m:dPr>
            <m:begChr m:val="("/>
            <m:endChr m:val=")"/>
            <m:ctrlPr>
              <w:rPr>
                <w:rFonts w:ascii="Cambria Math" w:hAnsi="Cambria Math"/>
                <w:i/>
              </w:rPr>
            </m:ctrlPr>
          </m:dPr>
          <m:e>
            <m:r>
              <m:rPr>
                <m:sty m:val="i"/>
              </m:rPr>
              <w:rPr>
                <w:rFonts w:ascii="Cambria Math" w:hAnsi="Cambria Math"/>
                <w:i/>
              </w:rPr>
              <m:t xml:space="preserve">Λ</m:t>
            </m:r>
          </m:e>
        </m:d>
        <m:r>
          <m:rPr>
            <m:sty m:val="i"/>
          </m:rPr>
          <w:rPr>
            <w:rFonts w:ascii="Cambria Math" w:hAnsi="Cambria Math"/>
            <w:i/>
          </w:rPr>
          <m:t xml:space="preserve">Λ</m:t>
        </m:r>
        <m:r>
          <m:rPr>
            <m:nor/>
          </m:rPr>
          <w:rPr>
            <w:rFonts w:ascii="Cambria Math" w:hAnsi="Cambria Math"/>
            <w:i w:val="0"/>
          </w:rPr>
          <m:t xml:space="preserve"> = </m:t>
        </m:r>
        <m:r>
          <m:rPr>
            <m:sty m:val="i"/>
          </m:rPr>
          <w:rPr>
            <w:rFonts w:ascii="Cambria Math" w:hAnsi="Cambria Math"/>
            <w:i/>
          </w:rPr>
          <m:t xml:space="preserve">Θ</m:t>
        </m:r>
        <m:d>
          <m:dPr>
            <m:begChr m:val="("/>
            <m:endChr m:val=")"/>
            <m:ctrlPr>
              <w:rPr>
                <w:rFonts w:ascii="Cambria Math" w:hAnsi="Cambria Math"/>
                <w:i/>
              </w:rPr>
            </m:ctrlPr>
          </m:dPr>
          <m:e>
            <m:r>
              <m:rPr>
                <m:sty m:val="i"/>
              </m:rPr>
              <w:rPr>
                <w:rFonts w:ascii="Cambria Math" w:hAnsi="Cambria Math"/>
                <w:i/>
              </w:rPr>
              <m:t xml:space="preserve">r</m:t>
            </m:r>
          </m:e>
        </m:d>
        <m:r>
          <m:rPr>
            <m:nor/>
          </m:rPr>
          <w:rPr>
            <w:rFonts w:ascii="Cambria Math" w:hAnsi="Cambria Math"/>
            <w:i w:val="0"/>
          </w:rPr>
          <m:t xml:space="preserve">,   </m:t>
        </m:r>
        <m:r>
          <m:rPr>
            <m:sty m:val="i"/>
          </m:rPr>
          <w:rPr>
            <w:rFonts w:ascii="Cambria Math" w:hAnsi="Cambria Math"/>
            <w:i/>
          </w:rPr>
          <m:t xml:space="preserve">Θ</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I</m:t>
            </m:r>
            <m:d>
              <m:dPr>
                <m:begChr m:val="("/>
                <m:endChr m:val=")"/>
                <m:ctrlPr>
                  <w:rPr>
                    <w:rFonts w:ascii="Cambria Math" w:hAnsi="Cambria Math"/>
                    <w:i/>
                  </w:rPr>
                </m:ctrlPr>
              </m:dPr>
              <m:e>
                <m:r>
                  <m:rPr>
                    <m:sty m:val="i"/>
                  </m:rPr>
                  <w:rPr>
                    <w:rFonts w:ascii="Cambria Math" w:hAnsi="Cambria Math"/>
                    <w:i/>
                  </w:rPr>
                  <m:t xml:space="preserve">r</m:t>
                </m:r>
              </m:e>
            </m:d>
          </m:num>
          <m:den>
            <m:r>
              <m:rPr>
                <m:sty m:val="i"/>
              </m:rPr>
              <w:rPr>
                <w:rFonts w:ascii="Cambria Math" w:hAnsi="Cambria Math"/>
                <w:i/>
              </w:rPr>
              <m:t xml:space="preserve">q</m:t>
            </m:r>
            <m:sSub>
              <m:sSubPr>
                <m:ctrlPr>
                  <w:rPr>
                    <w:rFonts w:ascii="Cambria Math" w:hAnsi="Cambria Math"/>
                    <w:i/>
                  </w:rPr>
                </m:ctrlPr>
              </m:sSubPr>
              <m:e>
                <m:r>
                  <m:rPr>
                    <m:sty m:val="i"/>
                  </m:rPr>
                  <w:rPr>
                    <w:rFonts w:ascii="Cambria Math" w:hAnsi="Cambria Math"/>
                    <w:i/>
                  </w:rPr>
                  <m:t xml:space="preserve">γ</m:t>
                </m:r>
              </m:e>
              <m:sub>
                <m:r>
                  <m:rPr>
                    <m:nor/>
                  </m:rPr>
                  <w:rPr>
                    <w:rFonts w:ascii="Cambria Math" w:hAnsi="Cambria Math"/>
                    <w:i w:val="0"/>
                  </w:rPr>
                  <m:t xml:space="preserve">0</m:t>
                </m:r>
              </m:sub>
            </m:sSub>
            <m:sSub>
              <m:sSubPr>
                <m:ctrlPr>
                  <w:rPr>
                    <w:rFonts w:ascii="Cambria Math" w:hAnsi="Cambria Math"/>
                    <w:i/>
                  </w:rPr>
                </m:ctrlPr>
              </m:sSubPr>
              <m:e>
                <m:r>
                  <m:rPr>
                    <m:sty m:val="i"/>
                  </m:rPr>
                  <w:rPr>
                    <w:rFonts w:ascii="Cambria Math" w:hAnsi="Cambria Math"/>
                    <w:i/>
                  </w:rPr>
                  <m:t xml:space="preserve">μ</m:t>
                </m:r>
              </m:e>
              <m:sub>
                <m:r>
                  <m:rPr>
                    <m:nor/>
                  </m:rPr>
                  <w:rPr>
                    <w:rFonts w:ascii="Cambria Math" w:hAnsi="Cambria Math"/>
                    <w:i w:val="0"/>
                  </w:rPr>
                  <m:t xml:space="preserve">0</m:t>
                </m:r>
              </m:sub>
            </m:sSub>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0</m:t>
                    </m:r>
                  </m:sub>
                </m:sSub>
              </m:e>
              <m:sup>
                <m:r>
                  <m:rPr>
                    <m:nor/>
                  </m:rPr>
                  <w:rPr>
                    <w:rFonts w:ascii="Cambria Math" w:hAnsi="Cambria Math"/>
                    <w:i w:val="0"/>
                  </w:rPr>
                  <m:t xml:space="preserve">2</m:t>
                </m:r>
              </m:sup>
            </m:sSup>
          </m:den>
        </m:f>
        <m:r>
          <m:rPr>
            <m:nor/>
          </m:rPr>
          <w:rPr>
            <w:rFonts w:ascii="Cambria Math" w:hAnsi="Cambria Math"/>
            <w:i w:val="0"/>
          </w:rPr>
          <m:t xml:space="preserve">,   </m:t>
        </m:r>
        <m:r>
          <m:rPr>
            <m:sty m:val="i"/>
          </m:rPr>
          <w:rPr>
            <w:rFonts w:ascii="Cambria Math" w:hAnsi="Cambria Math"/>
            <w:i/>
          </w:rPr>
          <m:t xml:space="preserve">I</m:t>
        </m:r>
        <m:d>
          <m:dPr>
            <m:begChr m:val="("/>
            <m:endChr m:val=")"/>
            <m:ctrlPr>
              <w:rPr>
                <w:rFonts w:ascii="Cambria Math" w:hAnsi="Cambria Math"/>
                <w:i/>
              </w:rPr>
            </m:ctrlPr>
          </m:dPr>
          <m:e>
            <m:r>
              <m:rPr>
                <m:sty m:val="i"/>
              </m:rPr>
              <w:rPr>
                <w:rFonts w:ascii="Cambria Math" w:hAnsi="Cambria Math"/>
                <w:i/>
              </w:rPr>
              <m:t xml:space="preserve">r</m:t>
            </m:r>
          </m:e>
        </m:d>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m:t>
            </m:r>
          </m:e>
          <m:sub>
            <m:r>
              <m:rPr>
                <m:nor/>
              </m:rPr>
              <w:rPr>
                <w:rFonts w:ascii="Cambria Math" w:hAnsi="Cambria Math"/>
                <w:i w:val="0"/>
              </w:rPr>
              <m:t xml:space="preserve">0</m:t>
            </m:r>
          </m:sub>
        </m:sSub>
        <m:r>
          <m:rPr>
            <m:sty m:val="i"/>
          </m:rPr>
          <w:rPr>
            <w:rFonts w:ascii="Cambria Math" w:hAnsi="Cambria Math"/>
            <w:i/>
          </w:rPr>
          <m:t xml:space="preserve">τ</m:t>
        </m:r>
        <m:r>
          <m:rPr>
            <m:nor/>
          </m:rPr>
          <w:rPr>
            <w:rFonts w:ascii="Cambria Math" w:hAnsi="Cambria Math"/>
            <w:i w:val="0"/>
          </w:rPr>
          <m:t xml:space="preserve">(r′) r′ dr′</m:t>
        </m:r>
        <m:r>
          <m:rPr>
            <m:nor/>
          </m:rPr>
          <w:rPr>
            <w:rFonts w:ascii="Cambria Math" w:hAnsi="Cambria Math"/>
            <w:i w:val="0"/>
          </w:rPr>
          <m:t xml:space="preserve">.</m:t>
        </m:r>
      </m:oMath>
      <w:r>
        <w:tab/>
        <w:t xml:space="preserve">(5)</w:t>
      </w:r>
    </w:p>
    <w:p>
      <w:pPr>
        <w:spacing w:after="40"/>
        <w:ind w:firstLine="245"/>
        <w:jc w:val="both"/>
      </w:pPr>
      <w:r>
        <w:rPr>
          <w:sz w:val="20"/>
        </w:rPr>
        <w:t>The closure enters only through Ψ(Λ) = ΛF(Λ), the normalized momentum flux; Θ is the torque number, proportional to the torque (Θ</w:t>
      </w:r>
      <w:r>
        <w:rPr>
          <w:sz w:val="20"/>
          <w:vertAlign w:val="subscript"/>
        </w:rPr>
        <w:t>max</w:t>
      </w:r>
      <w:r>
        <w:rPr>
          <w:sz w:val="20"/>
        </w:rPr>
        <w:t xml:space="preserve"> = 2.017×10</w:t>
      </w:r>
      <w:r>
        <w:rPr>
          <w:sz w:val="20"/>
          <w:vertAlign w:val="superscript"/>
        </w:rPr>
        <w:t>−3</w:t>
      </w:r>
      <w:r>
        <w:rPr>
          <w:sz w:val="20"/>
        </w:rPr>
        <w:t xml:space="preserve"> per N m here).</w:t>
      </w:r>
    </w:p>
    <w:p>
      <w:pPr>
        <w:spacing w:after="40"/>
        <w:ind w:firstLine="245"/>
        <w:jc w:val="both"/>
      </w:pPr>
      <w:r>
        <w:rPr>
          <w:b/>
          <w:sz w:val="20"/>
        </w:rPr>
        <w:t>Proposition 2 (admissibility).</w:t>
      </w:r>
      <w:r>
        <w:rPr>
          <w:sz w:val="20"/>
        </w:rPr>
        <w:t xml:space="preserve"> (a) Ψ′ = F(1 + d ln F/d ln Λ), so Ψ increases if and only if d ln F/d ln Λ &gt; −1. (b) If Ψ is increasing with supremum Ψ</w:t>
      </w:r>
      <w:r>
        <w:rPr>
          <w:sz w:val="20"/>
          <w:vertAlign w:val="subscript"/>
        </w:rPr>
        <w:t>∞</w:t>
      </w:r>
      <w:r>
        <w:rPr>
          <w:sz w:val="20"/>
        </w:rPr>
        <w:t>, the relation has exactly one solution at each radius if and only if Θ &lt; Ψ</w:t>
      </w:r>
      <w:r>
        <w:rPr>
          <w:sz w:val="20"/>
          <w:vertAlign w:val="subscript"/>
        </w:rPr>
        <w:t>∞</w:t>
      </w:r>
      <w:r>
        <w:rPr>
          <w:sz w:val="20"/>
        </w:rPr>
        <w:t>: a steady state exists for every torque when Ψ</w:t>
      </w:r>
      <w:r>
        <w:rPr>
          <w:sz w:val="20"/>
          <w:vertAlign w:val="subscript"/>
        </w:rPr>
        <w:t>∞</w:t>
      </w:r>
      <w:r>
        <w:rPr>
          <w:sz w:val="20"/>
        </w:rPr>
        <w:t xml:space="preserve"> = ∞ and only for Θ</w:t>
      </w:r>
      <w:r>
        <w:rPr>
          <w:sz w:val="20"/>
          <w:vertAlign w:val="subscript"/>
        </w:rPr>
        <w:t>max</w:t>
      </w:r>
      <w:r>
        <w:rPr>
          <w:sz w:val="20"/>
        </w:rPr>
        <w:t xml:space="preserve"> &lt; Ψ</w:t>
      </w:r>
      <w:r>
        <w:rPr>
          <w:sz w:val="20"/>
          <w:vertAlign w:val="subscript"/>
        </w:rPr>
        <w:t>∞</w:t>
      </w:r>
      <w:r>
        <w:rPr>
          <w:sz w:val="20"/>
        </w:rPr>
        <w:t xml:space="preserve"> otherwise (saturation). (c) If Ψ has a local maximum Ψ</w:t>
      </w:r>
      <w:r>
        <w:rPr>
          <w:sz w:val="20"/>
          <w:vertAlign w:val="subscript"/>
        </w:rPr>
        <w:t>M</w:t>
      </w:r>
      <w:r>
        <w:rPr>
          <w:sz w:val="20"/>
        </w:rPr>
        <w:t xml:space="preserve"> then a local minimum Ψ</w:t>
      </w:r>
      <w:r>
        <w:rPr>
          <w:sz w:val="20"/>
          <w:vertAlign w:val="subscript"/>
        </w:rPr>
        <w:t>m</w:t>
      </w:r>
      <w:r>
        <w:rPr>
          <w:sz w:val="20"/>
        </w:rPr>
        <w:t xml:space="preserve"> &lt; Ψ</w:t>
      </w:r>
      <w:r>
        <w:rPr>
          <w:sz w:val="20"/>
          <w:vertAlign w:val="subscript"/>
        </w:rPr>
        <w:t>M</w:t>
      </w:r>
      <w:r>
        <w:rPr>
          <w:sz w:val="20"/>
        </w:rPr>
        <w:t>, three solutions exist for Ψ</w:t>
      </w:r>
      <w:r>
        <w:rPr>
          <w:sz w:val="20"/>
          <w:vertAlign w:val="subscript"/>
        </w:rPr>
        <w:t>m</w:t>
      </w:r>
      <w:r>
        <w:rPr>
          <w:sz w:val="20"/>
        </w:rPr>
        <w:t xml:space="preserve"> &lt; Θ &lt; Ψ</w:t>
      </w:r>
      <w:r>
        <w:rPr>
          <w:sz w:val="20"/>
          <w:vertAlign w:val="subscript"/>
        </w:rPr>
        <w:t>M</w:t>
      </w:r>
      <w:r>
        <w:rPr>
          <w:sz w:val="20"/>
        </w:rPr>
        <w:t>; the branch started at Λ = 0 ends in a fold at Θ = Ψ</w:t>
      </w:r>
      <w:r>
        <w:rPr>
          <w:sz w:val="20"/>
          <w:vertAlign w:val="subscript"/>
        </w:rPr>
        <w:t>M</w:t>
      </w:r>
      <w:r>
        <w:rPr>
          <w:sz w:val="20"/>
        </w:rPr>
        <w:t>, and on decreasing torque the upper branch persists to Ψ</w:t>
      </w:r>
      <w:r>
        <w:rPr>
          <w:sz w:val="20"/>
          <w:vertAlign w:val="subscript"/>
        </w:rPr>
        <w:t>m</w:t>
      </w:r>
      <w:r>
        <w:rPr>
          <w:sz w:val="20"/>
        </w:rPr>
        <w:t>: a hysteresis window [Ψ</w:t>
      </w:r>
      <w:r>
        <w:rPr>
          <w:sz w:val="20"/>
          <w:vertAlign w:val="subscript"/>
        </w:rPr>
        <w:t>m</w:t>
      </w:r>
      <w:r>
        <w:rPr>
          <w:sz w:val="20"/>
        </w:rPr>
        <w:t>, Ψ</w:t>
      </w:r>
      <w:r>
        <w:rPr>
          <w:sz w:val="20"/>
          <w:vertAlign w:val="subscript"/>
        </w:rPr>
        <w:t>M</w:t>
      </w:r>
      <w:r>
        <w:rPr>
          <w:sz w:val="20"/>
        </w:rPr>
        <w:t>] in Θ.</w:t>
      </w:r>
    </w:p>
    <w:p>
      <w:pPr>
        <w:spacing w:after="40"/>
        <w:ind w:firstLine="245"/>
        <w:jc w:val="both"/>
      </w:pPr>
      <w:r>
        <w:rPr>
          <w:b/>
          <w:sz w:val="20"/>
        </w:rPr>
        <w:t>Proposition 3 (families).</w:t>
      </w:r>
      <w:r>
        <w:rPr>
          <w:sz w:val="20"/>
        </w:rPr>
        <w:t xml:space="preserve"> F = 1/(1 + Λ</w:t>
      </w:r>
      <w:r>
        <w:rPr>
          <w:sz w:val="20"/>
          <w:vertAlign w:val="superscript"/>
        </w:rPr>
        <w:t>m</w:t>
      </w:r>
      <w:r>
        <w:rPr>
          <w:sz w:val="20"/>
        </w:rPr>
        <w:t>) is admissible iff m ≤ 1 (m = 1 saturates at Ψ</w:t>
      </w:r>
      <w:r>
        <w:rPr>
          <w:sz w:val="20"/>
          <w:vertAlign w:val="subscript"/>
        </w:rPr>
        <w:t>∞</w:t>
      </w:r>
      <w:r>
        <w:rPr>
          <w:sz w:val="20"/>
        </w:rPr>
        <w:t xml:space="preserve"> = 1; for m &gt; 1 the fold is at Λ</w:t>
      </w:r>
      <w:r>
        <w:rPr>
          <w:sz w:val="20"/>
          <w:vertAlign w:val="superscript"/>
        </w:rPr>
        <w:t>*</w:t>
      </w:r>
      <w:r>
        <w:rPr>
          <w:sz w:val="20"/>
        </w:rPr>
        <w:t xml:space="preserve"> = (m − 1)</w:t>
      </w:r>
      <w:r>
        <w:rPr>
          <w:sz w:val="20"/>
          <w:vertAlign w:val="superscript"/>
        </w:rPr>
        <w:t>−1/m</w:t>
      </w:r>
      <w:r>
        <w:rPr>
          <w:sz w:val="20"/>
        </w:rPr>
        <w:t>, Ψ = Λ</w:t>
      </w:r>
      <w:r>
        <w:rPr>
          <w:sz w:val="20"/>
          <w:vertAlign w:val="superscript"/>
        </w:rPr>
        <w:t>*</w:t>
      </w:r>
      <w:r>
        <w:rPr>
          <w:sz w:val="20"/>
        </w:rPr>
        <w:t>/m, i.e. Θ = 1/2 for m = 2). F = f + (1 − f)/(1 + Λ²) is admissible iff f &gt; 1/9. F = f + (1 − f)exp(−αΛ²) is admissible iff f &gt; 2e</w:t>
      </w:r>
      <w:r>
        <w:rPr>
          <w:sz w:val="20"/>
          <w:vertAlign w:val="superscript"/>
        </w:rPr>
        <w:t>−3/2</w:t>
      </w:r>
      <w:r>
        <w:rPr>
          <w:sz w:val="20"/>
        </w:rPr>
        <w:t>/(1 + 2e</w:t>
      </w:r>
      <w:r>
        <w:rPr>
          <w:sz w:val="20"/>
          <w:vertAlign w:val="superscript"/>
        </w:rPr>
        <w:t>−3/2</w:t>
      </w:r>
      <w:r>
        <w:rPr>
          <w:sz w:val="20"/>
        </w:rPr>
        <w:t>) = 0.3086, for any α. Proofs are in the supplement. This is the condition under which a nonlinear diffusion problem with a drive-dependent flux is well posed [13], and part (c) is the rotation analogue of the S-curve of L–H models [8], [9].</w:t>
      </w:r>
    </w:p>
    <w:p>
      <w:pPr>
        <w:spacing w:after="40"/>
        <w:ind w:firstLine="245"/>
        <w:jc w:val="both"/>
      </w:pPr>
      <w:r>
        <w:rPr>
          <w:i/>
          <w:sz w:val="20"/>
        </w:rPr>
        <w:t>Proof sketch.</w:t>
      </w:r>
      <w:r>
        <w:rPr>
          <w:sz w:val="20"/>
        </w:rPr>
        <w:t xml:space="preserve"> Integrating the steady rotation equation from the axis, where rG vanishes by regularity, gives rG = −I(r), hence μ</w:t>
      </w:r>
      <w:r>
        <w:rPr>
          <w:sz w:val="20"/>
          <w:vertAlign w:val="subscript"/>
        </w:rPr>
        <w:t>0</w:t>
      </w:r>
      <w:r>
        <w:rPr>
          <w:sz w:val="20"/>
        </w:rPr>
        <w:t>R</w:t>
      </w:r>
      <w:r>
        <w:rPr>
          <w:sz w:val="20"/>
          <w:vertAlign w:val="subscript"/>
        </w:rPr>
        <w:t>0</w:t>
      </w:r>
      <w:r>
        <w:rPr>
          <w:sz w:val="20"/>
        </w:rPr>
        <w:t>²F(Λ)|∂</w:t>
      </w:r>
      <w:r>
        <w:rPr>
          <w:sz w:val="20"/>
          <w:vertAlign w:val="subscript"/>
        </w:rPr>
        <w:t>r</w:t>
      </w:r>
      <w:r>
        <w:rPr>
          <w:sz w:val="20"/>
        </w:rPr>
        <w:t>Ω| = I/r and, with Λ = r|∂</w:t>
      </w:r>
      <w:r>
        <w:rPr>
          <w:sz w:val="20"/>
          <w:vertAlign w:val="subscript"/>
        </w:rPr>
        <w:t>r</w:t>
      </w:r>
      <w:r>
        <w:rPr>
          <w:sz w:val="20"/>
        </w:rPr>
        <w:t>Ω|/qγ</w:t>
      </w:r>
      <w:r>
        <w:rPr>
          <w:sz w:val="20"/>
          <w:vertAlign w:val="subscript"/>
        </w:rPr>
        <w:t>0</w:t>
      </w:r>
      <w:r>
        <w:rPr>
          <w:sz w:val="20"/>
        </w:rPr>
        <w:t>, Eq. (5). Proposition 2 follows from Ψ′ = F + ΛF′ and the monotonicity of Ψ. For F = 1/(1 + Λ</w:t>
      </w:r>
      <w:r>
        <w:rPr>
          <w:sz w:val="20"/>
          <w:vertAlign w:val="superscript"/>
        </w:rPr>
        <w:t>m</w:t>
      </w:r>
      <w:r>
        <w:rPr>
          <w:sz w:val="20"/>
        </w:rPr>
        <w:t>), d ln F/d ln Λ = −mΛ</w:t>
      </w:r>
      <w:r>
        <w:rPr>
          <w:sz w:val="20"/>
          <w:vertAlign w:val="superscript"/>
        </w:rPr>
        <w:t>m</w:t>
      </w:r>
      <w:r>
        <w:rPr>
          <w:sz w:val="20"/>
        </w:rPr>
        <w:t>/(1 + Λ</w:t>
      </w:r>
      <w:r>
        <w:rPr>
          <w:sz w:val="20"/>
          <w:vertAlign w:val="superscript"/>
        </w:rPr>
        <w:t>m</w:t>
      </w:r>
      <w:r>
        <w:rPr>
          <w:sz w:val="20"/>
        </w:rPr>
        <w:t>) ∈ (−m, 0], which stays above −1 iff m ≤ 1; for the floor forms Ψ′ = f + (1 − f)g with min g = −1/8 (algebraic) or −2e</w:t>
      </w:r>
      <w:r>
        <w:rPr>
          <w:sz w:val="20"/>
          <w:vertAlign w:val="superscript"/>
        </w:rPr>
        <w:t>−3/2</w:t>
      </w:r>
      <w:r>
        <w:rPr>
          <w:sz w:val="20"/>
        </w:rPr>
        <w:t xml:space="preserve"> (exponential), giving f &gt; 1/9 and f &gt; 0.3086. Full proofs are in the supplement.</w:t>
      </w:r>
    </w:p>
    <w:p>
      <w:pPr>
        <w:keepNext/>
        <w:spacing w:before="120"/>
        <w:jc w:val="center"/>
      </w:pPr>
      <w:r>
        <w:rPr>
          <w:sz w:val="16"/>
        </w:rPr>
        <w:t>TABLE II</w:t>
      </w:r>
    </w:p>
    <w:p>
      <w:pPr>
        <w:keepNext/>
        <w:spacing w:after="60"/>
        <w:jc w:val="center"/>
      </w:pPr>
      <w:r>
        <w:rPr>
          <w:smallCaps/>
          <w:sz w:val="16"/>
        </w:rPr>
        <w:t>Admissibility of the viscosity closures</w:t>
      </w:r>
    </w:p>
    <w:tbl>
      <w:tblPr>
        <w:tblStyle w:val="TableGrid"/>
        <w:tblW w:type="auto" w:w="0"/>
        <w:jc w:val="center"/>
        <w:tblLayout w:type="fixed"/>
        <w:tblLook w:firstColumn="1" w:firstRow="1" w:lastColumn="0" w:lastRow="0" w:noHBand="0" w:noVBand="1" w:val="04A0"/>
      </w:tblPr>
      <w:tblGrid>
        <w:gridCol w:w="2160"/>
        <w:gridCol w:w="1728"/>
        <w:gridCol w:w="1152"/>
      </w:tblGrid>
      <w:tr>
        <w:trPr>
          <w:tblHeader w:val="true"/>
        </w:trPr>
        <w:tc>
          <w:tcPr>
            <w:tcW w:type="dxa" w:w="2160"/>
            <w:shd w:val="clear" w:color="auto" w:fill="E7ECF1"/>
          </w:tcPr>
          <w:p>
            <w:pPr>
              <w:spacing w:line="240" w:lineRule="auto" w:after="0"/>
            </w:pPr>
            <w:r/>
            <w:r>
              <w:rPr>
                <w:b/>
                <w:sz w:val="15"/>
              </w:rPr>
              <w:t>Closure F(Λ)</w:t>
            </w:r>
          </w:p>
        </w:tc>
        <w:tc>
          <w:tcPr>
            <w:tcW w:type="dxa" w:w="1728"/>
            <w:shd w:val="clear" w:color="auto" w:fill="E7ECF1"/>
          </w:tcPr>
          <w:p>
            <w:pPr>
              <w:spacing w:line="240" w:lineRule="auto" w:after="0"/>
            </w:pPr>
            <w:r/>
            <w:r>
              <w:rPr>
                <w:b/>
                <w:sz w:val="15"/>
              </w:rPr>
              <w:t>Steady state for all Θ?</w:t>
            </w:r>
          </w:p>
        </w:tc>
        <w:tc>
          <w:tcPr>
            <w:tcW w:type="dxa" w:w="1152"/>
            <w:shd w:val="clear" w:color="auto" w:fill="E7ECF1"/>
          </w:tcPr>
          <w:p>
            <w:pPr>
              <w:spacing w:line="240" w:lineRule="auto" w:after="0"/>
            </w:pPr>
            <w:r/>
            <w:r>
              <w:rPr>
                <w:b/>
                <w:sz w:val="15"/>
              </w:rPr>
              <w:t>Threshold</w:t>
            </w:r>
          </w:p>
        </w:tc>
      </w:tr>
      <w:tr>
        <w:tc>
          <w:tcPr>
            <w:tcW w:type="dxa" w:w="2160"/>
          </w:tcPr>
          <w:p>
            <w:pPr>
              <w:spacing w:line="240" w:lineRule="auto" w:after="0"/>
            </w:pPr>
            <w:r/>
            <w:r>
              <w:rPr>
                <w:sz w:val="15"/>
              </w:rPr>
              <w:t>1; 1/(1 + Λ</w:t>
            </w:r>
            <w:r>
              <w:rPr>
                <w:sz w:val="15"/>
                <w:vertAlign w:val="superscript"/>
              </w:rPr>
              <w:t>m</w:t>
            </w:r>
            <w:r>
              <w:rPr>
                <w:sz w:val="15"/>
              </w:rPr>
              <w:t>), m &lt; 1</w:t>
            </w:r>
          </w:p>
        </w:tc>
        <w:tc>
          <w:tcPr>
            <w:tcW w:type="dxa" w:w="1728"/>
          </w:tcPr>
          <w:p>
            <w:pPr>
              <w:spacing w:line="240" w:lineRule="auto" w:after="0"/>
            </w:pPr>
            <w:r/>
            <w:r>
              <w:rPr>
                <w:sz w:val="15"/>
              </w:rPr>
              <w:t>yes</w:t>
            </w:r>
          </w:p>
        </w:tc>
        <w:tc>
          <w:tcPr>
            <w:tcW w:type="dxa" w:w="1152"/>
          </w:tcPr>
          <w:p>
            <w:pPr>
              <w:spacing w:line="240" w:lineRule="auto" w:after="0"/>
            </w:pPr>
            <w:r/>
            <w:r>
              <w:rPr>
                <w:sz w:val="15"/>
              </w:rPr>
              <w:t>–</w:t>
            </w:r>
          </w:p>
        </w:tc>
      </w:tr>
      <w:tr>
        <w:tc>
          <w:tcPr>
            <w:tcW w:type="dxa" w:w="2160"/>
          </w:tcPr>
          <w:p>
            <w:pPr>
              <w:spacing w:line="240" w:lineRule="auto" w:after="0"/>
            </w:pPr>
            <w:r/>
            <w:r>
              <w:rPr>
                <w:sz w:val="15"/>
              </w:rPr>
              <w:t>1/(1 + Λ)</w:t>
            </w:r>
          </w:p>
        </w:tc>
        <w:tc>
          <w:tcPr>
            <w:tcW w:type="dxa" w:w="1728"/>
          </w:tcPr>
          <w:p>
            <w:pPr>
              <w:spacing w:line="240" w:lineRule="auto" w:after="0"/>
            </w:pPr>
            <w:r/>
            <w:r>
              <w:rPr>
                <w:sz w:val="15"/>
              </w:rPr>
              <w:t>no: saturates</w:t>
            </w:r>
          </w:p>
        </w:tc>
        <w:tc>
          <w:tcPr>
            <w:tcW w:type="dxa" w:w="1152"/>
          </w:tcPr>
          <w:p>
            <w:pPr>
              <w:spacing w:line="240" w:lineRule="auto" w:after="0"/>
            </w:pPr>
            <w:r/>
            <w:r>
              <w:rPr>
                <w:sz w:val="15"/>
              </w:rPr>
              <w:t>Θ &lt; 1</w:t>
            </w:r>
          </w:p>
        </w:tc>
      </w:tr>
      <w:tr>
        <w:tc>
          <w:tcPr>
            <w:tcW w:type="dxa" w:w="2160"/>
          </w:tcPr>
          <w:p>
            <w:pPr>
              <w:spacing w:line="240" w:lineRule="auto" w:after="0"/>
            </w:pPr>
            <w:r/>
            <w:r>
              <w:rPr>
                <w:sz w:val="15"/>
              </w:rPr>
              <w:t>1/(1 + Λ²)</w:t>
            </w:r>
          </w:p>
        </w:tc>
        <w:tc>
          <w:tcPr>
            <w:tcW w:type="dxa" w:w="1728"/>
          </w:tcPr>
          <w:p>
            <w:pPr>
              <w:spacing w:line="240" w:lineRule="auto" w:after="0"/>
            </w:pPr>
            <w:r/>
            <w:r>
              <w:rPr>
                <w:sz w:val="15"/>
              </w:rPr>
              <w:t>no: fold</w:t>
            </w:r>
          </w:p>
        </w:tc>
        <w:tc>
          <w:tcPr>
            <w:tcW w:type="dxa" w:w="1152"/>
          </w:tcPr>
          <w:p>
            <w:pPr>
              <w:spacing w:line="240" w:lineRule="auto" w:after="0"/>
            </w:pPr>
            <w:r/>
            <w:r>
              <w:rPr>
                <w:sz w:val="15"/>
              </w:rPr>
              <w:t>Θ &lt; 1/2</w:t>
            </w:r>
          </w:p>
        </w:tc>
      </w:tr>
      <w:tr>
        <w:tc>
          <w:tcPr>
            <w:tcW w:type="dxa" w:w="2160"/>
          </w:tcPr>
          <w:p>
            <w:pPr>
              <w:spacing w:line="240" w:lineRule="auto" w:after="0"/>
            </w:pPr>
            <w:r/>
            <w:r>
              <w:rPr>
                <w:sz w:val="15"/>
              </w:rPr>
              <w:t>f + (1 − f)/(1 + Λ²)</w:t>
            </w:r>
          </w:p>
        </w:tc>
        <w:tc>
          <w:tcPr>
            <w:tcW w:type="dxa" w:w="1728"/>
          </w:tcPr>
          <w:p>
            <w:pPr>
              <w:spacing w:line="240" w:lineRule="auto" w:after="0"/>
            </w:pPr>
            <w:r/>
            <w:r>
              <w:rPr>
                <w:sz w:val="15"/>
              </w:rPr>
              <w:t>yes if f &gt; 1/9</w:t>
            </w:r>
          </w:p>
        </w:tc>
        <w:tc>
          <w:tcPr>
            <w:tcW w:type="dxa" w:w="1152"/>
          </w:tcPr>
          <w:p>
            <w:pPr>
              <w:spacing w:line="240" w:lineRule="auto" w:after="0"/>
            </w:pPr>
            <w:r/>
            <w:r>
              <w:rPr>
                <w:sz w:val="15"/>
              </w:rPr>
              <w:t>1/9 = 0.1111</w:t>
            </w:r>
          </w:p>
        </w:tc>
      </w:tr>
      <w:tr>
        <w:tc>
          <w:tcPr>
            <w:tcW w:type="dxa" w:w="2160"/>
          </w:tcPr>
          <w:p>
            <w:pPr>
              <w:spacing w:line="240" w:lineRule="auto" w:after="0"/>
            </w:pPr>
            <w:r/>
            <w:r>
              <w:rPr>
                <w:sz w:val="15"/>
              </w:rPr>
              <w:t>f + (1 − f)exp(−αΛ²)</w:t>
            </w:r>
          </w:p>
        </w:tc>
        <w:tc>
          <w:tcPr>
            <w:tcW w:type="dxa" w:w="1728"/>
          </w:tcPr>
          <w:p>
            <w:pPr>
              <w:spacing w:line="240" w:lineRule="auto" w:after="0"/>
            </w:pPr>
            <w:r/>
            <w:r>
              <w:rPr>
                <w:sz w:val="15"/>
              </w:rPr>
              <w:t>yes if f &gt; 0.3086</w:t>
            </w:r>
          </w:p>
        </w:tc>
        <w:tc>
          <w:tcPr>
            <w:tcW w:type="dxa" w:w="1152"/>
          </w:tcPr>
          <w:p>
            <w:pPr>
              <w:spacing w:line="240" w:lineRule="auto" w:after="0"/>
            </w:pPr>
            <w:r/>
            <w:r>
              <w:rPr>
                <w:sz w:val="15"/>
              </w:rPr>
              <w:t>0.3086, any α</w:t>
            </w:r>
          </w:p>
        </w:tc>
      </w:tr>
    </w:tbl>
    <w:p>
      <w:pPr>
        <w:spacing w:after="80"/>
      </w:pPr>
    </w:p>
    <w:p>
      <w:pPr>
        <w:keepNext/>
        <w:spacing w:before="80" w:after="40"/>
      </w:pPr>
      <w:r>
        <w:rPr>
          <w:i/>
        </w:rPr>
        <w:t xml:space="preserve">B. </w:t>
      </w:r>
      <w:r>
        <w:rPr>
          <w:i/>
        </w:rPr>
        <w:t>Heat Closure: Branching and the Need for Regularization</w:t>
      </w:r>
    </w:p>
    <w:p>
      <w:pPr>
        <w:spacing w:after="40"/>
        <w:ind w:firstLine="245"/>
        <w:jc w:val="both"/>
      </w:pPr>
      <w:r>
        <w:rPr>
          <w:sz w:val="20"/>
        </w:rPr>
        <w:t>The heat flux of the local closure is Φ(T′, T″) = 3nχ</w:t>
      </w:r>
      <w:r>
        <w:rPr>
          <w:sz w:val="20"/>
          <w:vertAlign w:val="subscript"/>
        </w:rPr>
        <w:t>base</w:t>
      </w:r>
      <w:r>
        <w:rPr>
          <w:sz w:val="20"/>
        </w:rPr>
        <w:t>T′/(1 + ω</w:t>
      </w:r>
      <w:r>
        <w:rPr>
          <w:sz w:val="20"/>
          <w:vertAlign w:val="subscript"/>
        </w:rPr>
        <w:t>E</w:t>
      </w:r>
      <w:r>
        <w:rPr>
          <w:sz w:val="20"/>
        </w:rPr>
        <w:t>²/s</w:t>
      </w:r>
      <w:r>
        <w:rPr>
          <w:sz w:val="20"/>
          <w:vertAlign w:val="subscript"/>
        </w:rPr>
        <w:t>c</w:t>
      </w:r>
      <w:r>
        <w:rPr>
          <w:sz w:val="20"/>
        </w:rPr>
        <w:t>²γ</w:t>
      </w:r>
      <w:r>
        <w:rPr>
          <w:sz w:val="20"/>
          <w:vertAlign w:val="subscript"/>
        </w:rPr>
        <w:t>0</w:t>
      </w:r>
      <w:r>
        <w:rPr>
          <w:sz w:val="20"/>
        </w:rPr>
        <w:t>²) with ω</w:t>
      </w:r>
      <w:r>
        <w:rPr>
          <w:sz w:val="20"/>
          <w:vertAlign w:val="subscript"/>
        </w:rPr>
        <w:t>E</w:t>
      </w:r>
      <w:r>
        <w:rPr>
          <w:sz w:val="20"/>
        </w:rPr>
        <w:t xml:space="preserve"> = ω</w:t>
      </w:r>
      <w:r>
        <w:rPr>
          <w:sz w:val="20"/>
          <w:vertAlign w:val="subscript"/>
        </w:rPr>
        <w:t>0</w:t>
      </w:r>
      <w:r>
        <w:rPr>
          <w:sz w:val="20"/>
        </w:rPr>
        <w:t>(r, T, T′) + cT″, c = 10³/B V per keV (T in keV). Because Φ depends on ω</w:t>
      </w:r>
      <w:r>
        <w:rPr>
          <w:sz w:val="20"/>
          <w:vertAlign w:val="subscript"/>
        </w:rPr>
        <w:t>E</w:t>
      </w:r>
      <w:r>
        <w:rPr>
          <w:sz w:val="20"/>
        </w:rPr>
        <w:t xml:space="preserve"> only through ω</w:t>
      </w:r>
      <w:r>
        <w:rPr>
          <w:sz w:val="20"/>
          <w:vertAlign w:val="subscript"/>
        </w:rPr>
        <w:t>E</w:t>
      </w:r>
      <w:r>
        <w:rPr>
          <w:sz w:val="20"/>
        </w:rPr>
        <w:t>², the integrated balance rΦ(T′, T″) = −I</w:t>
      </w:r>
      <w:r>
        <w:rPr>
          <w:sz w:val="20"/>
          <w:vertAlign w:val="subscript"/>
        </w:rPr>
        <w:t>h</w:t>
      </w:r>
      <w:r>
        <w:rPr>
          <w:sz w:val="20"/>
        </w:rPr>
        <w:t>(r) (with I</w:t>
      </w:r>
      <w:r>
        <w:rPr>
          <w:sz w:val="20"/>
          <w:vertAlign w:val="subscript"/>
        </w:rPr>
        <w:t>h</w:t>
      </w:r>
      <w:r>
        <w:rPr>
          <w:sz w:val="20"/>
        </w:rPr>
        <w:t xml:space="preserve"> the net source inside r) determines T″ only up to the choice of branch ω</w:t>
      </w:r>
      <w:r>
        <w:rPr>
          <w:sz w:val="20"/>
          <w:vertAlign w:val="subscript"/>
        </w:rPr>
        <w:t>E</w:t>
      </w:r>
      <w:r>
        <w:rPr>
          <w:sz w:val="20"/>
        </w:rPr>
        <w:t xml:space="preserve"> = ±ω</w:t>
      </w:r>
      <w:r>
        <w:rPr>
          <w:sz w:val="20"/>
          <w:vertAlign w:val="superscript"/>
        </w:rPr>
        <w:t>*</w:t>
      </w:r>
      <w:r>
        <w:rPr>
          <w:sz w:val="20"/>
        </w:rPr>
        <w:t>: the steady local problem is a branching second-order equation, and a solution may switch branch in a thin layer. Nothing in the Dirichlet edge value or in regularity on the axis selects the branch, so the choice is made by the discretization of the edge cell. This is not a loss of ellipticity: the principal part, D</w:t>
      </w:r>
      <w:r>
        <w:rPr>
          <w:sz w:val="20"/>
          <w:vertAlign w:val="subscript"/>
        </w:rPr>
        <w:t>eff</w:t>
      </w:r>
      <w:r>
        <w:rPr>
          <w:sz w:val="20"/>
        </w:rPr>
        <w:t xml:space="preserve"> = [∂Φ/∂T′ + ∂</w:t>
      </w:r>
      <w:r>
        <w:rPr>
          <w:sz w:val="20"/>
          <w:vertAlign w:val="subscript"/>
        </w:rPr>
        <w:t>r</w:t>
      </w:r>
      <w:r>
        <w:rPr>
          <w:sz w:val="20"/>
        </w:rPr>
        <w:t>(∂Φ/∂T″)]/3n, stays at least 0.30 m² s</w:t>
      </w:r>
      <w:r>
        <w:rPr>
          <w:sz w:val="20"/>
          <w:vertAlign w:val="superscript"/>
        </w:rPr>
        <w:t>−1</w:t>
      </w:r>
      <w:r>
        <w:rPr>
          <w:sz w:val="20"/>
        </w:rPr>
        <w:t xml:space="preserve"> at every radius for all s</w:t>
      </w:r>
      <w:r>
        <w:rPr>
          <w:sz w:val="20"/>
          <w:vertAlign w:val="subscript"/>
        </w:rPr>
        <w:t>c</w:t>
      </w:r>
      <w:r>
        <w:rPr>
          <w:sz w:val="20"/>
        </w:rPr>
        <w:t xml:space="preserve"> tested (Table S4 of the supplement). The smoothed closure of Eq. (3) removes the branching: Φ is a smooth functional of the profile through A, and (T, A) obey a closed system of two second-order equations with the conditions T(a) = T</w:t>
      </w:r>
      <w:r>
        <w:rPr>
          <w:sz w:val="20"/>
          <w:vertAlign w:val="subscript"/>
        </w:rPr>
        <w:t>a</w:t>
      </w:r>
      <w:r>
        <w:rPr>
          <w:sz w:val="20"/>
        </w:rPr>
        <w:t>, T′(0) = 0, and A′(0) = A′(a) = 0. Sections V-A and V-B test this diagnosis; it is supported by the evidence there but not proved.</w:t>
      </w:r>
    </w:p>
    <w:p>
      <w:pPr>
        <w:keepNext/>
        <w:spacing w:before="160" w:after="80"/>
        <w:jc w:val="center"/>
      </w:pPr>
      <w:r>
        <w:rPr>
          <w:sz w:val="20"/>
        </w:rPr>
        <w:t>IV. NUMERICAL METHOD AND VERIFICATION</w:t>
      </w:r>
    </w:p>
    <w:p>
      <w:pPr>
        <w:spacing w:after="40"/>
        <w:ind w:firstLine="245"/>
        <w:jc w:val="both"/>
      </w:pPr>
      <w:r>
        <w:rPr>
          <w:sz w:val="20"/>
        </w:rPr>
        <w:t>The energy equation is discretized conservatively on N uniform cells (finite volume, face conductivities from the arithmetic mean of the cell values). All edge and axis derivatives are second order: the cell gradient at the edge cell and the edge-face derivative use the quadratic through the edge value and the last two cells, the axis cell uses T = A + Br², and E</w:t>
      </w:r>
      <w:r>
        <w:rPr>
          <w:sz w:val="20"/>
          <w:vertAlign w:val="subscript"/>
        </w:rPr>
        <w:t>r</w:t>
      </w:r>
      <w:r>
        <w:rPr>
          <w:sz w:val="20"/>
        </w:rPr>
        <w:t>/r is extrapolated evenly to the axis. Steady states are obtained by damped Newton iteration with a banded (local) or dense (smoothed) central-difference Jacobian, started from a backward-Euler march of the baseline and followed in s</w:t>
      </w:r>
      <w:r>
        <w:rPr>
          <w:sz w:val="20"/>
          <w:vertAlign w:val="subscript"/>
        </w:rPr>
        <w:t>c</w:t>
      </w:r>
      <w:r>
        <w:rPr>
          <w:sz w:val="20"/>
        </w:rPr>
        <w:t xml:space="preserve"> by continuation; linear stability is read from the eigenvalues of the Jacobian of dT/dt. The rotation equation is solved by scaled Newton iteration with torque continuation, and torque ramps by backward-Euler marching so that the dynamics select the branch. Details are in the supplement.</w:t>
      </w:r>
    </w:p>
    <w:p>
      <w:pPr>
        <w:keepNext/>
        <w:spacing w:before="120"/>
        <w:jc w:val="center"/>
      </w:pPr>
      <w:r>
        <w:rPr>
          <w:sz w:val="16"/>
        </w:rPr>
        <w:t>TABLE III</w:t>
      </w:r>
    </w:p>
    <w:p>
      <w:pPr>
        <w:keepNext/>
        <w:spacing w:after="60"/>
        <w:jc w:val="center"/>
      </w:pPr>
      <w:r>
        <w:rPr>
          <w:smallCaps/>
          <w:sz w:val="16"/>
        </w:rPr>
        <w:t>Verification (all checks are reproduced by the code archive)</w:t>
      </w:r>
    </w:p>
    <w:tbl>
      <w:tblPr>
        <w:tblStyle w:val="TableGrid"/>
        <w:tblW w:type="auto" w:w="0"/>
        <w:jc w:val="center"/>
        <w:tblLayout w:type="fixed"/>
        <w:tblLook w:firstColumn="1" w:firstRow="1" w:lastColumn="0" w:lastRow="0" w:noHBand="0" w:noVBand="1" w:val="04A0"/>
      </w:tblPr>
      <w:tblGrid>
        <w:gridCol w:w="2304"/>
        <w:gridCol w:w="2736"/>
      </w:tblGrid>
      <w:tr>
        <w:trPr>
          <w:tblHeader w:val="true"/>
        </w:trPr>
        <w:tc>
          <w:tcPr>
            <w:tcW w:type="dxa" w:w="2304"/>
            <w:shd w:val="clear" w:color="auto" w:fill="E7ECF1"/>
          </w:tcPr>
          <w:p>
            <w:pPr>
              <w:spacing w:line="240" w:lineRule="auto" w:after="0"/>
            </w:pPr>
            <w:r/>
            <w:r>
              <w:rPr>
                <w:b/>
                <w:sz w:val="15"/>
              </w:rPr>
              <w:t>Check</w:t>
            </w:r>
          </w:p>
        </w:tc>
        <w:tc>
          <w:tcPr>
            <w:tcW w:type="dxa" w:w="2736"/>
            <w:shd w:val="clear" w:color="auto" w:fill="E7ECF1"/>
          </w:tcPr>
          <w:p>
            <w:pPr>
              <w:spacing w:line="240" w:lineRule="auto" w:after="0"/>
            </w:pPr>
            <w:r/>
            <w:r>
              <w:rPr>
                <w:b/>
                <w:sz w:val="15"/>
              </w:rPr>
              <w:t>Result</w:t>
            </w:r>
          </w:p>
        </w:tc>
      </w:tr>
      <w:tr>
        <w:tc>
          <w:tcPr>
            <w:tcW w:type="dxa" w:w="2304"/>
          </w:tcPr>
          <w:p>
            <w:pPr>
              <w:spacing w:line="240" w:lineRule="auto" w:after="0"/>
            </w:pPr>
            <w:r/>
            <w:r>
              <w:rPr>
                <w:sz w:val="15"/>
              </w:rPr>
              <w:t>Bosch–Hale at 10, 20 keV</w:t>
            </w:r>
          </w:p>
        </w:tc>
        <w:tc>
          <w:tcPr>
            <w:tcW w:type="dxa" w:w="2736"/>
          </w:tcPr>
          <w:p>
            <w:pPr>
              <w:spacing w:line="240" w:lineRule="auto" w:after="0"/>
            </w:pPr>
            <w:r/>
            <w:r>
              <w:rPr>
                <w:sz w:val="15"/>
              </w:rPr>
              <w:t>1.136, 4.33 ×10</w:t>
            </w:r>
            <w:r>
              <w:rPr>
                <w:sz w:val="15"/>
                <w:vertAlign w:val="superscript"/>
              </w:rPr>
              <w:t>−22</w:t>
            </w:r>
            <w:r>
              <w:rPr>
                <w:sz w:val="15"/>
              </w:rPr>
              <w:t xml:space="preserve"> m³ s</w:t>
            </w:r>
            <w:r>
              <w:rPr>
                <w:sz w:val="15"/>
                <w:vertAlign w:val="superscript"/>
              </w:rPr>
              <w:t>−1</w:t>
            </w:r>
          </w:p>
        </w:tc>
      </w:tr>
      <w:tr>
        <w:tc>
          <w:tcPr>
            <w:tcW w:type="dxa" w:w="2304"/>
          </w:tcPr>
          <w:p>
            <w:pPr>
              <w:spacing w:line="240" w:lineRule="auto" w:after="0"/>
            </w:pPr>
            <w:r/>
            <w:r>
              <w:rPr>
                <w:sz w:val="15"/>
              </w:rPr>
              <w:t>Power balance residual</w:t>
            </w:r>
          </w:p>
        </w:tc>
        <w:tc>
          <w:tcPr>
            <w:tcW w:type="dxa" w:w="2736"/>
          </w:tcPr>
          <w:p>
            <w:pPr>
              <w:spacing w:line="240" w:lineRule="auto" w:after="0"/>
            </w:pPr>
            <w:r/>
            <w:r>
              <w:rPr>
                <w:sz w:val="15"/>
              </w:rPr>
              <w:t>max 2×10</w:t>
            </w:r>
            <w:r>
              <w:rPr>
                <w:sz w:val="15"/>
                <w:vertAlign w:val="superscript"/>
              </w:rPr>
              <w:t>−10</w:t>
            </w:r>
            <w:r>
              <w:rPr>
                <w:sz w:val="15"/>
              </w:rPr>
              <w:t xml:space="preserve"> of heating (s</w:t>
            </w:r>
            <w:r>
              <w:rPr>
                <w:sz w:val="15"/>
                <w:vertAlign w:val="subscript"/>
              </w:rPr>
              <w:t>c</w:t>
            </w:r>
            <w:r>
              <w:rPr>
                <w:sz w:val="15"/>
              </w:rPr>
              <w:t xml:space="preserve"> = ∞ to 0.03)</w:t>
            </w:r>
          </w:p>
        </w:tc>
      </w:tr>
      <w:tr>
        <w:tc>
          <w:tcPr>
            <w:tcW w:type="dxa" w:w="2304"/>
          </w:tcPr>
          <w:p>
            <w:pPr>
              <w:spacing w:line="240" w:lineRule="auto" w:after="0"/>
            </w:pPr>
            <w:r/>
            <w:r>
              <w:rPr>
                <w:sz w:val="15"/>
              </w:rPr>
              <w:t>s</w:t>
            </w:r>
            <w:r>
              <w:rPr>
                <w:sz w:val="15"/>
                <w:vertAlign w:val="subscript"/>
              </w:rPr>
              <w:t>c</w:t>
            </w:r>
            <w:r>
              <w:rPr>
                <w:sz w:val="15"/>
              </w:rPr>
              <w:t xml:space="preserve"> = 10</w:t>
            </w:r>
            <w:r>
              <w:rPr>
                <w:sz w:val="15"/>
                <w:vertAlign w:val="superscript"/>
              </w:rPr>
              <w:t>9</w:t>
            </w:r>
            <w:r>
              <w:rPr>
                <w:sz w:val="15"/>
              </w:rPr>
              <w:t xml:space="preserve"> vs baseline</w:t>
            </w:r>
          </w:p>
        </w:tc>
        <w:tc>
          <w:tcPr>
            <w:tcW w:type="dxa" w:w="2736"/>
          </w:tcPr>
          <w:p>
            <w:pPr>
              <w:spacing w:line="240" w:lineRule="auto" w:after="0"/>
            </w:pPr>
            <w:r/>
            <w:r>
              <w:rPr>
                <w:sz w:val="15"/>
              </w:rPr>
              <w:t>difference 0 keV</w:t>
            </w:r>
          </w:p>
        </w:tc>
      </w:tr>
      <w:tr>
        <w:tc>
          <w:tcPr>
            <w:tcW w:type="dxa" w:w="2304"/>
          </w:tcPr>
          <w:p>
            <w:pPr>
              <w:spacing w:line="240" w:lineRule="auto" w:after="0"/>
            </w:pPr>
            <w:r/>
            <w:r>
              <w:rPr>
                <w:sz w:val="15"/>
              </w:rPr>
              <w:t>Radau integration vs Newton</w:t>
            </w:r>
          </w:p>
        </w:tc>
        <w:tc>
          <w:tcPr>
            <w:tcW w:type="dxa" w:w="2736"/>
          </w:tcPr>
          <w:p>
            <w:pPr>
              <w:spacing w:line="240" w:lineRule="auto" w:after="0"/>
            </w:pPr>
            <w:r/>
            <w:r>
              <w:rPr>
                <w:sz w:val="15"/>
              </w:rPr>
              <w:t>max 1×10</w:t>
            </w:r>
            <w:r>
              <w:rPr>
                <w:sz w:val="15"/>
                <w:vertAlign w:val="superscript"/>
              </w:rPr>
              <w:t>−10</w:t>
            </w:r>
            <w:r>
              <w:rPr>
                <w:sz w:val="15"/>
              </w:rPr>
              <w:t xml:space="preserve"> keV (4 values of s</w:t>
            </w:r>
            <w:r>
              <w:rPr>
                <w:sz w:val="15"/>
                <w:vertAlign w:val="subscript"/>
              </w:rPr>
              <w:t>c</w:t>
            </w:r>
            <w:r>
              <w:rPr>
                <w:sz w:val="15"/>
              </w:rPr>
              <w:t>)</w:t>
            </w:r>
          </w:p>
        </w:tc>
      </w:tr>
      <w:tr>
        <w:tc>
          <w:tcPr>
            <w:tcW w:type="dxa" w:w="2304"/>
          </w:tcPr>
          <w:p>
            <w:pPr>
              <w:spacing w:line="240" w:lineRule="auto" w:after="0"/>
            </w:pPr>
            <w:r/>
            <w:r>
              <w:rPr>
                <w:sz w:val="15"/>
              </w:rPr>
              <w:t>Order of convergence of Q</w:t>
            </w:r>
          </w:p>
        </w:tc>
        <w:tc>
          <w:tcPr>
            <w:tcW w:type="dxa" w:w="2736"/>
          </w:tcPr>
          <w:p>
            <w:pPr>
              <w:spacing w:line="240" w:lineRule="auto" w:after="0"/>
            </w:pPr>
            <w:r/>
            <w:r>
              <w:rPr>
                <w:sz w:val="15"/>
              </w:rPr>
              <w:t>1.7–2.0 (baseline and s</w:t>
            </w:r>
            <w:r>
              <w:rPr>
                <w:sz w:val="15"/>
                <w:vertAlign w:val="subscript"/>
              </w:rPr>
              <w:t>c</w:t>
            </w:r>
            <w:r>
              <w:rPr>
                <w:sz w:val="15"/>
              </w:rPr>
              <w:t xml:space="preserve"> ≥ 0.05)</w:t>
            </w:r>
          </w:p>
        </w:tc>
      </w:tr>
      <w:tr>
        <w:tc>
          <w:tcPr>
            <w:tcW w:type="dxa" w:w="2304"/>
          </w:tcPr>
          <w:p>
            <w:pPr>
              <w:spacing w:line="240" w:lineRule="auto" w:after="0"/>
            </w:pPr>
            <w:r/>
            <w:r>
              <w:rPr>
                <w:sz w:val="15"/>
              </w:rPr>
              <w:t>λ</w:t>
            </w:r>
            <w:r>
              <w:rPr>
                <w:sz w:val="15"/>
                <w:vertAlign w:val="subscript"/>
              </w:rPr>
              <w:t>1</w:t>
            </w:r>
            <w:r>
              <w:rPr>
                <w:sz w:val="15"/>
              </w:rPr>
              <w:t>(s</w:t>
            </w:r>
            <w:r>
              <w:rPr>
                <w:sz w:val="15"/>
                <w:vertAlign w:val="subscript"/>
              </w:rPr>
              <w:t>c</w:t>
            </w:r>
            <w:r>
              <w:rPr>
                <w:sz w:val="15"/>
              </w:rPr>
              <w:t xml:space="preserve"> = 2), N = 100, 400</w:t>
            </w:r>
          </w:p>
        </w:tc>
        <w:tc>
          <w:tcPr>
            <w:tcW w:type="dxa" w:w="2736"/>
          </w:tcPr>
          <w:p>
            <w:pPr>
              <w:spacing w:line="240" w:lineRule="auto" w:after="0"/>
            </w:pPr>
            <w:r/>
            <w:r>
              <w:rPr>
                <w:sz w:val="15"/>
              </w:rPr>
              <w:t>-2.675, -2.675 s</w:t>
            </w:r>
            <w:r>
              <w:rPr>
                <w:sz w:val="15"/>
                <w:vertAlign w:val="superscript"/>
              </w:rPr>
              <w:t>−1</w:t>
            </w:r>
          </w:p>
        </w:tc>
      </w:tr>
      <w:tr>
        <w:tc>
          <w:tcPr>
            <w:tcW w:type="dxa" w:w="2304"/>
          </w:tcPr>
          <w:p>
            <w:pPr>
              <w:spacing w:line="240" w:lineRule="auto" w:after="0"/>
            </w:pPr>
            <w:r/>
            <w:r>
              <w:rPr>
                <w:sz w:val="15"/>
              </w:rPr>
              <w:t>Flux relation vs direct solution</w:t>
            </w:r>
          </w:p>
        </w:tc>
        <w:tc>
          <w:tcPr>
            <w:tcW w:type="dxa" w:w="2736"/>
          </w:tcPr>
          <w:p>
            <w:pPr>
              <w:spacing w:line="240" w:lineRule="auto" w:after="0"/>
            </w:pPr>
            <w:r/>
            <w:r>
              <w:rPr>
                <w:sz w:val="15"/>
              </w:rPr>
              <w:t>max relative error 5×10</w:t>
            </w:r>
            <w:r>
              <w:rPr>
                <w:sz w:val="15"/>
                <w:vertAlign w:val="superscript"/>
              </w:rPr>
              <w:t>−11</w:t>
            </w:r>
            <w:r>
              <w:rPr>
                <w:sz w:val="15"/>
              </w:rPr>
              <w:t xml:space="preserve"> (17 cases)</w:t>
            </w:r>
          </w:p>
        </w:tc>
      </w:tr>
    </w:tbl>
    <w:p>
      <w:pPr>
        <w:spacing w:after="80"/>
      </w:pPr>
    </w:p>
    <w:p>
      <w:pPr>
        <w:keepNext/>
        <w:spacing w:before="160" w:after="80"/>
        <w:jc w:val="center"/>
      </w:pPr>
      <w:r>
        <w:rPr>
          <w:sz w:val="20"/>
        </w:rPr>
        <w:t>V. RESULTS</w:t>
      </w:r>
    </w:p>
    <w:p>
      <w:pPr>
        <w:keepNext/>
        <w:spacing w:before="80" w:after="40"/>
      </w:pPr>
      <w:r>
        <w:rPr>
          <w:i/>
        </w:rPr>
        <w:t xml:space="preserve">A. </w:t>
      </w:r>
      <w:r>
        <w:rPr>
          <w:i/>
        </w:rPr>
        <w:t>The Local Closure Is Numerically Ill Posed</w:t>
      </w:r>
    </w:p>
    <w:p>
      <w:pPr>
        <w:spacing w:after="40"/>
        <w:ind w:firstLine="245"/>
        <w:jc w:val="both"/>
      </w:pPr>
      <w:r>
        <w:rPr>
          <w:sz w:val="20"/>
        </w:rPr>
        <w:t>With the second-order edge treatment and no smoothing, the steady state exists but its linear stability depends on the resolution: at every s</w:t>
      </w:r>
      <w:r>
        <w:rPr>
          <w:sz w:val="20"/>
          <w:vertAlign w:val="subscript"/>
        </w:rPr>
        <w:t>c</w:t>
      </w:r>
      <w:r>
        <w:rPr>
          <w:sz w:val="20"/>
        </w:rPr>
        <w:t xml:space="preserve"> below a threshold s</w:t>
      </w:r>
      <w:r>
        <w:rPr>
          <w:sz w:val="20"/>
          <w:vertAlign w:val="subscript"/>
        </w:rPr>
        <w:t>c</w:t>
      </w:r>
      <w:r>
        <w:rPr>
          <w:sz w:val="20"/>
          <w:vertAlign w:val="superscript"/>
        </w:rPr>
        <w:t>lin</w:t>
      </w:r>
      <w:r>
        <w:rPr>
          <w:sz w:val="20"/>
        </w:rPr>
        <w:t>(N) a grid-scale mode localized in the last cells has a positive growth rate (Table IV, Fig. 1a,b). The growth rate rises by roughly an order of magnitude per doubling of N, and the threshold grows as N</w:t>
      </w:r>
      <w:r>
        <w:rPr>
          <w:sz w:val="20"/>
          <w:vertAlign w:val="superscript"/>
        </w:rPr>
        <w:t>0.52</w:t>
      </w:r>
      <w:r>
        <w:rPr>
          <w:sz w:val="20"/>
        </w:rPr>
        <w:t>, so for any finite s</w:t>
      </w:r>
      <w:r>
        <w:rPr>
          <w:sz w:val="20"/>
          <w:vertAlign w:val="subscript"/>
        </w:rPr>
        <w:t>c</w:t>
      </w:r>
      <w:r>
        <w:rPr>
          <w:sz w:val="20"/>
        </w:rPr>
        <w:t xml:space="preserve"> an unstable resolution is reached. In time integration at N = 100 a cold start of the local closure settles for s</w:t>
      </w:r>
      <w:r>
        <w:rPr>
          <w:sz w:val="20"/>
          <w:vertAlign w:val="subscript"/>
        </w:rPr>
        <w:t>c</w:t>
      </w:r>
      <w:r>
        <w:rPr>
          <w:sz w:val="20"/>
        </w:rPr>
        <w:t xml:space="preserve"> ≥ 0.3 and runs away below it (Fig. 1).</w:t>
      </w:r>
    </w:p>
    <w:p>
      <w:pPr>
        <w:keepNext/>
        <w:spacing w:before="120"/>
        <w:jc w:val="center"/>
      </w:pPr>
      <w:r>
        <w:rPr>
          <w:sz w:val="16"/>
        </w:rPr>
        <w:t>TABLE IV</w:t>
      </w:r>
    </w:p>
    <w:p>
      <w:pPr>
        <w:keepNext/>
        <w:spacing w:after="60"/>
        <w:jc w:val="center"/>
      </w:pPr>
      <w:r>
        <w:rPr>
          <w:smallCaps/>
          <w:sz w:val="16"/>
        </w:rPr>
        <w:t>Local closure: onset of the grid-scale instability against resolution</w:t>
      </w:r>
    </w:p>
    <w:tbl>
      <w:tblPr>
        <w:tblStyle w:val="TableGrid"/>
        <w:tblW w:type="auto" w:w="0"/>
        <w:jc w:val="center"/>
        <w:tblLayout w:type="fixed"/>
        <w:tblLook w:firstColumn="1" w:firstRow="1" w:lastColumn="0" w:lastRow="0" w:noHBand="0" w:noVBand="1" w:val="04A0"/>
      </w:tblPr>
      <w:tblGrid>
        <w:gridCol w:w="648"/>
        <w:gridCol w:w="1152"/>
        <w:gridCol w:w="1728"/>
        <w:gridCol w:w="1728"/>
      </w:tblGrid>
      <w:tr>
        <w:trPr>
          <w:tblHeader w:val="true"/>
        </w:trPr>
        <w:tc>
          <w:tcPr>
            <w:tcW w:type="dxa" w:w="648"/>
            <w:shd w:val="clear" w:color="auto" w:fill="E7ECF1"/>
          </w:tcPr>
          <w:p>
            <w:pPr>
              <w:spacing w:line="240" w:lineRule="auto" w:after="0"/>
            </w:pPr>
            <w:r/>
            <w:r>
              <w:rPr>
                <w:b/>
                <w:sz w:val="15"/>
              </w:rPr>
              <w:t>N</w:t>
            </w:r>
          </w:p>
        </w:tc>
        <w:tc>
          <w:tcPr>
            <w:tcW w:type="dxa" w:w="1152"/>
            <w:shd w:val="clear" w:color="auto" w:fill="E7ECF1"/>
          </w:tcPr>
          <w:p>
            <w:pPr>
              <w:spacing w:line="240" w:lineRule="auto" w:after="0"/>
            </w:pPr>
            <w:r/>
            <w:r>
              <w:rPr>
                <w:b/>
                <w:sz w:val="15"/>
              </w:rPr>
              <w:t>s</w:t>
            </w:r>
            <w:r>
              <w:rPr>
                <w:b/>
                <w:sz w:val="15"/>
                <w:vertAlign w:val="subscript"/>
              </w:rPr>
              <w:t>c</w:t>
            </w:r>
            <w:r>
              <w:rPr>
                <w:b/>
                <w:sz w:val="15"/>
                <w:vertAlign w:val="superscript"/>
              </w:rPr>
              <w:t>lin</w:t>
            </w:r>
          </w:p>
        </w:tc>
        <w:tc>
          <w:tcPr>
            <w:tcW w:type="dxa" w:w="1728"/>
            <w:shd w:val="clear" w:color="auto" w:fill="E7ECF1"/>
          </w:tcPr>
          <w:p>
            <w:pPr>
              <w:spacing w:line="240" w:lineRule="auto" w:after="0"/>
            </w:pPr>
            <w:r/>
            <w:r>
              <w:rPr>
                <w:b/>
                <w:sz w:val="15"/>
              </w:rPr>
              <w:t>λ</w:t>
            </w:r>
            <w:r>
              <w:rPr>
                <w:b/>
                <w:sz w:val="15"/>
                <w:vertAlign w:val="subscript"/>
              </w:rPr>
              <w:t>1</w:t>
            </w:r>
            <w:r>
              <w:rPr>
                <w:b/>
                <w:sz w:val="15"/>
              </w:rPr>
              <w:t>(s</w:t>
            </w:r>
            <w:r>
              <w:rPr>
                <w:b/>
                <w:sz w:val="15"/>
                <w:vertAlign w:val="subscript"/>
              </w:rPr>
              <w:t>c</w:t>
            </w:r>
            <w:r>
              <w:rPr>
                <w:b/>
                <w:sz w:val="15"/>
              </w:rPr>
              <w:t xml:space="preserve"> = 0.4) (s</w:t>
            </w:r>
            <w:r>
              <w:rPr>
                <w:b/>
                <w:sz w:val="15"/>
                <w:vertAlign w:val="superscript"/>
              </w:rPr>
              <w:t>−1</w:t>
            </w:r>
            <w:r>
              <w:rPr>
                <w:b/>
                <w:sz w:val="15"/>
              </w:rPr>
              <w:t>)</w:t>
            </w:r>
          </w:p>
        </w:tc>
        <w:tc>
          <w:tcPr>
            <w:tcW w:type="dxa" w:w="1728"/>
            <w:shd w:val="clear" w:color="auto" w:fill="E7ECF1"/>
          </w:tcPr>
          <w:p>
            <w:pPr>
              <w:spacing w:line="240" w:lineRule="auto" w:after="0"/>
            </w:pPr>
            <w:r/>
            <w:r>
              <w:rPr>
                <w:b/>
                <w:sz w:val="15"/>
              </w:rPr>
              <w:t>λ</w:t>
            </w:r>
            <w:r>
              <w:rPr>
                <w:b/>
                <w:sz w:val="15"/>
                <w:vertAlign w:val="subscript"/>
              </w:rPr>
              <w:t>1</w:t>
            </w:r>
            <w:r>
              <w:rPr>
                <w:b/>
                <w:sz w:val="15"/>
              </w:rPr>
              <w:t>(s</w:t>
            </w:r>
            <w:r>
              <w:rPr>
                <w:b/>
                <w:sz w:val="15"/>
                <w:vertAlign w:val="subscript"/>
              </w:rPr>
              <w:t>c</w:t>
            </w:r>
            <w:r>
              <w:rPr>
                <w:b/>
                <w:sz w:val="15"/>
              </w:rPr>
              <w:t xml:space="preserve"> = 0.2) (s</w:t>
            </w:r>
            <w:r>
              <w:rPr>
                <w:b/>
                <w:sz w:val="15"/>
                <w:vertAlign w:val="superscript"/>
              </w:rPr>
              <w:t>−1</w:t>
            </w:r>
            <w:r>
              <w:rPr>
                <w:b/>
                <w:sz w:val="15"/>
              </w:rPr>
              <w:t>)</w:t>
            </w:r>
          </w:p>
        </w:tc>
      </w:tr>
      <w:tr>
        <w:tc>
          <w:tcPr>
            <w:tcW w:type="dxa" w:w="648"/>
          </w:tcPr>
          <w:p>
            <w:pPr>
              <w:spacing w:line="240" w:lineRule="auto" w:after="0"/>
            </w:pPr>
            <w:r/>
            <w:r>
              <w:rPr>
                <w:sz w:val="15"/>
              </w:rPr>
              <w:t>50</w:t>
            </w:r>
          </w:p>
        </w:tc>
        <w:tc>
          <w:tcPr>
            <w:tcW w:type="dxa" w:w="1152"/>
          </w:tcPr>
          <w:p>
            <w:pPr>
              <w:spacing w:line="240" w:lineRule="auto" w:after="0"/>
            </w:pPr>
            <w:r/>
            <w:r>
              <w:rPr>
                <w:sz w:val="15"/>
              </w:rPr>
              <w:t>0.124</w:t>
            </w:r>
          </w:p>
        </w:tc>
        <w:tc>
          <w:tcPr>
            <w:tcW w:type="dxa" w:w="1728"/>
          </w:tcPr>
          <w:p>
            <w:pPr>
              <w:spacing w:line="240" w:lineRule="auto" w:after="0"/>
            </w:pPr>
            <w:r/>
            <w:r>
              <w:rPr>
                <w:sz w:val="15"/>
              </w:rPr>
              <w:t>-2.67</w:t>
            </w:r>
          </w:p>
        </w:tc>
        <w:tc>
          <w:tcPr>
            <w:tcW w:type="dxa" w:w="1728"/>
          </w:tcPr>
          <w:p>
            <w:pPr>
              <w:spacing w:line="240" w:lineRule="auto" w:after="0"/>
            </w:pPr>
            <w:r/>
            <w:r>
              <w:rPr>
                <w:sz w:val="15"/>
              </w:rPr>
              <w:t>-2.64</w:t>
            </w:r>
          </w:p>
        </w:tc>
      </w:tr>
      <w:tr>
        <w:tc>
          <w:tcPr>
            <w:tcW w:type="dxa" w:w="648"/>
          </w:tcPr>
          <w:p>
            <w:pPr>
              <w:spacing w:line="240" w:lineRule="auto" w:after="0"/>
            </w:pPr>
            <w:r/>
            <w:r>
              <w:rPr>
                <w:sz w:val="15"/>
              </w:rPr>
              <w:t>100</w:t>
            </w:r>
          </w:p>
        </w:tc>
        <w:tc>
          <w:tcPr>
            <w:tcW w:type="dxa" w:w="1152"/>
          </w:tcPr>
          <w:p>
            <w:pPr>
              <w:spacing w:line="240" w:lineRule="auto" w:after="0"/>
            </w:pPr>
            <w:r/>
            <w:r>
              <w:rPr>
                <w:sz w:val="15"/>
              </w:rPr>
              <w:t>0.181</w:t>
            </w:r>
          </w:p>
        </w:tc>
        <w:tc>
          <w:tcPr>
            <w:tcW w:type="dxa" w:w="1728"/>
          </w:tcPr>
          <w:p>
            <w:pPr>
              <w:spacing w:line="240" w:lineRule="auto" w:after="0"/>
            </w:pPr>
            <w:r/>
            <w:r>
              <w:rPr>
                <w:sz w:val="15"/>
              </w:rPr>
              <w:t>-2.67</w:t>
            </w:r>
          </w:p>
        </w:tc>
        <w:tc>
          <w:tcPr>
            <w:tcW w:type="dxa" w:w="1728"/>
          </w:tcPr>
          <w:p>
            <w:pPr>
              <w:spacing w:line="240" w:lineRule="auto" w:after="0"/>
            </w:pPr>
            <w:r/>
            <w:r>
              <w:rPr>
                <w:sz w:val="15"/>
              </w:rPr>
              <w:t>-2.63</w:t>
            </w:r>
          </w:p>
        </w:tc>
      </w:tr>
      <w:tr>
        <w:tc>
          <w:tcPr>
            <w:tcW w:type="dxa" w:w="648"/>
          </w:tcPr>
          <w:p>
            <w:pPr>
              <w:spacing w:line="240" w:lineRule="auto" w:after="0"/>
            </w:pPr>
            <w:r/>
            <w:r>
              <w:rPr>
                <w:sz w:val="15"/>
              </w:rPr>
              <w:t>200</w:t>
            </w:r>
          </w:p>
        </w:tc>
        <w:tc>
          <w:tcPr>
            <w:tcW w:type="dxa" w:w="1152"/>
          </w:tcPr>
          <w:p>
            <w:pPr>
              <w:spacing w:line="240" w:lineRule="auto" w:after="0"/>
            </w:pPr>
            <w:r/>
            <w:r>
              <w:rPr>
                <w:sz w:val="15"/>
              </w:rPr>
              <w:t>0.261</w:t>
            </w:r>
          </w:p>
        </w:tc>
        <w:tc>
          <w:tcPr>
            <w:tcW w:type="dxa" w:w="1728"/>
          </w:tcPr>
          <w:p>
            <w:pPr>
              <w:spacing w:line="240" w:lineRule="auto" w:after="0"/>
            </w:pPr>
            <w:r/>
            <w:r>
              <w:rPr>
                <w:sz w:val="15"/>
              </w:rPr>
              <w:t>-2.67</w:t>
            </w:r>
          </w:p>
        </w:tc>
        <w:tc>
          <w:tcPr>
            <w:tcW w:type="dxa" w:w="1728"/>
          </w:tcPr>
          <w:p>
            <w:pPr>
              <w:spacing w:line="240" w:lineRule="auto" w:after="0"/>
            </w:pPr>
            <w:r/>
            <w:r>
              <w:rPr>
                <w:sz w:val="15"/>
              </w:rPr>
              <w:t>1.49e+05</w:t>
            </w:r>
          </w:p>
        </w:tc>
      </w:tr>
      <w:tr>
        <w:tc>
          <w:tcPr>
            <w:tcW w:type="dxa" w:w="648"/>
          </w:tcPr>
          <w:p>
            <w:pPr>
              <w:spacing w:line="240" w:lineRule="auto" w:after="0"/>
            </w:pPr>
            <w:r/>
            <w:r>
              <w:rPr>
                <w:sz w:val="15"/>
              </w:rPr>
              <w:t>400</w:t>
            </w:r>
          </w:p>
        </w:tc>
        <w:tc>
          <w:tcPr>
            <w:tcW w:type="dxa" w:w="1152"/>
          </w:tcPr>
          <w:p>
            <w:pPr>
              <w:spacing w:line="240" w:lineRule="auto" w:after="0"/>
            </w:pPr>
            <w:r/>
            <w:r>
              <w:rPr>
                <w:sz w:val="15"/>
              </w:rPr>
              <w:t>0.372</w:t>
            </w:r>
          </w:p>
        </w:tc>
        <w:tc>
          <w:tcPr>
            <w:tcW w:type="dxa" w:w="1728"/>
          </w:tcPr>
          <w:p>
            <w:pPr>
              <w:spacing w:line="240" w:lineRule="auto" w:after="0"/>
            </w:pPr>
            <w:r/>
            <w:r>
              <w:rPr>
                <w:sz w:val="15"/>
              </w:rPr>
              <w:t>-2.67</w:t>
            </w:r>
          </w:p>
        </w:tc>
        <w:tc>
          <w:tcPr>
            <w:tcW w:type="dxa" w:w="1728"/>
          </w:tcPr>
          <w:p>
            <w:pPr>
              <w:spacing w:line="240" w:lineRule="auto" w:after="0"/>
            </w:pPr>
            <w:r/>
            <w:r>
              <w:rPr>
                <w:sz w:val="15"/>
              </w:rPr>
              <w:t>2.45e+06</w:t>
            </w:r>
          </w:p>
        </w:tc>
      </w:tr>
    </w:tbl>
    <w:p>
      <w:pPr>
        <w:spacing w:after="80"/>
      </w:pPr>
    </w:p>
    <w:p>
      <w:pPr>
        <w:spacing w:after="40"/>
        <w:ind w:firstLine="245"/>
        <w:jc w:val="both"/>
      </w:pPr>
      <w:r>
        <w:rPr>
          <w:sz w:val="20"/>
        </w:rPr>
        <w:t>The converged value depends on how the edge is treated (Table V, Fig. 1c). A first-order half-cell edge treatment, which damps the grid-scale mode, appears stable and even produces a fold at s</w:t>
      </w:r>
      <w:r>
        <w:rPr>
          <w:sz w:val="20"/>
          <w:vertAlign w:val="subscript"/>
        </w:rPr>
        <w:t>c</w:t>
      </w:r>
      <w:r>
        <w:rPr>
          <w:sz w:val="20"/>
        </w:rPr>
        <w:t xml:space="preserve"> = 0.047; this disappears when the edge is treated consistently, so it is an artifact. Imposing an explicit extra edge condition (the last cell takes its neighbour's shearing rate, or no suppression in the last cell) makes the local closure stable and convergent, but the two answers differ by 10% at s</w:t>
      </w:r>
      <w:r>
        <w:rPr>
          <w:sz w:val="20"/>
          <w:vertAlign w:val="subscript"/>
        </w:rPr>
        <w:t>c</w:t>
      </w:r>
      <w:r>
        <w:rPr>
          <w:sz w:val="20"/>
        </w:rPr>
        <w:t xml:space="preserve"> = 0.05. The smoothed closure agrees with the edge-held condition to 0.3% at s</w:t>
      </w:r>
      <w:r>
        <w:rPr>
          <w:sz w:val="20"/>
          <w:vertAlign w:val="subscript"/>
        </w:rPr>
        <w:t>c</w:t>
      </w:r>
      <w:r>
        <w:rPr>
          <w:sz w:val="20"/>
        </w:rPr>
        <w:t xml:space="preserve"> = 0.1 and varies by only 0.8% over a tenfold range of ℓ.</w:t>
      </w:r>
    </w:p>
    <w:p>
      <w:pPr>
        <w:keepNext/>
        <w:spacing w:before="120"/>
        <w:jc w:val="center"/>
      </w:pPr>
      <w:r>
        <w:rPr>
          <w:sz w:val="16"/>
        </w:rPr>
        <w:t>TABLE V</w:t>
      </w:r>
    </w:p>
    <w:p>
      <w:pPr>
        <w:keepNext/>
        <w:spacing w:after="60"/>
        <w:jc w:val="center"/>
      </w:pPr>
      <w:r>
        <w:rPr>
          <w:smallCaps/>
          <w:sz w:val="16"/>
        </w:rPr>
        <w:t>Gain Q at s</w:t>
      </w:r>
      <w:r>
        <w:rPr>
          <w:smallCaps/>
          <w:sz w:val="16"/>
          <w:vertAlign w:val="subscript"/>
        </w:rPr>
        <w:t>c</w:t>
      </w:r>
      <w:r>
        <w:rPr>
          <w:smallCaps/>
          <w:sz w:val="16"/>
        </w:rPr>
        <w:t xml:space="preserve"> = 0.1 for different edge treatments and smoothing lengths (baseline Q = 3.702)</w:t>
      </w:r>
    </w:p>
    <w:tbl>
      <w:tblPr>
        <w:tblStyle w:val="TableGrid"/>
        <w:tblW w:type="auto" w:w="0"/>
        <w:jc w:val="center"/>
        <w:tblLayout w:type="fixed"/>
        <w:tblLook w:firstColumn="1" w:firstRow="1" w:lastColumn="0" w:lastRow="0" w:noHBand="0" w:noVBand="1" w:val="04A0"/>
      </w:tblPr>
      <w:tblGrid>
        <w:gridCol w:w="2520"/>
        <w:gridCol w:w="864"/>
        <w:gridCol w:w="864"/>
        <w:gridCol w:w="864"/>
      </w:tblGrid>
      <w:tr>
        <w:trPr>
          <w:tblHeader w:val="true"/>
        </w:trPr>
        <w:tc>
          <w:tcPr>
            <w:tcW w:type="dxa" w:w="2520"/>
            <w:shd w:val="clear" w:color="auto" w:fill="E7ECF1"/>
          </w:tcPr>
          <w:p>
            <w:pPr>
              <w:spacing w:line="240" w:lineRule="auto" w:after="0"/>
            </w:pPr>
            <w:r/>
            <w:r>
              <w:rPr>
                <w:b/>
                <w:sz w:val="15"/>
              </w:rPr>
              <w:t>Closure (edge condition)</w:t>
            </w:r>
          </w:p>
        </w:tc>
        <w:tc>
          <w:tcPr>
            <w:tcW w:type="dxa" w:w="864"/>
            <w:shd w:val="clear" w:color="auto" w:fill="E7ECF1"/>
          </w:tcPr>
          <w:p>
            <w:pPr>
              <w:spacing w:line="240" w:lineRule="auto" w:after="0"/>
            </w:pPr>
            <w:r/>
            <w:r>
              <w:rPr>
                <w:b/>
                <w:sz w:val="15"/>
              </w:rPr>
              <w:t>Q, N = 200</w:t>
            </w:r>
          </w:p>
        </w:tc>
        <w:tc>
          <w:tcPr>
            <w:tcW w:type="dxa" w:w="864"/>
            <w:shd w:val="clear" w:color="auto" w:fill="E7ECF1"/>
          </w:tcPr>
          <w:p>
            <w:pPr>
              <w:spacing w:line="240" w:lineRule="auto" w:after="0"/>
            </w:pPr>
            <w:r/>
            <w:r>
              <w:rPr>
                <w:b/>
                <w:sz w:val="15"/>
              </w:rPr>
              <w:t>Q, N = 400</w:t>
            </w:r>
          </w:p>
        </w:tc>
        <w:tc>
          <w:tcPr>
            <w:tcW w:type="dxa" w:w="864"/>
            <w:shd w:val="clear" w:color="auto" w:fill="E7ECF1"/>
          </w:tcPr>
          <w:p>
            <w:pPr>
              <w:spacing w:line="240" w:lineRule="auto" w:after="0"/>
            </w:pPr>
            <w:r/>
            <w:r>
              <w:rPr>
                <w:b/>
                <w:sz w:val="15"/>
              </w:rPr>
              <w:t>λ</w:t>
            </w:r>
            <w:r>
              <w:rPr>
                <w:b/>
                <w:sz w:val="15"/>
                <w:vertAlign w:val="subscript"/>
              </w:rPr>
              <w:t>1</w:t>
            </w:r>
            <w:r>
              <w:rPr>
                <w:b/>
                <w:sz w:val="15"/>
              </w:rPr>
              <w:t>, N = 400</w:t>
            </w:r>
          </w:p>
        </w:tc>
      </w:tr>
      <w:tr>
        <w:tc>
          <w:tcPr>
            <w:tcW w:type="dxa" w:w="2520"/>
          </w:tcPr>
          <w:p>
            <w:pPr>
              <w:spacing w:line="240" w:lineRule="auto" w:after="0"/>
            </w:pPr>
            <w:r/>
            <w:r>
              <w:rPr>
                <w:sz w:val="15"/>
              </w:rPr>
              <w:t>local, first-order edge</w:t>
            </w:r>
          </w:p>
        </w:tc>
        <w:tc>
          <w:tcPr>
            <w:tcW w:type="dxa" w:w="864"/>
          </w:tcPr>
          <w:p>
            <w:pPr>
              <w:spacing w:line="240" w:lineRule="auto" w:after="0"/>
            </w:pPr>
            <w:r/>
            <w:r>
              <w:rPr>
                <w:sz w:val="15"/>
              </w:rPr>
              <w:t>4.142</w:t>
            </w:r>
          </w:p>
        </w:tc>
        <w:tc>
          <w:tcPr>
            <w:tcW w:type="dxa" w:w="864"/>
          </w:tcPr>
          <w:p>
            <w:pPr>
              <w:spacing w:line="240" w:lineRule="auto" w:after="0"/>
            </w:pPr>
            <w:r/>
            <w:r>
              <w:rPr>
                <w:sz w:val="15"/>
              </w:rPr>
              <w:t>4.134</w:t>
            </w:r>
          </w:p>
        </w:tc>
        <w:tc>
          <w:tcPr>
            <w:tcW w:type="dxa" w:w="864"/>
          </w:tcPr>
          <w:p>
            <w:pPr>
              <w:spacing w:line="240" w:lineRule="auto" w:after="0"/>
            </w:pPr>
            <w:r/>
            <w:r>
              <w:rPr>
                <w:sz w:val="15"/>
              </w:rPr>
              <w:t>-2.18</w:t>
            </w:r>
          </w:p>
        </w:tc>
      </w:tr>
      <w:tr>
        <w:tc>
          <w:tcPr>
            <w:tcW w:type="dxa" w:w="2520"/>
          </w:tcPr>
          <w:p>
            <w:pPr>
              <w:spacing w:line="240" w:lineRule="auto" w:after="0"/>
            </w:pPr>
            <w:r/>
            <w:r>
              <w:rPr>
                <w:sz w:val="15"/>
              </w:rPr>
              <w:t>local, second-order edge</w:t>
            </w:r>
          </w:p>
        </w:tc>
        <w:tc>
          <w:tcPr>
            <w:tcW w:type="dxa" w:w="864"/>
          </w:tcPr>
          <w:p>
            <w:pPr>
              <w:spacing w:line="240" w:lineRule="auto" w:after="0"/>
            </w:pPr>
            <w:r/>
            <w:r>
              <w:rPr>
                <w:sz w:val="15"/>
              </w:rPr>
              <w:t>4.051</w:t>
            </w:r>
          </w:p>
        </w:tc>
        <w:tc>
          <w:tcPr>
            <w:tcW w:type="dxa" w:w="864"/>
          </w:tcPr>
          <w:p>
            <w:pPr>
              <w:spacing w:line="240" w:lineRule="auto" w:after="0"/>
            </w:pPr>
            <w:r/>
            <w:r>
              <w:rPr>
                <w:sz w:val="15"/>
              </w:rPr>
              <w:t>4.056</w:t>
            </w:r>
          </w:p>
        </w:tc>
        <w:tc>
          <w:tcPr>
            <w:tcW w:type="dxa" w:w="864"/>
          </w:tcPr>
          <w:p>
            <w:pPr>
              <w:spacing w:line="240" w:lineRule="auto" w:after="0"/>
            </w:pPr>
            <w:r/>
            <w:r>
              <w:rPr>
                <w:sz w:val="15"/>
              </w:rPr>
              <w:t>7.48e+06</w:t>
            </w:r>
          </w:p>
        </w:tc>
      </w:tr>
      <w:tr>
        <w:tc>
          <w:tcPr>
            <w:tcW w:type="dxa" w:w="2520"/>
          </w:tcPr>
          <w:p>
            <w:pPr>
              <w:spacing w:line="240" w:lineRule="auto" w:after="0"/>
            </w:pPr>
            <w:r/>
            <w:r>
              <w:rPr>
                <w:sz w:val="15"/>
              </w:rPr>
              <w:t>local, edge value held</w:t>
            </w:r>
          </w:p>
        </w:tc>
        <w:tc>
          <w:tcPr>
            <w:tcW w:type="dxa" w:w="864"/>
          </w:tcPr>
          <w:p>
            <w:pPr>
              <w:spacing w:line="240" w:lineRule="auto" w:after="0"/>
            </w:pPr>
            <w:r/>
            <w:r>
              <w:rPr>
                <w:sz w:val="15"/>
              </w:rPr>
              <w:t>3.924</w:t>
            </w:r>
          </w:p>
        </w:tc>
        <w:tc>
          <w:tcPr>
            <w:tcW w:type="dxa" w:w="864"/>
          </w:tcPr>
          <w:p>
            <w:pPr>
              <w:spacing w:line="240" w:lineRule="auto" w:after="0"/>
            </w:pPr>
            <w:r/>
            <w:r>
              <w:rPr>
                <w:sz w:val="15"/>
              </w:rPr>
              <w:t>3.930</w:t>
            </w:r>
          </w:p>
        </w:tc>
        <w:tc>
          <w:tcPr>
            <w:tcW w:type="dxa" w:w="864"/>
          </w:tcPr>
          <w:p>
            <w:pPr>
              <w:spacing w:line="240" w:lineRule="auto" w:after="0"/>
            </w:pPr>
            <w:r/>
            <w:r>
              <w:rPr>
                <w:sz w:val="15"/>
              </w:rPr>
              <w:t>-2.53</w:t>
            </w:r>
          </w:p>
        </w:tc>
      </w:tr>
      <w:tr>
        <w:tc>
          <w:tcPr>
            <w:tcW w:type="dxa" w:w="2520"/>
          </w:tcPr>
          <w:p>
            <w:pPr>
              <w:spacing w:line="240" w:lineRule="auto" w:after="0"/>
            </w:pPr>
            <w:r/>
            <w:r>
              <w:rPr>
                <w:sz w:val="15"/>
              </w:rPr>
              <w:t>local, none in last cell</w:t>
            </w:r>
          </w:p>
        </w:tc>
        <w:tc>
          <w:tcPr>
            <w:tcW w:type="dxa" w:w="864"/>
          </w:tcPr>
          <w:p>
            <w:pPr>
              <w:spacing w:line="240" w:lineRule="auto" w:after="0"/>
            </w:pPr>
            <w:r/>
            <w:r>
              <w:rPr>
                <w:sz w:val="15"/>
              </w:rPr>
              <w:t>3.856</w:t>
            </w:r>
          </w:p>
        </w:tc>
        <w:tc>
          <w:tcPr>
            <w:tcW w:type="dxa" w:w="864"/>
          </w:tcPr>
          <w:p>
            <w:pPr>
              <w:spacing w:line="240" w:lineRule="auto" w:after="0"/>
            </w:pPr>
            <w:r/>
            <w:r>
              <w:rPr>
                <w:sz w:val="15"/>
              </w:rPr>
              <w:t>3.862</w:t>
            </w:r>
          </w:p>
        </w:tc>
        <w:tc>
          <w:tcPr>
            <w:tcW w:type="dxa" w:w="864"/>
          </w:tcPr>
          <w:p>
            <w:pPr>
              <w:spacing w:line="240" w:lineRule="auto" w:after="0"/>
            </w:pPr>
            <w:r/>
            <w:r>
              <w:rPr>
                <w:sz w:val="15"/>
              </w:rPr>
              <w:t>-2.6</w:t>
            </w:r>
          </w:p>
        </w:tc>
      </w:tr>
      <w:tr>
        <w:tc>
          <w:tcPr>
            <w:tcW w:type="dxa" w:w="2520"/>
          </w:tcPr>
          <w:p>
            <w:pPr>
              <w:spacing w:line="240" w:lineRule="auto" w:after="0"/>
            </w:pPr>
            <w:r/>
            <w:r>
              <w:rPr>
                <w:sz w:val="15"/>
              </w:rPr>
              <w:t>smoothed, ℓ = 0.02 m</w:t>
            </w:r>
          </w:p>
        </w:tc>
        <w:tc>
          <w:tcPr>
            <w:tcW w:type="dxa" w:w="864"/>
          </w:tcPr>
          <w:p>
            <w:pPr>
              <w:spacing w:line="240" w:lineRule="auto" w:after="0"/>
            </w:pPr>
            <w:r/>
            <w:r>
              <w:rPr>
                <w:sz w:val="15"/>
              </w:rPr>
              <w:t>3.935</w:t>
            </w:r>
          </w:p>
        </w:tc>
        <w:tc>
          <w:tcPr>
            <w:tcW w:type="dxa" w:w="864"/>
          </w:tcPr>
          <w:p>
            <w:pPr>
              <w:spacing w:line="240" w:lineRule="auto" w:after="0"/>
            </w:pPr>
            <w:r/>
            <w:r>
              <w:rPr>
                <w:sz w:val="15"/>
              </w:rPr>
              <w:t>3.932</w:t>
            </w:r>
          </w:p>
        </w:tc>
        <w:tc>
          <w:tcPr>
            <w:tcW w:type="dxa" w:w="864"/>
          </w:tcPr>
          <w:p>
            <w:pPr>
              <w:spacing w:line="240" w:lineRule="auto" w:after="0"/>
            </w:pPr>
            <w:r/>
            <w:r>
              <w:rPr>
                <w:sz w:val="15"/>
              </w:rPr>
              <w:t>-2.53</w:t>
            </w:r>
          </w:p>
        </w:tc>
      </w:tr>
      <w:tr>
        <w:tc>
          <w:tcPr>
            <w:tcW w:type="dxa" w:w="2520"/>
          </w:tcPr>
          <w:p>
            <w:pPr>
              <w:spacing w:line="240" w:lineRule="auto" w:after="0"/>
            </w:pPr>
            <w:r/>
            <w:r>
              <w:rPr>
                <w:sz w:val="15"/>
              </w:rPr>
              <w:t>smoothed, ℓ = 0.05 m</w:t>
            </w:r>
          </w:p>
        </w:tc>
        <w:tc>
          <w:tcPr>
            <w:tcW w:type="dxa" w:w="864"/>
          </w:tcPr>
          <w:p>
            <w:pPr>
              <w:spacing w:line="240" w:lineRule="auto" w:after="0"/>
            </w:pPr>
            <w:r/>
            <w:r>
              <w:rPr>
                <w:sz w:val="15"/>
              </w:rPr>
              <w:t>3.920</w:t>
            </w:r>
          </w:p>
        </w:tc>
        <w:tc>
          <w:tcPr>
            <w:tcW w:type="dxa" w:w="864"/>
          </w:tcPr>
          <w:p>
            <w:pPr>
              <w:spacing w:line="240" w:lineRule="auto" w:after="0"/>
            </w:pPr>
            <w:r/>
            <w:r>
              <w:rPr>
                <w:sz w:val="15"/>
              </w:rPr>
              <w:t>3.919</w:t>
            </w:r>
          </w:p>
        </w:tc>
        <w:tc>
          <w:tcPr>
            <w:tcW w:type="dxa" w:w="864"/>
          </w:tcPr>
          <w:p>
            <w:pPr>
              <w:spacing w:line="240" w:lineRule="auto" w:after="0"/>
            </w:pPr>
            <w:r/>
            <w:r>
              <w:rPr>
                <w:sz w:val="15"/>
              </w:rPr>
              <w:t>-2.54</w:t>
            </w:r>
          </w:p>
        </w:tc>
      </w:tr>
      <w:tr>
        <w:tc>
          <w:tcPr>
            <w:tcW w:type="dxa" w:w="2520"/>
          </w:tcPr>
          <w:p>
            <w:pPr>
              <w:spacing w:line="240" w:lineRule="auto" w:after="0"/>
            </w:pPr>
            <w:r/>
            <w:r>
              <w:rPr>
                <w:sz w:val="15"/>
              </w:rPr>
              <w:t>smoothed, ℓ = 0.10 m</w:t>
            </w:r>
          </w:p>
        </w:tc>
        <w:tc>
          <w:tcPr>
            <w:tcW w:type="dxa" w:w="864"/>
          </w:tcPr>
          <w:p>
            <w:pPr>
              <w:spacing w:line="240" w:lineRule="auto" w:after="0"/>
            </w:pPr>
            <w:r/>
            <w:r>
              <w:rPr>
                <w:sz w:val="15"/>
              </w:rPr>
              <w:t>3.908</w:t>
            </w:r>
          </w:p>
        </w:tc>
        <w:tc>
          <w:tcPr>
            <w:tcW w:type="dxa" w:w="864"/>
          </w:tcPr>
          <w:p>
            <w:pPr>
              <w:spacing w:line="240" w:lineRule="auto" w:after="0"/>
            </w:pPr>
            <w:r/>
            <w:r>
              <w:rPr>
                <w:sz w:val="15"/>
              </w:rPr>
              <w:t>3.907</w:t>
            </w:r>
          </w:p>
        </w:tc>
        <w:tc>
          <w:tcPr>
            <w:tcW w:type="dxa" w:w="864"/>
          </w:tcPr>
          <w:p>
            <w:pPr>
              <w:spacing w:line="240" w:lineRule="auto" w:after="0"/>
            </w:pPr>
            <w:r/>
            <w:r>
              <w:rPr>
                <w:sz w:val="15"/>
              </w:rPr>
              <w:t>-2.55</w:t>
            </w:r>
          </w:p>
        </w:tc>
      </w:tr>
      <w:tr>
        <w:tc>
          <w:tcPr>
            <w:tcW w:type="dxa" w:w="2520"/>
          </w:tcPr>
          <w:p>
            <w:pPr>
              <w:spacing w:line="240" w:lineRule="auto" w:after="0"/>
            </w:pPr>
            <w:r/>
            <w:r>
              <w:rPr>
                <w:sz w:val="15"/>
              </w:rPr>
              <w:t>smoothed, ℓ = 0.20 m</w:t>
            </w:r>
          </w:p>
        </w:tc>
        <w:tc>
          <w:tcPr>
            <w:tcW w:type="dxa" w:w="864"/>
          </w:tcPr>
          <w:p>
            <w:pPr>
              <w:spacing w:line="240" w:lineRule="auto" w:after="0"/>
            </w:pPr>
            <w:r/>
            <w:r>
              <w:rPr>
                <w:sz w:val="15"/>
              </w:rPr>
              <w:t>3.899</w:t>
            </w:r>
          </w:p>
        </w:tc>
        <w:tc>
          <w:tcPr>
            <w:tcW w:type="dxa" w:w="864"/>
          </w:tcPr>
          <w:p>
            <w:pPr>
              <w:spacing w:line="240" w:lineRule="auto" w:after="0"/>
            </w:pPr>
            <w:r/>
            <w:r>
              <w:rPr>
                <w:sz w:val="15"/>
              </w:rPr>
              <w:t>3.899</w:t>
            </w:r>
          </w:p>
        </w:tc>
        <w:tc>
          <w:tcPr>
            <w:tcW w:type="dxa" w:w="864"/>
          </w:tcPr>
          <w:p>
            <w:pPr>
              <w:spacing w:line="240" w:lineRule="auto" w:after="0"/>
            </w:pPr>
            <w:r/>
            <w:r>
              <w:rPr>
                <w:sz w:val="15"/>
              </w:rPr>
              <w:t>-2.57</w:t>
            </w:r>
          </w:p>
        </w:tc>
      </w:tr>
    </w:tbl>
    <w:p>
      <w:pPr>
        <w:spacing w:after="80"/>
      </w:pPr>
    </w:p>
    <w:p>
      <w:pPr>
        <w:sectPr>
          <w:type w:val="continuous"/>
          <w:pgSz w:w="12240" w:h="15840"/>
          <w:pgMar w:top="1080" w:right="900" w:bottom="1440" w:left="900" w:header="720" w:footer="720" w:gutter="0"/>
          <w:docGrid w:linePitch="360"/>
          <w:cols w:num="2" w:space="360"/>
        </w:sectPr>
      </w:pPr>
    </w:p>
    <w:p>
      <w:pPr>
        <w:keepNext/>
        <w:spacing w:before="80"/>
        <w:jc w:val="center"/>
      </w:pPr>
      <w:r>
        <w:drawing>
          <wp:inline xmlns:a="http://schemas.openxmlformats.org/drawingml/2006/main" xmlns:pic="http://schemas.openxmlformats.org/drawingml/2006/picture">
            <wp:extent cx="6492240" cy="2134435"/>
            <wp:docPr id="1" name="Picture 1" descr="Three panels: eigenvalue against threshold for several grids, onset threshold against grid size, and the gain for different edge treatments."/>
            <wp:cNvGraphicFramePr>
              <a:graphicFrameLocks noChangeAspect="1"/>
            </wp:cNvGraphicFramePr>
            <a:graphic>
              <a:graphicData uri="http://schemas.openxmlformats.org/drawingml/2006/picture">
                <pic:pic>
                  <pic:nvPicPr>
                    <pic:cNvPr id="0" name="fig2_illposed.png"/>
                    <pic:cNvPicPr/>
                  </pic:nvPicPr>
                  <pic:blipFill>
                    <a:blip r:embed="rId10"/>
                    <a:stretch>
                      <a:fillRect/>
                    </a:stretch>
                  </pic:blipFill>
                  <pic:spPr>
                    <a:xfrm>
                      <a:off x="0" y="0"/>
                      <a:ext cx="6492240" cy="2134435"/>
                    </a:xfrm>
                    <a:prstGeom prst="rect"/>
                  </pic:spPr>
                </pic:pic>
              </a:graphicData>
            </a:graphic>
          </wp:inline>
        </w:drawing>
      </w:r>
    </w:p>
    <w:p>
      <w:pPr>
        <w:spacing w:before="40" w:after="120"/>
        <w:jc w:val="both"/>
      </w:pPr>
      <w:r>
        <w:rPr>
          <w:sz w:val="16"/>
        </w:rPr>
        <w:t xml:space="preserve">Fig. 1. </w:t>
      </w:r>
      <w:r>
        <w:rPr>
          <w:sz w:val="16"/>
        </w:rPr>
        <w:t>Local closure. (a) Leading eigenvalue λ</w:t>
      </w:r>
      <w:r>
        <w:rPr>
          <w:sz w:val="16"/>
          <w:vertAlign w:val="subscript"/>
        </w:rPr>
        <w:t>1</w:t>
      </w:r>
      <w:r>
        <w:rPr>
          <w:sz w:val="16"/>
        </w:rPr>
        <w:t xml:space="preserve"> against s</w:t>
      </w:r>
      <w:r>
        <w:rPr>
          <w:sz w:val="16"/>
          <w:vertAlign w:val="subscript"/>
        </w:rPr>
        <w:t>c</w:t>
      </w:r>
      <w:r>
        <w:rPr>
          <w:sz w:val="16"/>
        </w:rPr>
        <w:t xml:space="preserve"> for four resolutions (signed logarithm). (b) Threshold s</w:t>
      </w:r>
      <w:r>
        <w:rPr>
          <w:sz w:val="16"/>
          <w:vertAlign w:val="subscript"/>
        </w:rPr>
        <w:t>c</w:t>
      </w:r>
      <w:r>
        <w:rPr>
          <w:sz w:val="16"/>
          <w:vertAlign w:val="superscript"/>
        </w:rPr>
        <w:t>lin</w:t>
      </w:r>
      <w:r>
        <w:rPr>
          <w:sz w:val="16"/>
        </w:rPr>
        <w:t xml:space="preserve"> against N. (c) Q at s</w:t>
      </w:r>
      <w:r>
        <w:rPr>
          <w:sz w:val="16"/>
          <w:vertAlign w:val="subscript"/>
        </w:rPr>
        <w:t>c</w:t>
      </w:r>
      <w:r>
        <w:rPr>
          <w:sz w:val="16"/>
        </w:rPr>
        <w:t xml:space="preserve"> = 0.1 for different edge conditions (orange: local; blue: smoothed).</w:t>
      </w:r>
    </w:p>
    <w:p>
      <w:pPr>
        <w:sectPr>
          <w:type w:val="continuous"/>
          <w:pgSz w:w="12240" w:h="15840"/>
          <w:pgMar w:top="1080" w:right="900" w:bottom="1440" w:left="900" w:header="720" w:footer="720" w:gutter="0"/>
          <w:docGrid w:linePitch="360"/>
          <w:cols w:num="1"/>
        </w:sectPr>
      </w:pPr>
    </w:p>
    <w:p>
      <w:pPr>
        <w:keepNext/>
        <w:spacing w:before="80" w:after="40"/>
      </w:pPr>
      <w:r>
        <w:rPr>
          <w:i/>
        </w:rPr>
        <w:t xml:space="preserve">B. </w:t>
      </w:r>
      <w:r>
        <w:rPr>
          <w:i/>
        </w:rPr>
        <w:t>Smoothed Closure: Convergence and Controlled Comparison</w:t>
      </w:r>
    </w:p>
    <w:p>
      <w:pPr>
        <w:spacing w:after="40"/>
        <w:ind w:firstLine="245"/>
        <w:jc w:val="both"/>
      </w:pPr>
      <w:r>
        <w:rPr>
          <w:sz w:val="20"/>
        </w:rPr>
        <w:t>The smoothed closure is linearly stable at every s</w:t>
      </w:r>
      <w:r>
        <w:rPr>
          <w:sz w:val="20"/>
          <w:vertAlign w:val="subscript"/>
        </w:rPr>
        <w:t>c</w:t>
      </w:r>
      <w:r>
        <w:rPr>
          <w:sz w:val="20"/>
        </w:rPr>
        <w:t xml:space="preserve"> tested (λ</w:t>
      </w:r>
      <w:r>
        <w:rPr>
          <w:sz w:val="20"/>
          <w:vertAlign w:val="subscript"/>
        </w:rPr>
        <w:t>1</w:t>
      </w:r>
      <w:r>
        <w:rPr>
          <w:sz w:val="20"/>
        </w:rPr>
        <w:t xml:space="preserve"> ≤ -0.91 s</w:t>
      </w:r>
      <w:r>
        <w:rPr>
          <w:sz w:val="20"/>
          <w:vertAlign w:val="superscript"/>
        </w:rPr>
        <w:t>−1</w:t>
      </w:r>
      <w:r>
        <w:rPr>
          <w:sz w:val="20"/>
        </w:rPr>
        <w:t>, down to s</w:t>
      </w:r>
      <w:r>
        <w:rPr>
          <w:sz w:val="20"/>
          <w:vertAlign w:val="subscript"/>
        </w:rPr>
        <w:t>c</w:t>
      </w:r>
      <w:r>
        <w:rPr>
          <w:sz w:val="20"/>
        </w:rPr>
        <w:t xml:space="preserve"> = 0.02) and converges at second order: the observed order is 1.73–2.05 over s</w:t>
      </w:r>
      <w:r>
        <w:rPr>
          <w:sz w:val="20"/>
          <w:vertAlign w:val="subscript"/>
        </w:rPr>
        <w:t>c</w:t>
      </w:r>
      <w:r>
        <w:rPr>
          <w:sz w:val="20"/>
        </w:rPr>
        <w:t xml:space="preserve"> = 0.5 to 0.05 (Fig. 3b), and Q changes by 0.04% between N = 400 and N = 800 at s</w:t>
      </w:r>
      <w:r>
        <w:rPr>
          <w:sz w:val="20"/>
          <w:vertAlign w:val="subscript"/>
        </w:rPr>
        <w:t>c</w:t>
      </w:r>
      <w:r>
        <w:rPr>
          <w:sz w:val="20"/>
        </w:rPr>
        <w:t xml:space="preserve"> = 0.05. A cold start settles on the steady state for every s</w:t>
      </w:r>
      <w:r>
        <w:rPr>
          <w:sz w:val="20"/>
          <w:vertAlign w:val="subscript"/>
        </w:rPr>
        <w:t>c</w:t>
      </w:r>
      <w:r>
        <w:rPr>
          <w:sz w:val="20"/>
        </w:rPr>
        <w:t xml:space="preserve"> tested. Table VI gives the comparison. The gain is described by a fitted inverse-square relation, ΔQ = C/s</w:t>
      </w:r>
      <w:r>
        <w:rPr>
          <w:sz w:val="20"/>
          <w:vertAlign w:val="subscript"/>
        </w:rPr>
        <w:t>c</w:t>
      </w:r>
      <w:r>
        <w:rPr>
          <w:sz w:val="20"/>
        </w:rPr>
        <w:t>² with C = 0.00206 (range 0.00204–0.00209 for s</w:t>
      </w:r>
      <w:r>
        <w:rPr>
          <w:sz w:val="20"/>
          <w:vertAlign w:val="subscript"/>
        </w:rPr>
        <w:t>c</w:t>
      </w:r>
      <w:r>
        <w:rPr>
          <w:sz w:val="20"/>
        </w:rPr>
        <w:t xml:space="preserve"> ≥ 0.2), i.e. ΔQ/Q = 0.056%/s</w:t>
      </w:r>
      <w:r>
        <w:rPr>
          <w:sz w:val="20"/>
          <w:vertAlign w:val="subscript"/>
        </w:rPr>
        <w:t>c</w:t>
      </w:r>
      <w:r>
        <w:rPr>
          <w:sz w:val="20"/>
        </w:rPr>
        <w:t>²; the fit is within 12% over 0.02 ≤ s</w:t>
      </w:r>
      <w:r>
        <w:rPr>
          <w:sz w:val="20"/>
          <w:vertAlign w:val="subscript"/>
        </w:rPr>
        <w:t>c</w:t>
      </w:r>
      <w:r>
        <w:rPr>
          <w:sz w:val="20"/>
        </w:rPr>
        <w:t xml:space="preserve"> ≤ 1 for this parameter set. It is an empirical relation for the tested range, not a derived or universal scaling law. The confinement time barely changes (τ</w:t>
      </w:r>
      <w:r>
        <w:rPr>
          <w:sz w:val="20"/>
          <w:vertAlign w:val="subscript"/>
        </w:rPr>
        <w:t>E</w:t>
      </w:r>
      <w:r>
        <w:rPr>
          <w:sz w:val="20"/>
        </w:rPr>
        <w:t xml:space="preserve"> = 1.816 s at s</w:t>
      </w:r>
      <w:r>
        <w:rPr>
          <w:sz w:val="20"/>
          <w:vertAlign w:val="subscript"/>
        </w:rPr>
        <w:t>c</w:t>
      </w:r>
      <w:r>
        <w:rPr>
          <w:sz w:val="20"/>
        </w:rPr>
        <w:t xml:space="preserve"> = 0.05 against 1.836 s), so the gain acts through the power balance and the core temperature (T</w:t>
      </w:r>
      <w:r>
        <w:rPr>
          <w:sz w:val="20"/>
          <w:vertAlign w:val="subscript"/>
        </w:rPr>
        <w:t>0</w:t>
      </w:r>
      <w:r>
        <w:rPr>
          <w:sz w:val="20"/>
        </w:rPr>
        <w:t xml:space="preserve"> rises from 15.2 to 16.9 keV). Like any discretization, the smoothed closure is resolution limited at very strong coupling: a grid-scale mode turns unstable below s</w:t>
      </w:r>
      <w:r>
        <w:rPr>
          <w:sz w:val="20"/>
          <w:vertAlign w:val="subscript"/>
        </w:rPr>
        <w:t>c</w:t>
      </w:r>
      <w:r>
        <w:rPr>
          <w:sz w:val="20"/>
        </w:rPr>
        <w:t xml:space="preserve"> = 0.034, 0.025, and 0.015 at N = 100, 200, and 400, and is absent down to s</w:t>
      </w:r>
      <w:r>
        <w:rPr>
          <w:sz w:val="20"/>
          <w:vertAlign w:val="subscript"/>
        </w:rPr>
        <w:t>c</w:t>
      </w:r>
      <w:r>
        <w:rPr>
          <w:sz w:val="20"/>
        </w:rPr>
        <w:t xml:space="preserve"> = 0.015 at N = 800. In contrast with the local closure, this threshold falls as the grid is refined, so it is a resolution requirement (ℓ must be resolved), not a property of the model.</w:t>
      </w:r>
    </w:p>
    <w:p>
      <w:pPr>
        <w:keepNext/>
        <w:spacing w:before="120"/>
        <w:jc w:val="center"/>
      </w:pPr>
      <w:r>
        <w:rPr>
          <w:sz w:val="16"/>
        </w:rPr>
        <w:t>TABLE VI</w:t>
      </w:r>
    </w:p>
    <w:p>
      <w:pPr>
        <w:keepNext/>
        <w:spacing w:after="60"/>
        <w:jc w:val="center"/>
      </w:pPr>
      <w:r>
        <w:rPr>
          <w:smallCaps/>
          <w:sz w:val="16"/>
        </w:rPr>
        <w:t>Smoothed closure (ℓ = 0.05 m, N = 400) at 40 MW: gain, core temperature, and benchmark quantities</w:t>
      </w:r>
    </w:p>
    <w:tbl>
      <w:tblPr>
        <w:tblStyle w:val="TableGrid"/>
        <w:tblW w:type="auto" w:w="0"/>
        <w:jc w:val="center"/>
        <w:tblLayout w:type="fixed"/>
        <w:tblLook w:firstColumn="1" w:firstRow="1" w:lastColumn="0" w:lastRow="0" w:noHBand="0" w:noVBand="1" w:val="04A0"/>
      </w:tblPr>
      <w:tblGrid>
        <w:gridCol w:w="648"/>
        <w:gridCol w:w="936"/>
        <w:gridCol w:w="1008"/>
        <w:gridCol w:w="936"/>
        <w:gridCol w:w="720"/>
        <w:gridCol w:w="720"/>
      </w:tblGrid>
      <w:tr>
        <w:trPr>
          <w:tblHeader w:val="true"/>
        </w:trPr>
        <w:tc>
          <w:tcPr>
            <w:tcW w:type="dxa" w:w="648"/>
            <w:shd w:val="clear" w:color="auto" w:fill="E7ECF1"/>
          </w:tcPr>
          <w:p>
            <w:pPr>
              <w:spacing w:line="240" w:lineRule="auto" w:after="0"/>
            </w:pPr>
            <w:r/>
            <w:r>
              <w:rPr>
                <w:b/>
                <w:sz w:val="15"/>
              </w:rPr>
              <w:t>s</w:t>
            </w:r>
            <w:r>
              <w:rPr>
                <w:b/>
                <w:sz w:val="15"/>
                <w:vertAlign w:val="subscript"/>
              </w:rPr>
              <w:t>c</w:t>
            </w:r>
          </w:p>
        </w:tc>
        <w:tc>
          <w:tcPr>
            <w:tcW w:type="dxa" w:w="936"/>
            <w:shd w:val="clear" w:color="auto" w:fill="E7ECF1"/>
          </w:tcPr>
          <w:p>
            <w:pPr>
              <w:spacing w:line="240" w:lineRule="auto" w:after="0"/>
            </w:pPr>
            <w:r/>
            <w:r>
              <w:rPr>
                <w:b/>
                <w:sz w:val="15"/>
              </w:rPr>
              <w:t>Q</w:t>
            </w:r>
          </w:p>
        </w:tc>
        <w:tc>
          <w:tcPr>
            <w:tcW w:type="dxa" w:w="1008"/>
            <w:shd w:val="clear" w:color="auto" w:fill="E7ECF1"/>
          </w:tcPr>
          <w:p>
            <w:pPr>
              <w:spacing w:line="240" w:lineRule="auto" w:after="0"/>
            </w:pPr>
            <w:r/>
            <w:r>
              <w:rPr>
                <w:b/>
                <w:sz w:val="15"/>
              </w:rPr>
              <w:t>ΔQ/Q</w:t>
            </w:r>
          </w:p>
        </w:tc>
        <w:tc>
          <w:tcPr>
            <w:tcW w:type="dxa" w:w="936"/>
            <w:shd w:val="clear" w:color="auto" w:fill="E7ECF1"/>
          </w:tcPr>
          <w:p>
            <w:pPr>
              <w:spacing w:line="240" w:lineRule="auto" w:after="0"/>
            </w:pPr>
            <w:r/>
            <w:r>
              <w:rPr>
                <w:b/>
                <w:sz w:val="15"/>
              </w:rPr>
              <w:t>T</w:t>
            </w:r>
            <w:r>
              <w:rPr>
                <w:b/>
                <w:sz w:val="15"/>
                <w:vertAlign w:val="subscript"/>
              </w:rPr>
              <w:t>0</w:t>
            </w:r>
            <w:r>
              <w:rPr>
                <w:b/>
                <w:sz w:val="15"/>
              </w:rPr>
              <w:t xml:space="preserve"> (keV)</w:t>
            </w:r>
          </w:p>
        </w:tc>
        <w:tc>
          <w:tcPr>
            <w:tcW w:type="dxa" w:w="720"/>
            <w:shd w:val="clear" w:color="auto" w:fill="E7ECF1"/>
          </w:tcPr>
          <w:p>
            <w:pPr>
              <w:spacing w:line="240" w:lineRule="auto" w:after="0"/>
            </w:pPr>
            <w:r/>
            <w:r>
              <w:rPr>
                <w:b/>
                <w:sz w:val="15"/>
              </w:rPr>
              <w:t>H</w:t>
            </w:r>
            <w:r>
              <w:rPr>
                <w:b/>
                <w:sz w:val="15"/>
                <w:vertAlign w:val="subscript"/>
              </w:rPr>
              <w:t>98</w:t>
            </w:r>
          </w:p>
        </w:tc>
        <w:tc>
          <w:tcPr>
            <w:tcW w:type="dxa" w:w="720"/>
            <w:shd w:val="clear" w:color="auto" w:fill="E7ECF1"/>
          </w:tcPr>
          <w:p>
            <w:pPr>
              <w:spacing w:line="240" w:lineRule="auto" w:after="0"/>
            </w:pPr>
            <w:r/>
            <w:r>
              <w:rPr>
                <w:b/>
                <w:sz w:val="15"/>
              </w:rPr>
              <w:t>β</w:t>
            </w:r>
            <w:r>
              <w:rPr>
                <w:b/>
                <w:sz w:val="15"/>
                <w:vertAlign w:val="subscript"/>
              </w:rPr>
              <w:t>N</w:t>
            </w:r>
          </w:p>
        </w:tc>
      </w:tr>
      <w:tr>
        <w:tc>
          <w:tcPr>
            <w:tcW w:type="dxa" w:w="648"/>
          </w:tcPr>
          <w:p>
            <w:pPr>
              <w:spacing w:line="240" w:lineRule="auto" w:after="0"/>
            </w:pPr>
            <w:r/>
            <w:r>
              <w:rPr>
                <w:sz w:val="15"/>
              </w:rPr>
              <w:t>∞</w:t>
            </w:r>
          </w:p>
        </w:tc>
        <w:tc>
          <w:tcPr>
            <w:tcW w:type="dxa" w:w="936"/>
          </w:tcPr>
          <w:p>
            <w:pPr>
              <w:spacing w:line="240" w:lineRule="auto" w:after="0"/>
            </w:pPr>
            <w:r/>
            <w:r>
              <w:rPr>
                <w:sz w:val="15"/>
              </w:rPr>
              <w:t>3.702</w:t>
            </w:r>
          </w:p>
        </w:tc>
        <w:tc>
          <w:tcPr>
            <w:tcW w:type="dxa" w:w="1008"/>
          </w:tcPr>
          <w:p>
            <w:pPr>
              <w:spacing w:line="240" w:lineRule="auto" w:after="0"/>
            </w:pPr>
            <w:r/>
            <w:r>
              <w:rPr>
                <w:sz w:val="15"/>
              </w:rPr>
              <w:t>–</w:t>
            </w:r>
          </w:p>
        </w:tc>
        <w:tc>
          <w:tcPr>
            <w:tcW w:type="dxa" w:w="936"/>
          </w:tcPr>
          <w:p>
            <w:pPr>
              <w:spacing w:line="240" w:lineRule="auto" w:after="0"/>
            </w:pPr>
            <w:r/>
            <w:r>
              <w:rPr>
                <w:sz w:val="15"/>
              </w:rPr>
              <w:t>15.2</w:t>
            </w:r>
          </w:p>
        </w:tc>
        <w:tc>
          <w:tcPr>
            <w:tcW w:type="dxa" w:w="720"/>
          </w:tcPr>
          <w:p>
            <w:pPr>
              <w:spacing w:line="240" w:lineRule="auto" w:after="0"/>
            </w:pPr>
            <w:r/>
            <w:r>
              <w:rPr>
                <w:sz w:val="15"/>
              </w:rPr>
              <w:t>0.48</w:t>
            </w:r>
          </w:p>
        </w:tc>
        <w:tc>
          <w:tcPr>
            <w:tcW w:type="dxa" w:w="720"/>
          </w:tcPr>
          <w:p>
            <w:pPr>
              <w:spacing w:line="240" w:lineRule="auto" w:after="0"/>
            </w:pPr>
            <w:r/>
            <w:r>
              <w:rPr>
                <w:sz w:val="15"/>
              </w:rPr>
              <w:t>1.05</w:t>
            </w:r>
          </w:p>
        </w:tc>
      </w:tr>
      <w:tr>
        <w:tc>
          <w:tcPr>
            <w:tcW w:type="dxa" w:w="648"/>
          </w:tcPr>
          <w:p>
            <w:pPr>
              <w:spacing w:line="240" w:lineRule="auto" w:after="0"/>
            </w:pPr>
            <w:r/>
            <w:r>
              <w:rPr>
                <w:sz w:val="15"/>
              </w:rPr>
              <w:t>1</w:t>
            </w:r>
          </w:p>
        </w:tc>
        <w:tc>
          <w:tcPr>
            <w:tcW w:type="dxa" w:w="936"/>
          </w:tcPr>
          <w:p>
            <w:pPr>
              <w:spacing w:line="240" w:lineRule="auto" w:after="0"/>
            </w:pPr>
            <w:r/>
            <w:r>
              <w:rPr>
                <w:sz w:val="15"/>
              </w:rPr>
              <w:t>3.704</w:t>
            </w:r>
          </w:p>
        </w:tc>
        <w:tc>
          <w:tcPr>
            <w:tcW w:type="dxa" w:w="1008"/>
          </w:tcPr>
          <w:p>
            <w:pPr>
              <w:spacing w:line="240" w:lineRule="auto" w:after="0"/>
            </w:pPr>
            <w:r/>
            <w:r>
              <w:rPr>
                <w:sz w:val="15"/>
              </w:rPr>
              <w:t>0.06%</w:t>
            </w:r>
          </w:p>
        </w:tc>
        <w:tc>
          <w:tcPr>
            <w:tcW w:type="dxa" w:w="936"/>
          </w:tcPr>
          <w:p>
            <w:pPr>
              <w:spacing w:line="240" w:lineRule="auto" w:after="0"/>
            </w:pPr>
            <w:r/>
            <w:r>
              <w:rPr>
                <w:sz w:val="15"/>
              </w:rPr>
              <w:t>15.3</w:t>
            </w:r>
          </w:p>
        </w:tc>
        <w:tc>
          <w:tcPr>
            <w:tcW w:type="dxa" w:w="720"/>
          </w:tcPr>
          <w:p>
            <w:pPr>
              <w:spacing w:line="240" w:lineRule="auto" w:after="0"/>
            </w:pPr>
            <w:r/>
            <w:r>
              <w:rPr>
                <w:sz w:val="15"/>
              </w:rPr>
              <w:t>0.48</w:t>
            </w:r>
          </w:p>
        </w:tc>
        <w:tc>
          <w:tcPr>
            <w:tcW w:type="dxa" w:w="720"/>
          </w:tcPr>
          <w:p>
            <w:pPr>
              <w:spacing w:line="240" w:lineRule="auto" w:after="0"/>
            </w:pPr>
            <w:r/>
            <w:r>
              <w:rPr>
                <w:sz w:val="15"/>
              </w:rPr>
              <w:t>1.05</w:t>
            </w:r>
          </w:p>
        </w:tc>
      </w:tr>
      <w:tr>
        <w:tc>
          <w:tcPr>
            <w:tcW w:type="dxa" w:w="648"/>
          </w:tcPr>
          <w:p>
            <w:pPr>
              <w:spacing w:line="240" w:lineRule="auto" w:after="0"/>
            </w:pPr>
            <w:r/>
            <w:r>
              <w:rPr>
                <w:sz w:val="15"/>
              </w:rPr>
              <w:t>0.5</w:t>
            </w:r>
          </w:p>
        </w:tc>
        <w:tc>
          <w:tcPr>
            <w:tcW w:type="dxa" w:w="936"/>
          </w:tcPr>
          <w:p>
            <w:pPr>
              <w:spacing w:line="240" w:lineRule="auto" w:after="0"/>
            </w:pPr>
            <w:r/>
            <w:r>
              <w:rPr>
                <w:sz w:val="15"/>
              </w:rPr>
              <w:t>3.710</w:t>
            </w:r>
          </w:p>
        </w:tc>
        <w:tc>
          <w:tcPr>
            <w:tcW w:type="dxa" w:w="1008"/>
          </w:tcPr>
          <w:p>
            <w:pPr>
              <w:spacing w:line="240" w:lineRule="auto" w:after="0"/>
            </w:pPr>
            <w:r/>
            <w:r>
              <w:rPr>
                <w:sz w:val="15"/>
              </w:rPr>
              <w:t>0.22%</w:t>
            </w:r>
          </w:p>
        </w:tc>
        <w:tc>
          <w:tcPr>
            <w:tcW w:type="dxa" w:w="936"/>
          </w:tcPr>
          <w:p>
            <w:pPr>
              <w:spacing w:line="240" w:lineRule="auto" w:after="0"/>
            </w:pPr>
            <w:r/>
            <w:r>
              <w:rPr>
                <w:sz w:val="15"/>
              </w:rPr>
              <w:t>15.3</w:t>
            </w:r>
          </w:p>
        </w:tc>
        <w:tc>
          <w:tcPr>
            <w:tcW w:type="dxa" w:w="720"/>
          </w:tcPr>
          <w:p>
            <w:pPr>
              <w:spacing w:line="240" w:lineRule="auto" w:after="0"/>
            </w:pPr>
            <w:r/>
            <w:r>
              <w:rPr>
                <w:sz w:val="15"/>
              </w:rPr>
              <w:t>0.48</w:t>
            </w:r>
          </w:p>
        </w:tc>
        <w:tc>
          <w:tcPr>
            <w:tcW w:type="dxa" w:w="720"/>
          </w:tcPr>
          <w:p>
            <w:pPr>
              <w:spacing w:line="240" w:lineRule="auto" w:after="0"/>
            </w:pPr>
            <w:r/>
            <w:r>
              <w:rPr>
                <w:sz w:val="15"/>
              </w:rPr>
              <w:t>1.05</w:t>
            </w:r>
          </w:p>
        </w:tc>
      </w:tr>
      <w:tr>
        <w:tc>
          <w:tcPr>
            <w:tcW w:type="dxa" w:w="648"/>
          </w:tcPr>
          <w:p>
            <w:pPr>
              <w:spacing w:line="240" w:lineRule="auto" w:after="0"/>
            </w:pPr>
            <w:r/>
            <w:r>
              <w:rPr>
                <w:sz w:val="15"/>
              </w:rPr>
              <w:t>0.3</w:t>
            </w:r>
          </w:p>
        </w:tc>
        <w:tc>
          <w:tcPr>
            <w:tcW w:type="dxa" w:w="936"/>
          </w:tcPr>
          <w:p>
            <w:pPr>
              <w:spacing w:line="240" w:lineRule="auto" w:after="0"/>
            </w:pPr>
            <w:r/>
            <w:r>
              <w:rPr>
                <w:sz w:val="15"/>
              </w:rPr>
              <w:t>3.725</w:t>
            </w:r>
          </w:p>
        </w:tc>
        <w:tc>
          <w:tcPr>
            <w:tcW w:type="dxa" w:w="1008"/>
          </w:tcPr>
          <w:p>
            <w:pPr>
              <w:spacing w:line="240" w:lineRule="auto" w:after="0"/>
            </w:pPr>
            <w:r/>
            <w:r>
              <w:rPr>
                <w:sz w:val="15"/>
              </w:rPr>
              <w:t>0.62%</w:t>
            </w:r>
          </w:p>
        </w:tc>
        <w:tc>
          <w:tcPr>
            <w:tcW w:type="dxa" w:w="936"/>
          </w:tcPr>
          <w:p>
            <w:pPr>
              <w:spacing w:line="240" w:lineRule="auto" w:after="0"/>
            </w:pPr>
            <w:r/>
            <w:r>
              <w:rPr>
                <w:sz w:val="15"/>
              </w:rPr>
              <w:t>15.3</w:t>
            </w:r>
          </w:p>
        </w:tc>
        <w:tc>
          <w:tcPr>
            <w:tcW w:type="dxa" w:w="720"/>
          </w:tcPr>
          <w:p>
            <w:pPr>
              <w:spacing w:line="240" w:lineRule="auto" w:after="0"/>
            </w:pPr>
            <w:r/>
            <w:r>
              <w:rPr>
                <w:sz w:val="15"/>
              </w:rPr>
              <w:t>0.48</w:t>
            </w:r>
          </w:p>
        </w:tc>
        <w:tc>
          <w:tcPr>
            <w:tcW w:type="dxa" w:w="720"/>
          </w:tcPr>
          <w:p>
            <w:pPr>
              <w:spacing w:line="240" w:lineRule="auto" w:after="0"/>
            </w:pPr>
            <w:r/>
            <w:r>
              <w:rPr>
                <w:sz w:val="15"/>
              </w:rPr>
              <w:t>1.05</w:t>
            </w:r>
          </w:p>
        </w:tc>
      </w:tr>
      <w:tr>
        <w:tc>
          <w:tcPr>
            <w:tcW w:type="dxa" w:w="648"/>
          </w:tcPr>
          <w:p>
            <w:pPr>
              <w:spacing w:line="240" w:lineRule="auto" w:after="0"/>
            </w:pPr>
            <w:r/>
            <w:r>
              <w:rPr>
                <w:sz w:val="15"/>
              </w:rPr>
              <w:t>0.2</w:t>
            </w:r>
          </w:p>
        </w:tc>
        <w:tc>
          <w:tcPr>
            <w:tcW w:type="dxa" w:w="936"/>
          </w:tcPr>
          <w:p>
            <w:pPr>
              <w:spacing w:line="240" w:lineRule="auto" w:after="0"/>
            </w:pPr>
            <w:r/>
            <w:r>
              <w:rPr>
                <w:sz w:val="15"/>
              </w:rPr>
              <w:t>3.754</w:t>
            </w:r>
          </w:p>
        </w:tc>
        <w:tc>
          <w:tcPr>
            <w:tcW w:type="dxa" w:w="1008"/>
          </w:tcPr>
          <w:p>
            <w:pPr>
              <w:spacing w:line="240" w:lineRule="auto" w:after="0"/>
            </w:pPr>
            <w:r/>
            <w:r>
              <w:rPr>
                <w:sz w:val="15"/>
              </w:rPr>
              <w:t>1.4%</w:t>
            </w:r>
          </w:p>
        </w:tc>
        <w:tc>
          <w:tcPr>
            <w:tcW w:type="dxa" w:w="936"/>
          </w:tcPr>
          <w:p>
            <w:pPr>
              <w:spacing w:line="240" w:lineRule="auto" w:after="0"/>
            </w:pPr>
            <w:r/>
            <w:r>
              <w:rPr>
                <w:sz w:val="15"/>
              </w:rPr>
              <w:t>15.3</w:t>
            </w:r>
          </w:p>
        </w:tc>
        <w:tc>
          <w:tcPr>
            <w:tcW w:type="dxa" w:w="720"/>
          </w:tcPr>
          <w:p>
            <w:pPr>
              <w:spacing w:line="240" w:lineRule="auto" w:after="0"/>
            </w:pPr>
            <w:r/>
            <w:r>
              <w:rPr>
                <w:sz w:val="15"/>
              </w:rPr>
              <w:t>0.48</w:t>
            </w:r>
          </w:p>
        </w:tc>
        <w:tc>
          <w:tcPr>
            <w:tcW w:type="dxa" w:w="720"/>
          </w:tcPr>
          <w:p>
            <w:pPr>
              <w:spacing w:line="240" w:lineRule="auto" w:after="0"/>
            </w:pPr>
            <w:r/>
            <w:r>
              <w:rPr>
                <w:sz w:val="15"/>
              </w:rPr>
              <w:t>1.05</w:t>
            </w:r>
          </w:p>
        </w:tc>
      </w:tr>
      <w:tr>
        <w:tc>
          <w:tcPr>
            <w:tcW w:type="dxa" w:w="648"/>
          </w:tcPr>
          <w:p>
            <w:pPr>
              <w:spacing w:line="240" w:lineRule="auto" w:after="0"/>
            </w:pPr>
            <w:r/>
            <w:r>
              <w:rPr>
                <w:sz w:val="15"/>
              </w:rPr>
              <w:t>0.1</w:t>
            </w:r>
          </w:p>
        </w:tc>
        <w:tc>
          <w:tcPr>
            <w:tcW w:type="dxa" w:w="936"/>
          </w:tcPr>
          <w:p>
            <w:pPr>
              <w:spacing w:line="240" w:lineRule="auto" w:after="0"/>
            </w:pPr>
            <w:r/>
            <w:r>
              <w:rPr>
                <w:sz w:val="15"/>
              </w:rPr>
              <w:t>3.919</w:t>
            </w:r>
          </w:p>
        </w:tc>
        <w:tc>
          <w:tcPr>
            <w:tcW w:type="dxa" w:w="1008"/>
          </w:tcPr>
          <w:p>
            <w:pPr>
              <w:spacing w:line="240" w:lineRule="auto" w:after="0"/>
            </w:pPr>
            <w:r/>
            <w:r>
              <w:rPr>
                <w:sz w:val="15"/>
              </w:rPr>
              <w:t>5.9%</w:t>
            </w:r>
          </w:p>
        </w:tc>
        <w:tc>
          <w:tcPr>
            <w:tcW w:type="dxa" w:w="936"/>
          </w:tcPr>
          <w:p>
            <w:pPr>
              <w:spacing w:line="240" w:lineRule="auto" w:after="0"/>
            </w:pPr>
            <w:r/>
            <w:r>
              <w:rPr>
                <w:sz w:val="15"/>
              </w:rPr>
              <w:t>15.7</w:t>
            </w:r>
          </w:p>
        </w:tc>
        <w:tc>
          <w:tcPr>
            <w:tcW w:type="dxa" w:w="720"/>
          </w:tcPr>
          <w:p>
            <w:pPr>
              <w:spacing w:line="240" w:lineRule="auto" w:after="0"/>
            </w:pPr>
            <w:r/>
            <w:r>
              <w:rPr>
                <w:sz w:val="15"/>
              </w:rPr>
              <w:t>0.48</w:t>
            </w:r>
          </w:p>
        </w:tc>
        <w:tc>
          <w:tcPr>
            <w:tcW w:type="dxa" w:w="720"/>
          </w:tcPr>
          <w:p>
            <w:pPr>
              <w:spacing w:line="240" w:lineRule="auto" w:after="0"/>
            </w:pPr>
            <w:r/>
            <w:r>
              <w:rPr>
                <w:sz w:val="15"/>
              </w:rPr>
              <w:t>1.07</w:t>
            </w:r>
          </w:p>
        </w:tc>
      </w:tr>
      <w:tr>
        <w:tc>
          <w:tcPr>
            <w:tcW w:type="dxa" w:w="648"/>
          </w:tcPr>
          <w:p>
            <w:pPr>
              <w:spacing w:line="240" w:lineRule="auto" w:after="0"/>
            </w:pPr>
            <w:r/>
            <w:r>
              <w:rPr>
                <w:sz w:val="15"/>
              </w:rPr>
              <w:t>0.07</w:t>
            </w:r>
          </w:p>
        </w:tc>
        <w:tc>
          <w:tcPr>
            <w:tcW w:type="dxa" w:w="936"/>
          </w:tcPr>
          <w:p>
            <w:pPr>
              <w:spacing w:line="240" w:lineRule="auto" w:after="0"/>
            </w:pPr>
            <w:r/>
            <w:r>
              <w:rPr>
                <w:sz w:val="15"/>
              </w:rPr>
              <w:t>4.153</w:t>
            </w:r>
          </w:p>
        </w:tc>
        <w:tc>
          <w:tcPr>
            <w:tcW w:type="dxa" w:w="1008"/>
          </w:tcPr>
          <w:p>
            <w:pPr>
              <w:spacing w:line="240" w:lineRule="auto" w:after="0"/>
            </w:pPr>
            <w:r/>
            <w:r>
              <w:rPr>
                <w:sz w:val="15"/>
              </w:rPr>
              <w:t>12.2%</w:t>
            </w:r>
          </w:p>
        </w:tc>
        <w:tc>
          <w:tcPr>
            <w:tcW w:type="dxa" w:w="936"/>
          </w:tcPr>
          <w:p>
            <w:pPr>
              <w:spacing w:line="240" w:lineRule="auto" w:after="0"/>
            </w:pPr>
            <w:r/>
            <w:r>
              <w:rPr>
                <w:sz w:val="15"/>
              </w:rPr>
              <w:t>16.1</w:t>
            </w:r>
          </w:p>
        </w:tc>
        <w:tc>
          <w:tcPr>
            <w:tcW w:type="dxa" w:w="720"/>
          </w:tcPr>
          <w:p>
            <w:pPr>
              <w:spacing w:line="240" w:lineRule="auto" w:after="0"/>
            </w:pPr>
            <w:r/>
            <w:r>
              <w:rPr>
                <w:sz w:val="15"/>
              </w:rPr>
              <w:t>0.49</w:t>
            </w:r>
          </w:p>
        </w:tc>
        <w:tc>
          <w:tcPr>
            <w:tcW w:type="dxa" w:w="720"/>
          </w:tcPr>
          <w:p>
            <w:pPr>
              <w:spacing w:line="240" w:lineRule="auto" w:after="0"/>
            </w:pPr>
            <w:r/>
            <w:r>
              <w:rPr>
                <w:sz w:val="15"/>
              </w:rPr>
              <w:t>1.10</w:t>
            </w:r>
          </w:p>
        </w:tc>
      </w:tr>
      <w:tr>
        <w:tc>
          <w:tcPr>
            <w:tcW w:type="dxa" w:w="648"/>
          </w:tcPr>
          <w:p>
            <w:pPr>
              <w:spacing w:line="240" w:lineRule="auto" w:after="0"/>
            </w:pPr>
            <w:r/>
            <w:r>
              <w:rPr>
                <w:sz w:val="15"/>
              </w:rPr>
              <w:t>0.05</w:t>
            </w:r>
          </w:p>
        </w:tc>
        <w:tc>
          <w:tcPr>
            <w:tcW w:type="dxa" w:w="936"/>
          </w:tcPr>
          <w:p>
            <w:pPr>
              <w:spacing w:line="240" w:lineRule="auto" w:after="0"/>
            </w:pPr>
            <w:r/>
            <w:r>
              <w:rPr>
                <w:sz w:val="15"/>
              </w:rPr>
              <w:t>4.577</w:t>
            </w:r>
          </w:p>
        </w:tc>
        <w:tc>
          <w:tcPr>
            <w:tcW w:type="dxa" w:w="1008"/>
          </w:tcPr>
          <w:p>
            <w:pPr>
              <w:spacing w:line="240" w:lineRule="auto" w:after="0"/>
            </w:pPr>
            <w:r/>
            <w:r>
              <w:rPr>
                <w:sz w:val="15"/>
              </w:rPr>
              <w:t>23.6%</w:t>
            </w:r>
          </w:p>
        </w:tc>
        <w:tc>
          <w:tcPr>
            <w:tcW w:type="dxa" w:w="936"/>
          </w:tcPr>
          <w:p>
            <w:pPr>
              <w:spacing w:line="240" w:lineRule="auto" w:after="0"/>
            </w:pPr>
            <w:r/>
            <w:r>
              <w:rPr>
                <w:sz w:val="15"/>
              </w:rPr>
              <w:t>16.9</w:t>
            </w:r>
          </w:p>
        </w:tc>
        <w:tc>
          <w:tcPr>
            <w:tcW w:type="dxa" w:w="720"/>
          </w:tcPr>
          <w:p>
            <w:pPr>
              <w:spacing w:line="240" w:lineRule="auto" w:after="0"/>
            </w:pPr>
            <w:r/>
            <w:r>
              <w:rPr>
                <w:sz w:val="15"/>
              </w:rPr>
              <w:t>0.50</w:t>
            </w:r>
          </w:p>
        </w:tc>
        <w:tc>
          <w:tcPr>
            <w:tcW w:type="dxa" w:w="720"/>
          </w:tcPr>
          <w:p>
            <w:pPr>
              <w:spacing w:line="240" w:lineRule="auto" w:after="0"/>
            </w:pPr>
            <w:r/>
            <w:r>
              <w:rPr>
                <w:sz w:val="15"/>
              </w:rPr>
              <w:t>1.14</w:t>
            </w:r>
          </w:p>
        </w:tc>
      </w:tr>
      <w:tr>
        <w:tc>
          <w:tcPr>
            <w:tcW w:type="dxa" w:w="648"/>
          </w:tcPr>
          <w:p>
            <w:pPr>
              <w:spacing w:line="240" w:lineRule="auto" w:after="0"/>
            </w:pPr>
            <w:r/>
            <w:r>
              <w:rPr>
                <w:sz w:val="15"/>
              </w:rPr>
              <w:t>0.03</w:t>
            </w:r>
          </w:p>
        </w:tc>
        <w:tc>
          <w:tcPr>
            <w:tcW w:type="dxa" w:w="936"/>
          </w:tcPr>
          <w:p>
            <w:pPr>
              <w:spacing w:line="240" w:lineRule="auto" w:after="0"/>
            </w:pPr>
            <w:r/>
            <w:r>
              <w:rPr>
                <w:sz w:val="15"/>
              </w:rPr>
              <w:t>5.909</w:t>
            </w:r>
          </w:p>
        </w:tc>
        <w:tc>
          <w:tcPr>
            <w:tcW w:type="dxa" w:w="1008"/>
          </w:tcPr>
          <w:p>
            <w:pPr>
              <w:spacing w:line="240" w:lineRule="auto" w:after="0"/>
            </w:pPr>
            <w:r/>
            <w:r>
              <w:rPr>
                <w:sz w:val="15"/>
              </w:rPr>
              <w:t>59.6%</w:t>
            </w:r>
          </w:p>
        </w:tc>
        <w:tc>
          <w:tcPr>
            <w:tcW w:type="dxa" w:w="936"/>
          </w:tcPr>
          <w:p>
            <w:pPr>
              <w:spacing w:line="240" w:lineRule="auto" w:after="0"/>
            </w:pPr>
            <w:r/>
            <w:r>
              <w:rPr>
                <w:sz w:val="15"/>
              </w:rPr>
              <w:t>19.7</w:t>
            </w:r>
          </w:p>
        </w:tc>
        <w:tc>
          <w:tcPr>
            <w:tcW w:type="dxa" w:w="720"/>
          </w:tcPr>
          <w:p>
            <w:pPr>
              <w:spacing w:line="240" w:lineRule="auto" w:after="0"/>
            </w:pPr>
            <w:r/>
            <w:r>
              <w:rPr>
                <w:sz w:val="15"/>
              </w:rPr>
              <w:t>0.54</w:t>
            </w:r>
          </w:p>
        </w:tc>
        <w:tc>
          <w:tcPr>
            <w:tcW w:type="dxa" w:w="720"/>
          </w:tcPr>
          <w:p>
            <w:pPr>
              <w:spacing w:line="240" w:lineRule="auto" w:after="0"/>
            </w:pPr>
            <w:r/>
            <w:r>
              <w:rPr>
                <w:sz w:val="15"/>
              </w:rPr>
              <w:t>1.28</w:t>
            </w:r>
          </w:p>
        </w:tc>
      </w:tr>
      <w:tr>
        <w:tc>
          <w:tcPr>
            <w:tcW w:type="dxa" w:w="648"/>
          </w:tcPr>
          <w:p>
            <w:pPr>
              <w:spacing w:line="240" w:lineRule="auto" w:after="0"/>
            </w:pPr>
            <w:r/>
            <w:r>
              <w:rPr>
                <w:sz w:val="15"/>
              </w:rPr>
              <w:t>0.02</w:t>
            </w:r>
          </w:p>
        </w:tc>
        <w:tc>
          <w:tcPr>
            <w:tcW w:type="dxa" w:w="936"/>
          </w:tcPr>
          <w:p>
            <w:pPr>
              <w:spacing w:line="240" w:lineRule="auto" w:after="0"/>
            </w:pPr>
            <w:r/>
            <w:r>
              <w:rPr>
                <w:sz w:val="15"/>
              </w:rPr>
              <w:t>8.222</w:t>
            </w:r>
          </w:p>
        </w:tc>
        <w:tc>
          <w:tcPr>
            <w:tcW w:type="dxa" w:w="1008"/>
          </w:tcPr>
          <w:p>
            <w:pPr>
              <w:spacing w:line="240" w:lineRule="auto" w:after="0"/>
            </w:pPr>
            <w:r/>
            <w:r>
              <w:rPr>
                <w:sz w:val="15"/>
              </w:rPr>
              <w:t>122.1%</w:t>
            </w:r>
          </w:p>
        </w:tc>
        <w:tc>
          <w:tcPr>
            <w:tcW w:type="dxa" w:w="936"/>
          </w:tcPr>
          <w:p>
            <w:pPr>
              <w:spacing w:line="240" w:lineRule="auto" w:after="0"/>
            </w:pPr>
            <w:r/>
            <w:r>
              <w:rPr>
                <w:sz w:val="15"/>
              </w:rPr>
              <w:t>24.7</w:t>
            </w:r>
          </w:p>
        </w:tc>
        <w:tc>
          <w:tcPr>
            <w:tcW w:type="dxa" w:w="720"/>
          </w:tcPr>
          <w:p>
            <w:pPr>
              <w:spacing w:line="240" w:lineRule="auto" w:after="0"/>
            </w:pPr>
            <w:r/>
            <w:r>
              <w:rPr>
                <w:sz w:val="15"/>
              </w:rPr>
              <w:t>0.59</w:t>
            </w:r>
          </w:p>
        </w:tc>
        <w:tc>
          <w:tcPr>
            <w:tcW w:type="dxa" w:w="720"/>
          </w:tcPr>
          <w:p>
            <w:pPr>
              <w:spacing w:line="240" w:lineRule="auto" w:after="0"/>
            </w:pPr>
            <w:r/>
            <w:r>
              <w:rPr>
                <w:sz w:val="15"/>
              </w:rPr>
              <w:t>1.49</w:t>
            </w:r>
          </w:p>
        </w:tc>
      </w:tr>
    </w:tbl>
    <w:p>
      <w:pPr>
        <w:spacing w:after="80"/>
      </w:pPr>
    </w:p>
    <w:p>
      <w:pPr>
        <w:sectPr>
          <w:type w:val="continuous"/>
          <w:pgSz w:w="12240" w:h="15840"/>
          <w:pgMar w:top="1080" w:right="900" w:bottom="1440" w:left="900" w:header="720" w:footer="720" w:gutter="0"/>
          <w:docGrid w:linePitch="360"/>
          <w:cols w:num="2" w:space="360"/>
        </w:sectPr>
      </w:pPr>
    </w:p>
    <w:p>
      <w:pPr>
        <w:keepNext/>
        <w:spacing w:before="80"/>
        <w:jc w:val="center"/>
      </w:pPr>
      <w:r>
        <w:drawing>
          <wp:inline xmlns:a="http://schemas.openxmlformats.org/drawingml/2006/main" xmlns:pic="http://schemas.openxmlformats.org/drawingml/2006/picture">
            <wp:extent cx="6492240" cy="1970694"/>
            <wp:docPr id="2" name="Picture 2" descr="Three panels of radial profiles of temperature, diffusivity, and smoothed shearing rate."/>
            <wp:cNvGraphicFramePr>
              <a:graphicFrameLocks noChangeAspect="1"/>
            </wp:cNvGraphicFramePr>
            <a:graphic>
              <a:graphicData uri="http://schemas.openxmlformats.org/drawingml/2006/picture">
                <pic:pic>
                  <pic:nvPicPr>
                    <pic:cNvPr id="0" name="fig1_profiles.png"/>
                    <pic:cNvPicPr/>
                  </pic:nvPicPr>
                  <pic:blipFill>
                    <a:blip r:embed="rId11"/>
                    <a:stretch>
                      <a:fillRect/>
                    </a:stretch>
                  </pic:blipFill>
                  <pic:spPr>
                    <a:xfrm>
                      <a:off x="0" y="0"/>
                      <a:ext cx="6492240" cy="1970694"/>
                    </a:xfrm>
                    <a:prstGeom prst="rect"/>
                  </pic:spPr>
                </pic:pic>
              </a:graphicData>
            </a:graphic>
          </wp:inline>
        </w:drawing>
      </w:r>
    </w:p>
    <w:p>
      <w:pPr>
        <w:spacing w:before="40" w:after="120"/>
        <w:jc w:val="both"/>
      </w:pPr>
      <w:r>
        <w:rPr>
          <w:sz w:val="16"/>
        </w:rPr>
        <w:t xml:space="preserve">Fig. 2. </w:t>
      </w:r>
      <w:r>
        <w:rPr>
          <w:sz w:val="16"/>
        </w:rPr>
        <w:t>Smoothed closure at 40 MW (N = 400, ℓ = 0.05 m): (a) temperature, (b) diffusivity, and (c) smoothed shearing rate against r/a for the baseline and s</w:t>
      </w:r>
      <w:r>
        <w:rPr>
          <w:sz w:val="16"/>
          <w:vertAlign w:val="subscript"/>
        </w:rPr>
        <w:t>c</w:t>
      </w:r>
      <w:r>
        <w:rPr>
          <w:sz w:val="16"/>
        </w:rPr>
        <w:t xml:space="preserve"> = 0.3 and 0.1. The suppression is confined to the edge.</w:t>
      </w:r>
    </w:p>
    <w:p>
      <w:pPr>
        <w:sectPr>
          <w:type w:val="continuous"/>
          <w:pgSz w:w="12240" w:h="15840"/>
          <w:pgMar w:top="1080" w:right="900" w:bottom="1440" w:left="900" w:header="720" w:footer="720" w:gutter="0"/>
          <w:docGrid w:linePitch="360"/>
          <w:cols w:num="1"/>
        </w:sectPr>
      </w:pPr>
    </w:p>
    <w:p>
      <w:pPr>
        <w:sectPr>
          <w:type w:val="continuous"/>
          <w:pgSz w:w="12240" w:h="15840"/>
          <w:pgMar w:top="1080" w:right="900" w:bottom="1440" w:left="900" w:header="720" w:footer="720" w:gutter="0"/>
          <w:docGrid w:linePitch="360"/>
          <w:cols w:num="2" w:space="360"/>
        </w:sectPr>
      </w:pPr>
    </w:p>
    <w:p>
      <w:pPr>
        <w:keepNext/>
        <w:spacing w:before="80"/>
        <w:jc w:val="center"/>
      </w:pPr>
      <w:r>
        <w:drawing>
          <wp:inline xmlns:a="http://schemas.openxmlformats.org/drawingml/2006/main" xmlns:pic="http://schemas.openxmlformats.org/drawingml/2006/picture">
            <wp:extent cx="6492240" cy="2083088"/>
            <wp:docPr id="3" name="Picture 3" descr="Three panels: gain law with uncertainty bars, convergence of the gain with resolution, and rank correlations."/>
            <wp:cNvGraphicFramePr>
              <a:graphicFrameLocks noChangeAspect="1"/>
            </wp:cNvGraphicFramePr>
            <a:graphic>
              <a:graphicData uri="http://schemas.openxmlformats.org/drawingml/2006/picture">
                <pic:pic>
                  <pic:nvPicPr>
                    <pic:cNvPr id="0" name="fig3_smoothed.png"/>
                    <pic:cNvPicPr/>
                  </pic:nvPicPr>
                  <pic:blipFill>
                    <a:blip r:embed="rId12"/>
                    <a:stretch>
                      <a:fillRect/>
                    </a:stretch>
                  </pic:blipFill>
                  <pic:spPr>
                    <a:xfrm>
                      <a:off x="0" y="0"/>
                      <a:ext cx="6492240" cy="2083088"/>
                    </a:xfrm>
                    <a:prstGeom prst="rect"/>
                  </pic:spPr>
                </pic:pic>
              </a:graphicData>
            </a:graphic>
          </wp:inline>
        </w:drawing>
      </w:r>
    </w:p>
    <w:p>
      <w:pPr>
        <w:spacing w:before="40" w:after="120"/>
        <w:jc w:val="both"/>
      </w:pPr>
      <w:r>
        <w:rPr>
          <w:sz w:val="16"/>
        </w:rPr>
        <w:t xml:space="preserve">Fig. 3. </w:t>
      </w:r>
      <w:r>
        <w:rPr>
          <w:sz w:val="16"/>
        </w:rPr>
        <w:t>Smoothed closure. (a) Relative gain against s</w:t>
      </w:r>
      <w:r>
        <w:rPr>
          <w:sz w:val="16"/>
          <w:vertAlign w:val="subscript"/>
        </w:rPr>
        <w:t>c</w:t>
      </w:r>
      <w:r>
        <w:rPr>
          <w:sz w:val="16"/>
        </w:rPr>
        <w:t xml:space="preserve"> with the fitted inverse-square relation (dashed) and the 5–95 % interval from the parameter-uncertainty study (bars). (b) Convergence of Q with N (dotted: N</w:t>
      </w:r>
      <w:r>
        <w:rPr>
          <w:sz w:val="16"/>
          <w:vertAlign w:val="superscript"/>
        </w:rPr>
        <w:t>−1</w:t>
      </w:r>
      <w:r>
        <w:rPr>
          <w:sz w:val="16"/>
        </w:rPr>
        <w:t>; dashed: N</w:t>
      </w:r>
      <w:r>
        <w:rPr>
          <w:sz w:val="16"/>
          <w:vertAlign w:val="superscript"/>
        </w:rPr>
        <w:t>−2</w:t>
      </w:r>
      <w:r>
        <w:rPr>
          <w:sz w:val="16"/>
        </w:rPr>
        <w:t>). (c) Rank correlation of the gain at s</w:t>
      </w:r>
      <w:r>
        <w:rPr>
          <w:sz w:val="16"/>
          <w:vertAlign w:val="subscript"/>
        </w:rPr>
        <w:t>c</w:t>
      </w:r>
      <w:r>
        <w:rPr>
          <w:sz w:val="16"/>
        </w:rPr>
        <w:t xml:space="preserve"> = 0.1 with each sampled parameter.</w:t>
      </w:r>
    </w:p>
    <w:p>
      <w:pPr>
        <w:sectPr>
          <w:type w:val="continuous"/>
          <w:pgSz w:w="12240" w:h="15840"/>
          <w:pgMar w:top="1080" w:right="900" w:bottom="1440" w:left="900" w:header="720" w:footer="720" w:gutter="0"/>
          <w:docGrid w:linePitch="360"/>
          <w:cols w:num="1"/>
        </w:sectPr>
      </w:pPr>
    </w:p>
    <w:p>
      <w:pPr>
        <w:keepNext/>
        <w:spacing w:before="80" w:after="40"/>
      </w:pPr>
      <w:r>
        <w:rPr>
          <w:i/>
        </w:rPr>
        <w:t xml:space="preserve">C. </w:t>
      </w:r>
      <w:r>
        <w:rPr>
          <w:i/>
        </w:rPr>
        <w:t>Tests of the Admissibility Theory</w:t>
      </w:r>
    </w:p>
    <w:p>
      <w:pPr>
        <w:spacing w:after="40"/>
        <w:ind w:firstLine="245"/>
        <w:jc w:val="both"/>
      </w:pPr>
      <w:r>
        <w:rPr>
          <w:sz w:val="20"/>
        </w:rPr>
        <w:t>The rotation equation was solved directly (finite volume, N = 200, baseline temperature profile, torques 25–250 N m) and compared with Proposition 1 (Fig. 4b): the simulated Λ</w:t>
      </w:r>
      <w:r>
        <w:rPr>
          <w:sz w:val="20"/>
          <w:vertAlign w:val="subscript"/>
        </w:rPr>
        <w:t>max</w:t>
      </w:r>
      <w:r>
        <w:rPr>
          <w:sz w:val="20"/>
        </w:rPr>
        <w:t xml:space="preserve"> agrees with the solution of F(Λ)Λ = Θ(r) to a relative error of at most 4.8×10</w:t>
      </w:r>
      <w:r>
        <w:rPr>
          <w:sz w:val="20"/>
          <w:vertAlign w:val="superscript"/>
        </w:rPr>
        <w:t>−11</w:t>
      </w:r>
      <w:r>
        <w:rPr>
          <w:sz w:val="20"/>
        </w:rPr>
        <w:t xml:space="preserve"> over 17 cases, and a steady state exists exactly when Θ</w:t>
      </w:r>
      <w:r>
        <w:rPr>
          <w:sz w:val="20"/>
          <w:vertAlign w:val="subscript"/>
        </w:rPr>
        <w:t>max</w:t>
      </w:r>
      <w:r>
        <w:rPr>
          <w:sz w:val="20"/>
        </w:rPr>
        <w:t xml:space="preserve"> &lt; Ψ</w:t>
      </w:r>
      <w:r>
        <w:rPr>
          <w:sz w:val="20"/>
          <w:vertAlign w:val="subscript"/>
        </w:rPr>
        <w:t>∞</w:t>
      </w:r>
      <w:r>
        <w:rPr>
          <w:sz w:val="20"/>
        </w:rPr>
        <w:t>. The last torque with a steady state is 247.8 N m for m = 2 (Θ</w:t>
      </w:r>
      <w:r>
        <w:rPr>
          <w:sz w:val="20"/>
          <w:vertAlign w:val="subscript"/>
        </w:rPr>
        <w:t>max</w:t>
      </w:r>
      <w:r>
        <w:rPr>
          <w:sz w:val="20"/>
        </w:rPr>
        <w:t xml:space="preserve"> = 0.49995; predicted fold at 1/2) and 495.7 N m for m = 1 (Θ</w:t>
      </w:r>
      <w:r>
        <w:rPr>
          <w:sz w:val="20"/>
          <w:vertAlign w:val="subscript"/>
        </w:rPr>
        <w:t>max</w:t>
      </w:r>
      <w:r>
        <w:rPr>
          <w:sz w:val="20"/>
        </w:rPr>
        <w:t xml:space="preserve"> = 0.99999; predicted saturation at 1). For the floor closure with f = 0.05 &lt; 1/9 the theory gives Ψ</w:t>
      </w:r>
      <w:r>
        <w:rPr>
          <w:sz w:val="20"/>
          <w:vertAlign w:val="subscript"/>
        </w:rPr>
        <w:t>M</w:t>
      </w:r>
      <w:r>
        <w:rPr>
          <w:sz w:val="20"/>
        </w:rPr>
        <w:t xml:space="preserve"> = 0.5280 and Ψ</w:t>
      </w:r>
      <w:r>
        <w:rPr>
          <w:sz w:val="20"/>
          <w:vertAlign w:val="subscript"/>
        </w:rPr>
        <w:t>m</w:t>
      </w:r>
      <w:r>
        <w:rPr>
          <w:sz w:val="20"/>
        </w:rPr>
        <w:t xml:space="preserve"> = 0.4235, a hysteresis window of 210–262 N m; torque ramps show the jump between 260 and 280 N m and a return at or below 210 N m, while f = 0.20 shows no hysteresis (Fig. 4c). </w:t>
      </w:r>
    </w:p>
    <w:p>
      <w:pPr>
        <w:sectPr>
          <w:type w:val="continuous"/>
          <w:pgSz w:w="12240" w:h="15840"/>
          <w:pgMar w:top="1080" w:right="900" w:bottom="1440" w:left="900" w:header="720" w:footer="720" w:gutter="0"/>
          <w:docGrid w:linePitch="360"/>
          <w:cols w:num="2" w:space="360"/>
        </w:sectPr>
      </w:pPr>
    </w:p>
    <w:p>
      <w:pPr>
        <w:keepNext/>
        <w:spacing w:before="80"/>
        <w:jc w:val="center"/>
      </w:pPr>
      <w:r>
        <w:drawing>
          <wp:inline xmlns:a="http://schemas.openxmlformats.org/drawingml/2006/main" xmlns:pic="http://schemas.openxmlformats.org/drawingml/2006/picture">
            <wp:extent cx="6492240" cy="2152819"/>
            <wp:docPr id="4" name="Picture 4" descr="Three panels: normalized flux curves, flux relation test, and hysteresis ramps."/>
            <wp:cNvGraphicFramePr>
              <a:graphicFrameLocks noChangeAspect="1"/>
            </wp:cNvGraphicFramePr>
            <a:graphic>
              <a:graphicData uri="http://schemas.openxmlformats.org/drawingml/2006/picture">
                <pic:pic>
                  <pic:nvPicPr>
                    <pic:cNvPr id="0" name="fig4_admissibility.png"/>
                    <pic:cNvPicPr/>
                  </pic:nvPicPr>
                  <pic:blipFill>
                    <a:blip r:embed="rId13"/>
                    <a:stretch>
                      <a:fillRect/>
                    </a:stretch>
                  </pic:blipFill>
                  <pic:spPr>
                    <a:xfrm>
                      <a:off x="0" y="0"/>
                      <a:ext cx="6492240" cy="2152819"/>
                    </a:xfrm>
                    <a:prstGeom prst="rect"/>
                  </pic:spPr>
                </pic:pic>
              </a:graphicData>
            </a:graphic>
          </wp:inline>
        </w:drawing>
      </w:r>
    </w:p>
    <w:p>
      <w:pPr>
        <w:spacing w:before="40" w:after="120"/>
        <w:jc w:val="both"/>
      </w:pPr>
      <w:r>
        <w:rPr>
          <w:sz w:val="16"/>
        </w:rPr>
        <w:t xml:space="preserve">Fig. 4. </w:t>
      </w:r>
      <w:r>
        <w:rPr>
          <w:sz w:val="16"/>
        </w:rPr>
        <w:t>Admissibility theory. (a) Normalized flux Ψ = ΛF(Λ); the fold for m = 2 is marked. (b) Λ</w:t>
      </w:r>
      <w:r>
        <w:rPr>
          <w:sz w:val="16"/>
          <w:vertAlign w:val="subscript"/>
        </w:rPr>
        <w:t>max</w:t>
      </w:r>
      <w:r>
        <w:rPr>
          <w:sz w:val="16"/>
        </w:rPr>
        <w:t xml:space="preserve"> from direct solutions against the flux relation. (c) Torque ramps for the floor closure (f = 0.05: hysteresis; shaded: predicted window; f = 0.20: none).</w:t>
      </w:r>
    </w:p>
    <w:p>
      <w:pPr>
        <w:sectPr>
          <w:type w:val="continuous"/>
          <w:pgSz w:w="12240" w:h="15840"/>
          <w:pgMar w:top="1080" w:right="900" w:bottom="1440" w:left="900" w:header="720" w:footer="720" w:gutter="0"/>
          <w:docGrid w:linePitch="360"/>
          <w:cols w:num="1"/>
        </w:sectPr>
      </w:pPr>
    </w:p>
    <w:p>
      <w:pPr>
        <w:keepNext/>
        <w:spacing w:before="80" w:after="40"/>
      </w:pPr>
      <w:r>
        <w:rPr>
          <w:i/>
        </w:rPr>
        <w:t xml:space="preserve">D. </w:t>
      </w:r>
      <w:r>
        <w:rPr>
          <w:i/>
        </w:rPr>
        <w:t>Torque-Driven Shear</w:t>
      </w:r>
    </w:p>
    <w:p>
      <w:pPr>
        <w:keepNext/>
        <w:spacing w:before="120"/>
        <w:jc w:val="center"/>
      </w:pPr>
      <w:r>
        <w:rPr>
          <w:sz w:val="16"/>
        </w:rPr>
        <w:t>TABLE VII</w:t>
      </w:r>
    </w:p>
    <w:p>
      <w:pPr>
        <w:keepNext/>
        <w:spacing w:after="60"/>
        <w:jc w:val="center"/>
      </w:pPr>
      <w:r>
        <w:rPr>
          <w:smallCaps/>
          <w:sz w:val="16"/>
        </w:rPr>
        <w:t>Gain with torque-driven shear (s</w:t>
      </w:r>
      <w:r>
        <w:rPr>
          <w:smallCaps/>
          <w:sz w:val="16"/>
          <w:vertAlign w:val="subscript"/>
        </w:rPr>
        <w:t>c</w:t>
      </w:r>
      <w:r>
        <w:rPr>
          <w:smallCaps/>
          <w:sz w:val="16"/>
        </w:rPr>
        <w:t xml:space="preserve"> = 0.5, N = 100, 40 MW, shears adding unless noted)</w:t>
      </w:r>
    </w:p>
    <w:tbl>
      <w:tblPr>
        <w:tblStyle w:val="TableGrid"/>
        <w:tblW w:type="auto" w:w="0"/>
        <w:jc w:val="center"/>
        <w:tblLayout w:type="fixed"/>
        <w:tblLook w:firstColumn="1" w:firstRow="1" w:lastColumn="0" w:lastRow="0" w:noHBand="0" w:noVBand="1" w:val="04A0"/>
      </w:tblPr>
      <w:tblGrid>
        <w:gridCol w:w="1008"/>
        <w:gridCol w:w="720"/>
        <w:gridCol w:w="792"/>
        <w:gridCol w:w="792"/>
        <w:gridCol w:w="936"/>
        <w:gridCol w:w="936"/>
      </w:tblGrid>
      <w:tr>
        <w:trPr>
          <w:tblHeader w:val="true"/>
        </w:trPr>
        <w:tc>
          <w:tcPr>
            <w:tcW w:type="dxa" w:w="1008"/>
            <w:shd w:val="clear" w:color="auto" w:fill="E7ECF1"/>
          </w:tcPr>
          <w:p>
            <w:pPr>
              <w:spacing w:line="240" w:lineRule="auto" w:after="0"/>
            </w:pPr>
            <w:r/>
            <w:r>
              <w:rPr>
                <w:b/>
                <w:sz w:val="15"/>
              </w:rPr>
              <w:t>Torque (N m)</w:t>
            </w:r>
          </w:p>
        </w:tc>
        <w:tc>
          <w:tcPr>
            <w:tcW w:type="dxa" w:w="720"/>
            <w:shd w:val="clear" w:color="auto" w:fill="E7ECF1"/>
          </w:tcPr>
          <w:p>
            <w:pPr>
              <w:spacing w:line="240" w:lineRule="auto" w:after="0"/>
            </w:pPr>
            <w:r/>
            <w:r>
              <w:rPr>
                <w:b/>
                <w:sz w:val="15"/>
              </w:rPr>
              <w:t>Θ</w:t>
            </w:r>
            <w:r>
              <w:rPr>
                <w:b/>
                <w:sz w:val="15"/>
                <w:vertAlign w:val="subscript"/>
              </w:rPr>
              <w:t>max</w:t>
            </w:r>
          </w:p>
        </w:tc>
        <w:tc>
          <w:tcPr>
            <w:tcW w:type="dxa" w:w="792"/>
            <w:shd w:val="clear" w:color="auto" w:fill="E7ECF1"/>
          </w:tcPr>
          <w:p>
            <w:pPr>
              <w:spacing w:line="240" w:lineRule="auto" w:after="0"/>
            </w:pPr>
            <w:r/>
            <w:r>
              <w:rPr>
                <w:b/>
                <w:sz w:val="15"/>
              </w:rPr>
              <w:t>Q const.</w:t>
            </w:r>
          </w:p>
        </w:tc>
        <w:tc>
          <w:tcPr>
            <w:tcW w:type="dxa" w:w="792"/>
            <w:shd w:val="clear" w:color="auto" w:fill="E7ECF1"/>
          </w:tcPr>
          <w:p>
            <w:pPr>
              <w:spacing w:line="240" w:lineRule="auto" w:after="0"/>
            </w:pPr>
            <w:r/>
            <w:r>
              <w:rPr>
                <w:b/>
                <w:sz w:val="15"/>
              </w:rPr>
              <w:t>Q, m = 1</w:t>
            </w:r>
          </w:p>
        </w:tc>
        <w:tc>
          <w:tcPr>
            <w:tcW w:type="dxa" w:w="936"/>
            <w:shd w:val="clear" w:color="auto" w:fill="E7ECF1"/>
          </w:tcPr>
          <w:p>
            <w:pPr>
              <w:spacing w:line="240" w:lineRule="auto" w:after="0"/>
            </w:pPr>
            <w:r/>
            <w:r>
              <w:rPr>
                <w:b/>
                <w:sz w:val="15"/>
              </w:rPr>
              <w:t>Q, m = 2, f = 0.2</w:t>
            </w:r>
          </w:p>
        </w:tc>
        <w:tc>
          <w:tcPr>
            <w:tcW w:type="dxa" w:w="936"/>
            <w:shd w:val="clear" w:color="auto" w:fill="E7ECF1"/>
          </w:tcPr>
          <w:p>
            <w:pPr>
              <w:spacing w:line="240" w:lineRule="auto" w:after="0"/>
            </w:pPr>
            <w:r/>
            <w:r>
              <w:rPr>
                <w:b/>
                <w:sz w:val="15"/>
              </w:rPr>
              <w:t>Q const., σ = −1</w:t>
            </w:r>
          </w:p>
        </w:tc>
      </w:tr>
      <w:tr>
        <w:tc>
          <w:tcPr>
            <w:tcW w:type="dxa" w:w="1008"/>
          </w:tcPr>
          <w:p>
            <w:pPr>
              <w:spacing w:line="240" w:lineRule="auto" w:after="0"/>
            </w:pPr>
            <w:r/>
            <w:r>
              <w:rPr>
                <w:sz w:val="15"/>
              </w:rPr>
              <w:t>0</w:t>
            </w:r>
          </w:p>
        </w:tc>
        <w:tc>
          <w:tcPr>
            <w:tcW w:type="dxa" w:w="720"/>
          </w:tcPr>
          <w:p>
            <w:pPr>
              <w:spacing w:line="240" w:lineRule="auto" w:after="0"/>
            </w:pPr>
            <w:r/>
            <w:r>
              <w:rPr>
                <w:sz w:val="15"/>
              </w:rPr>
              <w:t>0</w:t>
            </w:r>
          </w:p>
        </w:tc>
        <w:tc>
          <w:tcPr>
            <w:tcW w:type="dxa" w:w="792"/>
          </w:tcPr>
          <w:p>
            <w:pPr>
              <w:spacing w:line="240" w:lineRule="auto" w:after="0"/>
            </w:pPr>
            <w:r/>
            <w:r>
              <w:rPr>
                <w:sz w:val="15"/>
              </w:rPr>
              <w:t>3.71</w:t>
            </w:r>
          </w:p>
        </w:tc>
        <w:tc>
          <w:tcPr>
            <w:tcW w:type="dxa" w:w="792"/>
          </w:tcPr>
          <w:p>
            <w:pPr>
              <w:spacing w:line="240" w:lineRule="auto" w:after="0"/>
            </w:pPr>
            <w:r/>
            <w:r>
              <w:rPr>
                <w:sz w:val="15"/>
              </w:rPr>
              <w:t>3.71</w:t>
            </w:r>
          </w:p>
        </w:tc>
        <w:tc>
          <w:tcPr>
            <w:tcW w:type="dxa" w:w="936"/>
          </w:tcPr>
          <w:p>
            <w:pPr>
              <w:spacing w:line="240" w:lineRule="auto" w:after="0"/>
            </w:pPr>
            <w:r/>
            <w:r>
              <w:rPr>
                <w:sz w:val="15"/>
              </w:rPr>
              <w:t>3.71</w:t>
            </w:r>
          </w:p>
        </w:tc>
        <w:tc>
          <w:tcPr>
            <w:tcW w:type="dxa" w:w="936"/>
          </w:tcPr>
          <w:p>
            <w:pPr>
              <w:spacing w:line="240" w:lineRule="auto" w:after="0"/>
            </w:pPr>
            <w:r/>
            <w:r>
              <w:rPr>
                <w:sz w:val="15"/>
              </w:rPr>
              <w:t>3.71</w:t>
            </w:r>
          </w:p>
        </w:tc>
      </w:tr>
      <w:tr>
        <w:tc>
          <w:tcPr>
            <w:tcW w:type="dxa" w:w="1008"/>
          </w:tcPr>
          <w:p>
            <w:pPr>
              <w:spacing w:line="240" w:lineRule="auto" w:after="0"/>
            </w:pPr>
            <w:r/>
            <w:r>
              <w:rPr>
                <w:sz w:val="15"/>
              </w:rPr>
              <w:t>50</w:t>
            </w:r>
          </w:p>
        </w:tc>
        <w:tc>
          <w:tcPr>
            <w:tcW w:type="dxa" w:w="720"/>
          </w:tcPr>
          <w:p>
            <w:pPr>
              <w:spacing w:line="240" w:lineRule="auto" w:after="0"/>
            </w:pPr>
            <w:r/>
            <w:r>
              <w:rPr>
                <w:sz w:val="15"/>
              </w:rPr>
              <w:t>0.100</w:t>
            </w:r>
          </w:p>
        </w:tc>
        <w:tc>
          <w:tcPr>
            <w:tcW w:type="dxa" w:w="792"/>
          </w:tcPr>
          <w:p>
            <w:pPr>
              <w:spacing w:line="240" w:lineRule="auto" w:after="0"/>
            </w:pPr>
            <w:r/>
            <w:r>
              <w:rPr>
                <w:sz w:val="15"/>
              </w:rPr>
              <w:t>3.81</w:t>
            </w:r>
          </w:p>
        </w:tc>
        <w:tc>
          <w:tcPr>
            <w:tcW w:type="dxa" w:w="792"/>
          </w:tcPr>
          <w:p>
            <w:pPr>
              <w:spacing w:line="240" w:lineRule="auto" w:after="0"/>
            </w:pPr>
            <w:r/>
            <w:r>
              <w:rPr>
                <w:sz w:val="15"/>
              </w:rPr>
              <w:t>3.83</w:t>
            </w:r>
          </w:p>
        </w:tc>
        <w:tc>
          <w:tcPr>
            <w:tcW w:type="dxa" w:w="936"/>
          </w:tcPr>
          <w:p>
            <w:pPr>
              <w:spacing w:line="240" w:lineRule="auto" w:after="0"/>
            </w:pPr>
            <w:r/>
            <w:r>
              <w:rPr>
                <w:sz w:val="15"/>
              </w:rPr>
              <w:t>3.81</w:t>
            </w:r>
          </w:p>
        </w:tc>
        <w:tc>
          <w:tcPr>
            <w:tcW w:type="dxa" w:w="936"/>
          </w:tcPr>
          <w:p>
            <w:pPr>
              <w:spacing w:line="240" w:lineRule="auto" w:after="0"/>
            </w:pPr>
            <w:r/>
            <w:r>
              <w:rPr>
                <w:sz w:val="15"/>
              </w:rPr>
              <w:t>3.76</w:t>
            </w:r>
          </w:p>
        </w:tc>
      </w:tr>
      <w:tr>
        <w:tc>
          <w:tcPr>
            <w:tcW w:type="dxa" w:w="1008"/>
          </w:tcPr>
          <w:p>
            <w:pPr>
              <w:spacing w:line="240" w:lineRule="auto" w:after="0"/>
            </w:pPr>
            <w:r/>
            <w:r>
              <w:rPr>
                <w:sz w:val="15"/>
              </w:rPr>
              <w:t>100</w:t>
            </w:r>
          </w:p>
        </w:tc>
        <w:tc>
          <w:tcPr>
            <w:tcW w:type="dxa" w:w="720"/>
          </w:tcPr>
          <w:p>
            <w:pPr>
              <w:spacing w:line="240" w:lineRule="auto" w:after="0"/>
            </w:pPr>
            <w:r/>
            <w:r>
              <w:rPr>
                <w:sz w:val="15"/>
              </w:rPr>
              <w:t>0.199</w:t>
            </w:r>
          </w:p>
        </w:tc>
        <w:tc>
          <w:tcPr>
            <w:tcW w:type="dxa" w:w="792"/>
          </w:tcPr>
          <w:p>
            <w:pPr>
              <w:spacing w:line="240" w:lineRule="auto" w:after="0"/>
            </w:pPr>
            <w:r/>
            <w:r>
              <w:rPr>
                <w:sz w:val="15"/>
              </w:rPr>
              <w:t>4.06</w:t>
            </w:r>
          </w:p>
        </w:tc>
        <w:tc>
          <w:tcPr>
            <w:tcW w:type="dxa" w:w="792"/>
          </w:tcPr>
          <w:p>
            <w:pPr>
              <w:spacing w:line="240" w:lineRule="auto" w:after="0"/>
            </w:pPr>
            <w:r/>
            <w:r>
              <w:rPr>
                <w:sz w:val="15"/>
              </w:rPr>
              <w:t>4.22</w:t>
            </w:r>
          </w:p>
        </w:tc>
        <w:tc>
          <w:tcPr>
            <w:tcW w:type="dxa" w:w="936"/>
          </w:tcPr>
          <w:p>
            <w:pPr>
              <w:spacing w:line="240" w:lineRule="auto" w:after="0"/>
            </w:pPr>
            <w:r/>
            <w:r>
              <w:rPr>
                <w:sz w:val="15"/>
              </w:rPr>
              <w:t>4.08</w:t>
            </w:r>
          </w:p>
        </w:tc>
        <w:tc>
          <w:tcPr>
            <w:tcW w:type="dxa" w:w="936"/>
          </w:tcPr>
          <w:p>
            <w:pPr>
              <w:spacing w:line="240" w:lineRule="auto" w:after="0"/>
            </w:pPr>
            <w:r/>
            <w:r>
              <w:rPr>
                <w:sz w:val="15"/>
              </w:rPr>
              <w:t>3.97</w:t>
            </w:r>
          </w:p>
        </w:tc>
      </w:tr>
      <w:tr>
        <w:tc>
          <w:tcPr>
            <w:tcW w:type="dxa" w:w="1008"/>
          </w:tcPr>
          <w:p>
            <w:pPr>
              <w:spacing w:line="240" w:lineRule="auto" w:after="0"/>
            </w:pPr>
            <w:r/>
            <w:r>
              <w:rPr>
                <w:sz w:val="15"/>
              </w:rPr>
              <w:t>200</w:t>
            </w:r>
          </w:p>
        </w:tc>
        <w:tc>
          <w:tcPr>
            <w:tcW w:type="dxa" w:w="720"/>
          </w:tcPr>
          <w:p>
            <w:pPr>
              <w:spacing w:line="240" w:lineRule="auto" w:after="0"/>
            </w:pPr>
            <w:r/>
            <w:r>
              <w:rPr>
                <w:sz w:val="15"/>
              </w:rPr>
              <w:t>0.384</w:t>
            </w:r>
          </w:p>
        </w:tc>
        <w:tc>
          <w:tcPr>
            <w:tcW w:type="dxa" w:w="792"/>
          </w:tcPr>
          <w:p>
            <w:pPr>
              <w:spacing w:line="240" w:lineRule="auto" w:after="0"/>
            </w:pPr>
            <w:r/>
            <w:r>
              <w:rPr>
                <w:sz w:val="15"/>
              </w:rPr>
              <w:t>4.95</w:t>
            </w:r>
          </w:p>
        </w:tc>
        <w:tc>
          <w:tcPr>
            <w:tcW w:type="dxa" w:w="792"/>
          </w:tcPr>
          <w:p>
            <w:pPr>
              <w:spacing w:line="240" w:lineRule="auto" w:after="0"/>
            </w:pPr>
            <w:r/>
            <w:r>
              <w:rPr>
                <w:sz w:val="15"/>
              </w:rPr>
              <w:t>6.44</w:t>
            </w:r>
          </w:p>
        </w:tc>
        <w:tc>
          <w:tcPr>
            <w:tcW w:type="dxa" w:w="936"/>
          </w:tcPr>
          <w:p>
            <w:pPr>
              <w:spacing w:line="240" w:lineRule="auto" w:after="0"/>
            </w:pPr>
            <w:r/>
            <w:r>
              <w:rPr>
                <w:sz w:val="15"/>
              </w:rPr>
              <w:t>5.26</w:t>
            </w:r>
          </w:p>
        </w:tc>
        <w:tc>
          <w:tcPr>
            <w:tcW w:type="dxa" w:w="936"/>
          </w:tcPr>
          <w:p>
            <w:pPr>
              <w:spacing w:line="240" w:lineRule="auto" w:after="0"/>
            </w:pPr>
            <w:r/>
            <w:r>
              <w:rPr>
                <w:sz w:val="15"/>
              </w:rPr>
              <w:t>4.80</w:t>
            </w:r>
          </w:p>
        </w:tc>
      </w:tr>
      <w:tr>
        <w:tc>
          <w:tcPr>
            <w:tcW w:type="dxa" w:w="1008"/>
          </w:tcPr>
          <w:p>
            <w:pPr>
              <w:spacing w:line="240" w:lineRule="auto" w:after="0"/>
            </w:pPr>
            <w:r/>
            <w:r>
              <w:rPr>
                <w:sz w:val="15"/>
              </w:rPr>
              <w:t>250</w:t>
            </w:r>
          </w:p>
        </w:tc>
        <w:tc>
          <w:tcPr>
            <w:tcW w:type="dxa" w:w="720"/>
          </w:tcPr>
          <w:p>
            <w:pPr>
              <w:spacing w:line="240" w:lineRule="auto" w:after="0"/>
            </w:pPr>
            <w:r/>
            <w:r>
              <w:rPr>
                <w:sz w:val="15"/>
              </w:rPr>
              <w:t>0.470</w:t>
            </w:r>
          </w:p>
        </w:tc>
        <w:tc>
          <w:tcPr>
            <w:tcW w:type="dxa" w:w="792"/>
          </w:tcPr>
          <w:p>
            <w:pPr>
              <w:spacing w:line="240" w:lineRule="auto" w:after="0"/>
            </w:pPr>
            <w:r/>
            <w:r>
              <w:rPr>
                <w:sz w:val="15"/>
              </w:rPr>
              <w:t>5.57</w:t>
            </w:r>
          </w:p>
        </w:tc>
        <w:tc>
          <w:tcPr>
            <w:tcW w:type="dxa" w:w="792"/>
          </w:tcPr>
          <w:p>
            <w:pPr>
              <w:spacing w:line="240" w:lineRule="auto" w:after="0"/>
            </w:pPr>
            <w:r/>
            <w:r>
              <w:rPr>
                <w:sz w:val="15"/>
              </w:rPr>
              <w:t>8.67</w:t>
            </w:r>
          </w:p>
        </w:tc>
        <w:tc>
          <w:tcPr>
            <w:tcW w:type="dxa" w:w="936"/>
          </w:tcPr>
          <w:p>
            <w:pPr>
              <w:spacing w:line="240" w:lineRule="auto" w:after="0"/>
            </w:pPr>
            <w:r/>
            <w:r>
              <w:rPr>
                <w:sz w:val="15"/>
              </w:rPr>
              <w:t>6.39</w:t>
            </w:r>
          </w:p>
        </w:tc>
        <w:tc>
          <w:tcPr>
            <w:tcW w:type="dxa" w:w="936"/>
          </w:tcPr>
          <w:p>
            <w:pPr>
              <w:spacing w:line="240" w:lineRule="auto" w:after="0"/>
            </w:pPr>
            <w:r/>
            <w:r>
              <w:rPr>
                <w:sz w:val="15"/>
              </w:rPr>
              <w:t>5.41</w:t>
            </w:r>
          </w:p>
        </w:tc>
      </w:tr>
    </w:tbl>
    <w:p>
      <w:pPr>
        <w:spacing w:after="80"/>
      </w:pPr>
    </w:p>
    <w:p>
      <w:pPr>
        <w:spacing w:after="40"/>
        <w:ind w:firstLine="245"/>
        <w:jc w:val="both"/>
      </w:pPr>
      <w:r>
        <w:rPr>
          <w:sz w:val="20"/>
        </w:rPr>
        <w:t>With the shears adding, the gain rises monotonically with torque (Table VII, Fig. 5): for a constant viscosity Q goes from 3.71 to 4.06 at 100 N m and 4.95 at 200 N m (34% above the baseline); a viscosity that falls with shear amplifies the effect (m = 1: Q = 6.44 at 200 N m). The inadmissible closure m = 2 has no steady rotation profile above Θ = 1/2 (250 N m), as Proposition 3 predicts, whereas the admissible floor closure does. When the shears oppose, the gain is smaller but still increases. At the neutral-beam torque of Section VI-C (about 36 N m) the gain is 1.5% at s</w:t>
      </w:r>
      <w:r>
        <w:rPr>
          <w:sz w:val="20"/>
          <w:vertAlign w:val="subscript"/>
        </w:rPr>
        <w:t>c</w:t>
      </w:r>
      <w:r>
        <w:rPr>
          <w:sz w:val="20"/>
        </w:rPr>
        <w:t xml:space="preserve"> = 0.5 and 9.3% at s</w:t>
      </w:r>
      <w:r>
        <w:rPr>
          <w:sz w:val="20"/>
          <w:vertAlign w:val="subscript"/>
        </w:rPr>
        <w:t>c</w:t>
      </w:r>
      <w:r>
        <w:rPr>
          <w:sz w:val="20"/>
        </w:rPr>
        <w:t xml:space="preserve"> = 0.2.</w:t>
      </w:r>
    </w:p>
    <w:p>
      <w:pPr>
        <w:keepNext/>
        <w:spacing w:before="80"/>
        <w:jc w:val="center"/>
      </w:pPr>
      <w:r>
        <w:drawing>
          <wp:inline xmlns:a="http://schemas.openxmlformats.org/drawingml/2006/main" xmlns:pic="http://schemas.openxmlformats.org/drawingml/2006/picture">
            <wp:extent cx="3017520" cy="2205457"/>
            <wp:docPr id="5" name="Picture 5" descr="Fusion gain against torque for three viscosity closures, with a band marking the beam torque estimate."/>
            <wp:cNvGraphicFramePr>
              <a:graphicFrameLocks noChangeAspect="1"/>
            </wp:cNvGraphicFramePr>
            <a:graphic>
              <a:graphicData uri="http://schemas.openxmlformats.org/drawingml/2006/picture">
                <pic:pic>
                  <pic:nvPicPr>
                    <pic:cNvPr id="0" name="fig5_torque.png"/>
                    <pic:cNvPicPr/>
                  </pic:nvPicPr>
                  <pic:blipFill>
                    <a:blip r:embed="rId14"/>
                    <a:stretch>
                      <a:fillRect/>
                    </a:stretch>
                  </pic:blipFill>
                  <pic:spPr>
                    <a:xfrm>
                      <a:off x="0" y="0"/>
                      <a:ext cx="3017520" cy="2205457"/>
                    </a:xfrm>
                    <a:prstGeom prst="rect"/>
                  </pic:spPr>
                </pic:pic>
              </a:graphicData>
            </a:graphic>
          </wp:inline>
        </w:drawing>
      </w:r>
    </w:p>
    <w:p>
      <w:pPr>
        <w:spacing w:before="40" w:after="120"/>
        <w:jc w:val="both"/>
      </w:pPr>
      <w:r>
        <w:rPr>
          <w:sz w:val="16"/>
        </w:rPr>
        <w:t xml:space="preserve">Fig. 5. </w:t>
      </w:r>
      <w:r>
        <w:rPr>
          <w:sz w:val="16"/>
        </w:rPr>
        <w:t>Gain against torque for three viscosity closures (solid: shears adding; dotted: opposing). The shaded band is the full-energy neutral-beam torque estimate for a reactor-scale device (Section VI-C).</w:t>
      </w:r>
    </w:p>
    <w:p>
      <w:pPr>
        <w:keepNext/>
        <w:spacing w:before="80" w:after="40"/>
      </w:pPr>
      <w:r>
        <w:rPr>
          <w:i/>
        </w:rPr>
        <w:t xml:space="preserve">E. </w:t>
      </w:r>
      <w:r>
        <w:rPr>
          <w:i/>
        </w:rPr>
        <w:t>Parameter Uncertainty and Sensitivity</w:t>
      </w:r>
    </w:p>
    <w:p>
      <w:pPr>
        <w:spacing w:after="40"/>
        <w:ind w:firstLine="245"/>
        <w:jc w:val="both"/>
      </w:pPr>
      <w:r>
        <w:rPr>
          <w:sz w:val="20"/>
        </w:rPr>
        <w:t>A scrambled Sobol sequence (fixed seed, 128 points) samples χ</w:t>
      </w:r>
      <w:r>
        <w:rPr>
          <w:sz w:val="20"/>
          <w:vertAlign w:val="subscript"/>
        </w:rPr>
        <w:t>s</w:t>
      </w:r>
      <w:r>
        <w:rPr>
          <w:sz w:val="20"/>
        </w:rPr>
        <w:t xml:space="preserve"> ∈ [0.7, 1.4] m² s</w:t>
      </w:r>
      <w:r>
        <w:rPr>
          <w:sz w:val="20"/>
          <w:vertAlign w:val="superscript"/>
        </w:rPr>
        <w:t>−1</w:t>
      </w:r>
      <w:r>
        <w:rPr>
          <w:sz w:val="20"/>
        </w:rPr>
        <w:t>, κ</w:t>
      </w:r>
      <w:r>
        <w:rPr>
          <w:sz w:val="20"/>
          <w:vertAlign w:val="subscript"/>
        </w:rPr>
        <w:t>c</w:t>
      </w:r>
      <w:r>
        <w:rPr>
          <w:sz w:val="20"/>
        </w:rPr>
        <w:t xml:space="preserve"> ∈ [3.6, 4.4], w ∈ [0.3, 0.7], T</w:t>
      </w:r>
      <w:r>
        <w:rPr>
          <w:sz w:val="20"/>
          <w:vertAlign w:val="subscript"/>
        </w:rPr>
        <w:t>a</w:t>
      </w:r>
      <w:r>
        <w:rPr>
          <w:sz w:val="20"/>
        </w:rPr>
        <w:t xml:space="preserve"> ∈ [3, 5] keV, n</w:t>
      </w:r>
      <w:r>
        <w:rPr>
          <w:sz w:val="20"/>
          <w:vertAlign w:val="subscript"/>
        </w:rPr>
        <w:t>0</w:t>
      </w:r>
      <w:r>
        <w:rPr>
          <w:sz w:val="20"/>
        </w:rPr>
        <w:t xml:space="preserve"> ∈ [0.8, 1.2]×10</w:t>
      </w:r>
      <w:r>
        <w:rPr>
          <w:sz w:val="20"/>
          <w:vertAlign w:val="superscript"/>
        </w:rPr>
        <w:t>20</w:t>
      </w:r>
      <w:r>
        <w:rPr>
          <w:sz w:val="20"/>
        </w:rPr>
        <w:t xml:space="preserve"> m</w:t>
      </w:r>
      <w:r>
        <w:rPr>
          <w:sz w:val="20"/>
          <w:vertAlign w:val="superscript"/>
        </w:rPr>
        <w:t>−3</w:t>
      </w:r>
      <w:r>
        <w:rPr>
          <w:sz w:val="20"/>
        </w:rPr>
        <w:t>, B ∈ [4.8, 5.8] T, and ℓ ∈ [0.02, 0.10] m (128 converged). The baseline gain Q varies from 1.6 to 7.1 (5–95 %), but the relative gain is far more stable: 0.5–0.8% at s</w:t>
      </w:r>
      <w:r>
        <w:rPr>
          <w:sz w:val="20"/>
          <w:vertAlign w:val="subscript"/>
        </w:rPr>
        <w:t>c</w:t>
      </w:r>
      <w:r>
        <w:rPr>
          <w:sz w:val="20"/>
        </w:rPr>
        <w:t xml:space="preserve"> = 0.3, 4–8% at 0.1, and 18–32% at 0.05 (Fig. 3a). The rank correlations (Fig. 3c) identify the parameters that control the gain at s</w:t>
      </w:r>
      <w:r>
        <w:rPr>
          <w:sz w:val="20"/>
          <w:vertAlign w:val="subscript"/>
        </w:rPr>
        <w:t>c</w:t>
      </w:r>
      <w:r>
        <w:rPr>
          <w:sz w:val="20"/>
        </w:rPr>
        <w:t xml:space="preserve"> = 0.1. A second sequence over the torque study (torque 25–200 N m, profile width 0.2–0.6a, Pr 1–4, s</w:t>
      </w:r>
      <w:r>
        <w:rPr>
          <w:sz w:val="20"/>
          <w:vertAlign w:val="subscript"/>
        </w:rPr>
        <w:t>c</w:t>
      </w:r>
      <w:r>
        <w:rPr>
          <w:sz w:val="20"/>
        </w:rPr>
        <w:t xml:space="preserve"> 0.2–1, both signs, ℓ) gives a gain of 0–37% (median 4%) over 64 converged samples.</w:t>
      </w:r>
    </w:p>
    <w:p>
      <w:pPr>
        <w:keepNext/>
        <w:spacing w:before="160" w:after="80"/>
        <w:jc w:val="center"/>
      </w:pPr>
      <w:r>
        <w:rPr>
          <w:sz w:val="20"/>
        </w:rPr>
        <w:t>VI. PHYSICAL CALIBRATION AND ENGINEERING APPLICABILITY</w:t>
      </w:r>
    </w:p>
    <w:p>
      <w:pPr>
        <w:spacing w:after="40"/>
        <w:ind w:firstLine="245"/>
        <w:jc w:val="both"/>
      </w:pPr>
      <w:r>
        <w:rPr>
          <w:sz w:val="20"/>
        </w:rPr>
        <w:t>The parameters of the model are illustrative; this section places them against recognized scalings and limits, using an ITER-like reference device (R</w:t>
      </w:r>
      <w:r>
        <w:rPr>
          <w:sz w:val="20"/>
          <w:vertAlign w:val="subscript"/>
        </w:rPr>
        <w:t>0</w:t>
      </w:r>
      <w:r>
        <w:rPr>
          <w:sz w:val="20"/>
        </w:rPr>
        <w:t xml:space="preserve"> = 6.2 m, a = 2.0 m, B = 5.3 T, plasma current 15 MA, elongation 1.7, 2.5 amu). The plasma current is not an input of the one-dimensional model, so it is taken from the reference device; all formulas are given in the code archive.</w:t>
      </w:r>
    </w:p>
    <w:p>
      <w:pPr>
        <w:keepNext/>
        <w:spacing w:before="80" w:after="40"/>
      </w:pPr>
      <w:r>
        <w:rPr>
          <w:i/>
        </w:rPr>
        <w:t xml:space="preserve">A. </w:t>
      </w:r>
      <w:r>
        <w:rPr>
          <w:i/>
        </w:rPr>
        <w:t>Confinement Scalings</w:t>
      </w:r>
    </w:p>
    <w:p>
      <w:pPr>
        <w:spacing w:after="40"/>
        <w:ind w:firstLine="245"/>
        <w:jc w:val="both"/>
      </w:pPr>
      <w:r>
        <w:rPr>
          <w:sz w:val="20"/>
        </w:rPr>
        <w:t>With the net heating P</w:t>
      </w:r>
      <w:r>
        <w:rPr>
          <w:sz w:val="20"/>
          <w:vertAlign w:val="subscript"/>
        </w:rPr>
        <w:t>net</w:t>
      </w:r>
      <w:r>
        <w:rPr>
          <w:sz w:val="20"/>
        </w:rPr>
        <w:t xml:space="preserve"> = 66.2 MW and the line-average density 7.5×10</w:t>
      </w:r>
      <w:r>
        <w:rPr>
          <w:sz w:val="20"/>
          <w:vertAlign w:val="superscript"/>
        </w:rPr>
        <w:t>19</w:t>
      </w:r>
      <w:r>
        <w:rPr>
          <w:sz w:val="20"/>
        </w:rPr>
        <w:t xml:space="preserve"> m</w:t>
      </w:r>
      <w:r>
        <w:rPr>
          <w:sz w:val="20"/>
          <w:vertAlign w:val="superscript"/>
        </w:rPr>
        <w:t>−3</w:t>
      </w:r>
      <w:r>
        <w:rPr>
          <w:sz w:val="20"/>
        </w:rPr>
        <w:t>, the baseline confinement time 1.84 s is 1.01 times the ITER89-P L-mode scaling [14] (1.81 s) and 0.48 times the IPB98(y,2) H-mode scaling [15] (3.85 s). The stiff baseline with a fixed 4 keV edge is therefore an L-mode-like plasma. The agreement with ITER89-P is a consistency check, not an independent validation: the edge temperature is imposed, the critical-gradient parameters are generic, and the density and heating profiles are prescribed, so other parameter choices would also bring H</w:t>
      </w:r>
      <w:r>
        <w:rPr>
          <w:sz w:val="20"/>
          <w:vertAlign w:val="subscript"/>
        </w:rPr>
        <w:t>89</w:t>
      </w:r>
      <w:r>
        <w:rPr>
          <w:sz w:val="20"/>
        </w:rPr>
        <w:t xml:space="preserve"> near unity. The smoothed closure acts only on the edge shear, and even at s</w:t>
      </w:r>
      <w:r>
        <w:rPr>
          <w:sz w:val="20"/>
          <w:vertAlign w:val="subscript"/>
        </w:rPr>
        <w:t>c</w:t>
      </w:r>
      <w:r>
        <w:rPr>
          <w:sz w:val="20"/>
        </w:rPr>
        <w:t xml:space="preserve"> = 0.02 it raises the H</w:t>
      </w:r>
      <w:r>
        <w:rPr>
          <w:sz w:val="20"/>
          <w:vertAlign w:val="subscript"/>
        </w:rPr>
        <w:t>98</w:t>
      </w:r>
      <w:r>
        <w:rPr>
          <w:sz w:val="20"/>
        </w:rPr>
        <w:t xml:space="preserve"> factor from 0.48 to 0.59 (Table VI): it produces a partial edge barrier, not an H-mode pedestal, and must not be read as predicting H-mode performance.</w:t>
      </w:r>
    </w:p>
    <w:p>
      <w:pPr>
        <w:keepNext/>
        <w:spacing w:before="80" w:after="40"/>
      </w:pPr>
      <w:r>
        <w:rPr>
          <w:i/>
        </w:rPr>
        <w:t xml:space="preserve">B. </w:t>
      </w:r>
      <w:r>
        <w:rPr>
          <w:i/>
        </w:rPr>
        <w:t>Operating Limits</w:t>
      </w:r>
    </w:p>
    <w:p>
      <w:pPr>
        <w:spacing w:after="40"/>
        <w:ind w:firstLine="245"/>
        <w:jc w:val="both"/>
      </w:pPr>
      <w:r>
        <w:rPr>
          <w:sz w:val="20"/>
        </w:rPr>
        <w:t>The Greenwald fraction n̄/n</w:t>
      </w:r>
      <w:r>
        <w:rPr>
          <w:sz w:val="20"/>
          <w:vertAlign w:val="subscript"/>
        </w:rPr>
        <w:t>G</w:t>
      </w:r>
      <w:r>
        <w:rPr>
          <w:sz w:val="20"/>
        </w:rPr>
        <w:t xml:space="preserve"> = 0.63 [16], with n</w:t>
      </w:r>
      <w:r>
        <w:rPr>
          <w:sz w:val="20"/>
          <w:vertAlign w:val="subscript"/>
        </w:rPr>
        <w:t>G</w:t>
      </w:r>
      <w:r>
        <w:rPr>
          <w:sz w:val="20"/>
        </w:rPr>
        <w:t xml:space="preserve"> = I</w:t>
      </w:r>
      <w:r>
        <w:rPr>
          <w:sz w:val="20"/>
          <w:vertAlign w:val="subscript"/>
        </w:rPr>
        <w:t>p</w:t>
      </w:r>
      <w:r>
        <w:rPr>
          <w:sz w:val="20"/>
        </w:rPr>
        <w:t>/πa² = 1.19×10</w:t>
      </w:r>
      <w:r>
        <w:rPr>
          <w:sz w:val="20"/>
          <w:vertAlign w:val="superscript"/>
        </w:rPr>
        <w:t>20</w:t>
      </w:r>
      <w:r>
        <w:rPr>
          <w:sz w:val="20"/>
        </w:rPr>
        <w:t xml:space="preserve"> m</w:t>
      </w:r>
      <w:r>
        <w:rPr>
          <w:sz w:val="20"/>
          <w:vertAlign w:val="superscript"/>
        </w:rPr>
        <w:t>−3</w:t>
      </w:r>
      <w:r>
        <w:rPr>
          <w:sz w:val="20"/>
        </w:rPr>
        <w:t>, is fixed by the density profile. The normalized beta β</w:t>
      </w:r>
      <w:r>
        <w:rPr>
          <w:sz w:val="20"/>
          <w:vertAlign w:val="subscript"/>
        </w:rPr>
        <w:t>N</w:t>
      </w:r>
      <w:r>
        <w:rPr>
          <w:sz w:val="20"/>
        </w:rPr>
        <w:t xml:space="preserve"> = 1.05 for the baseline rises to 1.07 at s</w:t>
      </w:r>
      <w:r>
        <w:rPr>
          <w:sz w:val="20"/>
          <w:vertAlign w:val="subscript"/>
        </w:rPr>
        <w:t>c</w:t>
      </w:r>
      <w:r>
        <w:rPr>
          <w:sz w:val="20"/>
        </w:rPr>
        <w:t xml:space="preserve"> = 0.1 and 1.49 at s</w:t>
      </w:r>
      <w:r>
        <w:rPr>
          <w:sz w:val="20"/>
          <w:vertAlign w:val="subscript"/>
        </w:rPr>
        <w:t>c</w:t>
      </w:r>
      <w:r>
        <w:rPr>
          <w:sz w:val="20"/>
        </w:rPr>
        <w:t xml:space="preserve"> = 0.02, below the Troyon-type limit of order 3 [17]; the magnetohydrodynamic limit therefore does not bound the closure in the range studied, although the model contains no stability physics, so this is a consistency check only.</w:t>
      </w:r>
    </w:p>
    <w:p>
      <w:pPr>
        <w:keepNext/>
        <w:spacing w:before="80" w:after="40"/>
      </w:pPr>
      <w:r>
        <w:rPr>
          <w:i/>
        </w:rPr>
        <w:t xml:space="preserve">C. </w:t>
      </w:r>
      <w:r>
        <w:rPr>
          <w:i/>
        </w:rPr>
        <w:t>Neutral-Beam Torque</w:t>
      </w:r>
    </w:p>
    <w:p>
      <w:pPr>
        <w:spacing w:after="40"/>
        <w:ind w:firstLine="245"/>
        <w:jc w:val="both"/>
      </w:pPr>
      <w:r>
        <w:rPr>
          <w:sz w:val="20"/>
        </w:rPr>
        <w:t>The heating neutral beams of a reactor-scale device deliver 33 MW at 1 MeV (deuterium) [18]. A beam of power P and speed v injects a torque T = 2PR</w:t>
      </w:r>
      <w:r>
        <w:rPr>
          <w:sz w:val="20"/>
          <w:vertAlign w:val="subscript"/>
        </w:rPr>
        <w:t>t</w:t>
      </w:r>
      <w:r>
        <w:rPr>
          <w:sz w:val="20"/>
        </w:rPr>
        <w:t>/v, since each particle of energy mv²/2 carries angular momentum mvR</w:t>
      </w:r>
      <w:r>
        <w:rPr>
          <w:sz w:val="20"/>
          <w:vertAlign w:val="subscript"/>
        </w:rPr>
        <w:t>t</w:t>
      </w:r>
      <w:r>
        <w:rPr>
          <w:sz w:val="20"/>
        </w:rPr>
        <w:t>; with v = 9.79×10</w:t>
      </w:r>
      <w:r>
        <w:rPr>
          <w:sz w:val="20"/>
          <w:vertAlign w:val="superscript"/>
        </w:rPr>
        <w:t>6</w:t>
      </w:r>
      <w:r>
        <w:rPr>
          <w:sz w:val="20"/>
        </w:rPr>
        <w:t xml:space="preserve"> m s</w:t>
      </w:r>
      <w:r>
        <w:rPr>
          <w:sz w:val="20"/>
          <w:vertAlign w:val="superscript"/>
        </w:rPr>
        <w:t>−1</w:t>
      </w:r>
      <w:r>
        <w:rPr>
          <w:sz w:val="20"/>
        </w:rPr>
        <w:t xml:space="preserve"> and a tangency radius R</w:t>
      </w:r>
      <w:r>
        <w:rPr>
          <w:sz w:val="20"/>
          <w:vertAlign w:val="subscript"/>
        </w:rPr>
        <w:t>t</w:t>
      </w:r>
      <w:r>
        <w:rPr>
          <w:sz w:val="20"/>
        </w:rPr>
        <w:t xml:space="preserve"> = 4.5–6 m this gives 30–40 N m (full-energy component only, no losses), consistent with the statement that the torque scales as P/E</w:t>
      </w:r>
      <w:r>
        <w:rPr>
          <w:sz w:val="20"/>
          <w:vertAlign w:val="superscript"/>
        </w:rPr>
        <w:t>1/2</w:t>
      </w:r>
      <w:r>
        <w:rPr>
          <w:sz w:val="20"/>
        </w:rPr>
        <w:t xml:space="preserve"> and is small in a large device [18]. The torque scan to 250 N m is therefore a sensitivity range up to 7 times the estimate, not a prediction; at the estimated torque the gain is 1.5% (s</w:t>
      </w:r>
      <w:r>
        <w:rPr>
          <w:sz w:val="20"/>
          <w:vertAlign w:val="subscript"/>
        </w:rPr>
        <w:t>c</w:t>
      </w:r>
      <w:r>
        <w:rPr>
          <w:sz w:val="20"/>
        </w:rPr>
        <w:t xml:space="preserve"> = 0.5) to 9.3% (s</w:t>
      </w:r>
      <w:r>
        <w:rPr>
          <w:sz w:val="20"/>
          <w:vertAlign w:val="subscript"/>
        </w:rPr>
        <w:t>c</w:t>
      </w:r>
      <w:r>
        <w:rPr>
          <w:sz w:val="20"/>
        </w:rPr>
        <w:t xml:space="preserve"> = 0.2), and the Mach number at 250 N m is 0.75.</w:t>
      </w:r>
    </w:p>
    <w:p>
      <w:pPr>
        <w:keepNext/>
        <w:spacing w:before="80" w:after="40"/>
      </w:pPr>
      <w:r>
        <w:rPr>
          <w:i/>
        </w:rPr>
        <w:t xml:space="preserve">D. </w:t>
      </w:r>
      <w:r>
        <w:rPr>
          <w:i/>
        </w:rPr>
        <w:t>The Suppression Threshold</w:t>
      </w:r>
    </w:p>
    <w:p>
      <w:pPr>
        <w:spacing w:after="40"/>
        <w:ind w:firstLine="245"/>
        <w:jc w:val="both"/>
      </w:pPr>
      <w:r>
        <w:rPr>
          <w:sz w:val="20"/>
        </w:rPr>
        <w:t>The threshold plays the role of the maximum linear growth rate in units of γ</w:t>
      </w:r>
      <w:r>
        <w:rPr>
          <w:sz w:val="20"/>
          <w:vertAlign w:val="subscript"/>
        </w:rPr>
        <w:t>0</w:t>
      </w:r>
      <w:r>
        <w:rPr>
          <w:sz w:val="20"/>
        </w:rPr>
        <w:t xml:space="preserve"> in a quench rule [7], s</w:t>
      </w:r>
      <w:r>
        <w:rPr>
          <w:sz w:val="20"/>
          <w:vertAlign w:val="subscript"/>
        </w:rPr>
        <w:t>c</w:t>
      </w:r>
      <w:r>
        <w:rPr>
          <w:sz w:val="20"/>
        </w:rPr>
        <w:t xml:space="preserve"> = γ</w:t>
      </w:r>
      <w:r>
        <w:rPr>
          <w:sz w:val="20"/>
          <w:vertAlign w:val="subscript"/>
        </w:rPr>
        <w:t>max</w:t>
      </w:r>
      <w:r>
        <w:rPr>
          <w:sz w:val="20"/>
        </w:rPr>
        <w:t>/γ</w:t>
      </w:r>
      <w:r>
        <w:rPr>
          <w:sz w:val="20"/>
          <w:vertAlign w:val="subscript"/>
        </w:rPr>
        <w:t>0</w:t>
      </w:r>
      <w:r>
        <w:rPr>
          <w:sz w:val="20"/>
        </w:rPr>
        <w:t>. The largest smoothed diamagnetic shear in the model is ω</w:t>
      </w:r>
      <w:r>
        <w:rPr>
          <w:sz w:val="20"/>
          <w:vertAlign w:val="subscript"/>
        </w:rPr>
        <w:t>E</w:t>
      </w:r>
      <w:r>
        <w:rPr>
          <w:sz w:val="20"/>
        </w:rPr>
        <w:t>/γ</w:t>
      </w:r>
      <w:r>
        <w:rPr>
          <w:sz w:val="20"/>
          <w:vertAlign w:val="subscript"/>
        </w:rPr>
        <w:t>0</w:t>
      </w:r>
      <w:r>
        <w:rPr>
          <w:sz w:val="20"/>
        </w:rPr>
        <w:t xml:space="preserve"> ≈ 0.08, so for s</w:t>
      </w:r>
      <w:r>
        <w:rPr>
          <w:sz w:val="20"/>
          <w:vertAlign w:val="subscript"/>
        </w:rPr>
        <w:t>c</w:t>
      </w:r>
      <w:r>
        <w:rPr>
          <w:sz w:val="20"/>
        </w:rPr>
        <w:t xml:space="preserve"> ≳ 0.3, i.e. growth rates above 0.3c</w:t>
      </w:r>
      <w:r>
        <w:rPr>
          <w:sz w:val="20"/>
          <w:vertAlign w:val="subscript"/>
        </w:rPr>
        <w:t>s</w:t>
      </w:r>
      <w:r>
        <w:rPr>
          <w:sz w:val="20"/>
        </w:rPr>
        <w:t>/R</w:t>
      </w:r>
      <w:r>
        <w:rPr>
          <w:sz w:val="20"/>
          <w:vertAlign w:val="subscript"/>
        </w:rPr>
        <w:t>0</w:t>
      </w:r>
      <w:r>
        <w:rPr>
          <w:sz w:val="20"/>
        </w:rPr>
        <w:t>, the closure changes Q by less than 1%, and it changes it by more than 10% only for s</w:t>
      </w:r>
      <w:r>
        <w:rPr>
          <w:sz w:val="20"/>
          <w:vertAlign w:val="subscript"/>
        </w:rPr>
        <w:t>c</w:t>
      </w:r>
      <w:r>
        <w:rPr>
          <w:sz w:val="20"/>
        </w:rPr>
        <w:t xml:space="preserve"> ≲ 0.07. Which regime applies cannot be decided without gyrokinetic growth rates for the profiles in question, and that calibration, together with ℓ, is the main open step. Meanwhile the fitted relation ΔQ/Q = 0.056%/s</w:t>
      </w:r>
      <w:r>
        <w:rPr>
          <w:sz w:val="20"/>
          <w:vertAlign w:val="subscript"/>
        </w:rPr>
        <w:t>c</w:t>
      </w:r>
      <w:r>
        <w:rPr>
          <w:sz w:val="20"/>
        </w:rPr>
        <w:t>² (valid only for the tested range and parameters) and its uncertainty band give the sensitivity of the result to the choice.</w:t>
      </w:r>
    </w:p>
    <w:p>
      <w:pPr>
        <w:keepNext/>
        <w:spacing w:before="120"/>
        <w:jc w:val="center"/>
      </w:pPr>
      <w:r>
        <w:rPr>
          <w:sz w:val="16"/>
        </w:rPr>
        <w:t>TABLE VIII</w:t>
      </w:r>
    </w:p>
    <w:p>
      <w:pPr>
        <w:keepNext/>
        <w:spacing w:after="60"/>
        <w:jc w:val="center"/>
      </w:pPr>
      <w:r>
        <w:rPr>
          <w:smallCaps/>
          <w:sz w:val="16"/>
        </w:rPr>
        <w:t>Calibration summary</w:t>
      </w:r>
    </w:p>
    <w:tbl>
      <w:tblPr>
        <w:tblStyle w:val="TableGrid"/>
        <w:tblW w:type="auto" w:w="0"/>
        <w:jc w:val="center"/>
        <w:tblLayout w:type="fixed"/>
        <w:tblLook w:firstColumn="1" w:firstRow="1" w:lastColumn="0" w:lastRow="0" w:noHBand="0" w:noVBand="1" w:val="04A0"/>
      </w:tblPr>
      <w:tblGrid>
        <w:gridCol w:w="1944"/>
        <w:gridCol w:w="1584"/>
        <w:gridCol w:w="1512"/>
      </w:tblGrid>
      <w:tr>
        <w:trPr>
          <w:tblHeader w:val="true"/>
        </w:trPr>
        <w:tc>
          <w:tcPr>
            <w:tcW w:type="dxa" w:w="1944"/>
            <w:shd w:val="clear" w:color="auto" w:fill="E7ECF1"/>
          </w:tcPr>
          <w:p>
            <w:pPr>
              <w:spacing w:line="240" w:lineRule="auto" w:after="0"/>
            </w:pPr>
            <w:r/>
            <w:r>
              <w:rPr>
                <w:b/>
                <w:sz w:val="15"/>
              </w:rPr>
              <w:t>Quantity</w:t>
            </w:r>
          </w:p>
        </w:tc>
        <w:tc>
          <w:tcPr>
            <w:tcW w:type="dxa" w:w="1584"/>
            <w:shd w:val="clear" w:color="auto" w:fill="E7ECF1"/>
          </w:tcPr>
          <w:p>
            <w:pPr>
              <w:spacing w:line="240" w:lineRule="auto" w:after="0"/>
            </w:pPr>
            <w:r/>
            <w:r>
              <w:rPr>
                <w:b/>
                <w:sz w:val="15"/>
              </w:rPr>
              <w:t>Value</w:t>
            </w:r>
          </w:p>
        </w:tc>
        <w:tc>
          <w:tcPr>
            <w:tcW w:type="dxa" w:w="1512"/>
            <w:shd w:val="clear" w:color="auto" w:fill="E7ECF1"/>
          </w:tcPr>
          <w:p>
            <w:pPr>
              <w:spacing w:line="240" w:lineRule="auto" w:after="0"/>
            </w:pPr>
            <w:r/>
            <w:r>
              <w:rPr>
                <w:b/>
                <w:sz w:val="15"/>
              </w:rPr>
              <w:t>Reference</w:t>
            </w:r>
          </w:p>
        </w:tc>
      </w:tr>
      <w:tr>
        <w:tc>
          <w:tcPr>
            <w:tcW w:type="dxa" w:w="1944"/>
          </w:tcPr>
          <w:p>
            <w:pPr>
              <w:spacing w:line="240" w:lineRule="auto" w:after="0"/>
            </w:pPr>
            <w:r/>
            <w:r>
              <w:rPr>
                <w:sz w:val="15"/>
              </w:rPr>
              <w:t>H</w:t>
            </w:r>
            <w:r>
              <w:rPr>
                <w:sz w:val="15"/>
                <w:vertAlign w:val="subscript"/>
              </w:rPr>
              <w:t>89</w:t>
            </w:r>
            <w:r>
              <w:rPr>
                <w:sz w:val="15"/>
              </w:rPr>
              <w:t>, H</w:t>
            </w:r>
            <w:r>
              <w:rPr>
                <w:sz w:val="15"/>
                <w:vertAlign w:val="subscript"/>
              </w:rPr>
              <w:t>98</w:t>
            </w:r>
            <w:r>
              <w:rPr>
                <w:sz w:val="15"/>
              </w:rPr>
              <w:t xml:space="preserve"> (baseline)</w:t>
            </w:r>
          </w:p>
        </w:tc>
        <w:tc>
          <w:tcPr>
            <w:tcW w:type="dxa" w:w="1584"/>
          </w:tcPr>
          <w:p>
            <w:pPr>
              <w:spacing w:line="240" w:lineRule="auto" w:after="0"/>
            </w:pPr>
            <w:r/>
            <w:r>
              <w:rPr>
                <w:sz w:val="15"/>
              </w:rPr>
              <w:t>1.01, 0.48</w:t>
            </w:r>
          </w:p>
        </w:tc>
        <w:tc>
          <w:tcPr>
            <w:tcW w:type="dxa" w:w="1512"/>
          </w:tcPr>
          <w:p>
            <w:pPr>
              <w:spacing w:line="240" w:lineRule="auto" w:after="0"/>
            </w:pPr>
            <w:r/>
            <w:r>
              <w:rPr>
                <w:sz w:val="15"/>
              </w:rPr>
              <w:t>[14], [15]</w:t>
            </w:r>
          </w:p>
        </w:tc>
      </w:tr>
      <w:tr>
        <w:tc>
          <w:tcPr>
            <w:tcW w:type="dxa" w:w="1944"/>
          </w:tcPr>
          <w:p>
            <w:pPr>
              <w:spacing w:line="240" w:lineRule="auto" w:after="0"/>
            </w:pPr>
            <w:r/>
            <w:r>
              <w:rPr>
                <w:sz w:val="15"/>
              </w:rPr>
              <w:t>n̄/n</w:t>
            </w:r>
            <w:r>
              <w:rPr>
                <w:sz w:val="15"/>
                <w:vertAlign w:val="subscript"/>
              </w:rPr>
              <w:t>G</w:t>
            </w:r>
            <w:r>
              <w:rPr>
                <w:sz w:val="15"/>
              </w:rPr>
              <w:t>; β</w:t>
            </w:r>
            <w:r>
              <w:rPr>
                <w:sz w:val="15"/>
                <w:vertAlign w:val="subscript"/>
              </w:rPr>
              <w:t>N</w:t>
            </w:r>
          </w:p>
        </w:tc>
        <w:tc>
          <w:tcPr>
            <w:tcW w:type="dxa" w:w="1584"/>
          </w:tcPr>
          <w:p>
            <w:pPr>
              <w:spacing w:line="240" w:lineRule="auto" w:after="0"/>
            </w:pPr>
            <w:r/>
            <w:r>
              <w:rPr>
                <w:sz w:val="15"/>
              </w:rPr>
              <w:t>0.63; 1.05–1.49</w:t>
            </w:r>
          </w:p>
        </w:tc>
        <w:tc>
          <w:tcPr>
            <w:tcW w:type="dxa" w:w="1512"/>
          </w:tcPr>
          <w:p>
            <w:pPr>
              <w:spacing w:line="240" w:lineRule="auto" w:after="0"/>
            </w:pPr>
            <w:r/>
            <w:r>
              <w:rPr>
                <w:sz w:val="15"/>
              </w:rPr>
              <w:t>[16], [17]</w:t>
            </w:r>
          </w:p>
        </w:tc>
      </w:tr>
      <w:tr>
        <w:tc>
          <w:tcPr>
            <w:tcW w:type="dxa" w:w="1944"/>
          </w:tcPr>
          <w:p>
            <w:pPr>
              <w:spacing w:line="240" w:lineRule="auto" w:after="0"/>
            </w:pPr>
            <w:r/>
            <w:r>
              <w:rPr>
                <w:sz w:val="15"/>
              </w:rPr>
              <w:t>Beam torque estimate</w:t>
            </w:r>
          </w:p>
        </w:tc>
        <w:tc>
          <w:tcPr>
            <w:tcW w:type="dxa" w:w="1584"/>
          </w:tcPr>
          <w:p>
            <w:pPr>
              <w:spacing w:line="240" w:lineRule="auto" w:after="0"/>
            </w:pPr>
            <w:r/>
            <w:r>
              <w:rPr>
                <w:sz w:val="15"/>
              </w:rPr>
              <w:t>30–40 N m</w:t>
            </w:r>
          </w:p>
        </w:tc>
        <w:tc>
          <w:tcPr>
            <w:tcW w:type="dxa" w:w="1512"/>
          </w:tcPr>
          <w:p>
            <w:pPr>
              <w:spacing w:line="240" w:lineRule="auto" w:after="0"/>
            </w:pPr>
            <w:r/>
            <w:r>
              <w:rPr>
                <w:sz w:val="15"/>
              </w:rPr>
              <w:t>33 MW, 1 MeV [18]</w:t>
            </w:r>
          </w:p>
        </w:tc>
      </w:tr>
      <w:tr>
        <w:tc>
          <w:tcPr>
            <w:tcW w:type="dxa" w:w="1944"/>
          </w:tcPr>
          <w:p>
            <w:pPr>
              <w:spacing w:line="240" w:lineRule="auto" w:after="0"/>
            </w:pPr>
            <w:r/>
            <w:r>
              <w:rPr>
                <w:sz w:val="15"/>
              </w:rPr>
              <w:t>Gain at that torque</w:t>
            </w:r>
          </w:p>
        </w:tc>
        <w:tc>
          <w:tcPr>
            <w:tcW w:type="dxa" w:w="1584"/>
          </w:tcPr>
          <w:p>
            <w:pPr>
              <w:spacing w:line="240" w:lineRule="auto" w:after="0"/>
            </w:pPr>
            <w:r/>
            <w:r>
              <w:rPr>
                <w:sz w:val="15"/>
              </w:rPr>
              <w:t>1.5% (s</w:t>
            </w:r>
            <w:r>
              <w:rPr>
                <w:sz w:val="15"/>
                <w:vertAlign w:val="subscript"/>
              </w:rPr>
              <w:t>c</w:t>
            </w:r>
            <w:r>
              <w:rPr>
                <w:sz w:val="15"/>
              </w:rPr>
              <w:t xml:space="preserve"> = 0.5)</w:t>
            </w:r>
          </w:p>
        </w:tc>
        <w:tc>
          <w:tcPr>
            <w:tcW w:type="dxa" w:w="1512"/>
          </w:tcPr>
          <w:p>
            <w:pPr>
              <w:spacing w:line="240" w:lineRule="auto" w:after="0"/>
            </w:pPr>
            <w:r/>
            <w:r>
              <w:rPr>
                <w:sz w:val="15"/>
              </w:rPr>
              <w:t>this work</w:t>
            </w:r>
          </w:p>
        </w:tc>
      </w:tr>
      <w:tr>
        <w:tc>
          <w:tcPr>
            <w:tcW w:type="dxa" w:w="1944"/>
          </w:tcPr>
          <w:p>
            <w:pPr>
              <w:spacing w:line="240" w:lineRule="auto" w:after="0"/>
            </w:pPr>
            <w:r/>
            <w:r>
              <w:rPr>
                <w:sz w:val="15"/>
              </w:rPr>
              <w:t>ℓ / ρ</w:t>
            </w:r>
            <w:r>
              <w:rPr>
                <w:sz w:val="15"/>
                <w:vertAlign w:val="subscript"/>
              </w:rPr>
              <w:t>i</w:t>
            </w:r>
            <w:r>
              <w:rPr>
                <w:sz w:val="15"/>
              </w:rPr>
              <w:t xml:space="preserve"> (10 keV)</w:t>
            </w:r>
          </w:p>
        </w:tc>
        <w:tc>
          <w:tcPr>
            <w:tcW w:type="dxa" w:w="1584"/>
          </w:tcPr>
          <w:p>
            <w:pPr>
              <w:spacing w:line="240" w:lineRule="auto" w:after="0"/>
            </w:pPr>
            <w:r/>
            <w:r>
              <w:rPr>
                <w:sz w:val="15"/>
              </w:rPr>
              <w:t>16</w:t>
            </w:r>
          </w:p>
        </w:tc>
        <w:tc>
          <w:tcPr>
            <w:tcW w:type="dxa" w:w="1512"/>
          </w:tcPr>
          <w:p>
            <w:pPr>
              <w:spacing w:line="240" w:lineRule="auto" w:after="0"/>
            </w:pPr>
            <w:r/>
            <w:r>
              <w:rPr>
                <w:sz w:val="15"/>
              </w:rPr>
              <w:t>this work</w:t>
            </w:r>
          </w:p>
        </w:tc>
      </w:tr>
    </w:tbl>
    <w:p>
      <w:pPr>
        <w:spacing w:after="80"/>
      </w:pPr>
    </w:p>
    <w:p>
      <w:pPr>
        <w:keepNext/>
        <w:spacing w:before="160" w:after="80"/>
        <w:jc w:val="center"/>
      </w:pPr>
      <w:r>
        <w:rPr>
          <w:sz w:val="20"/>
        </w:rPr>
        <w:t>VII. DISCUSSION AND LIMITATIONS</w:t>
      </w:r>
    </w:p>
    <w:p>
      <w:pPr>
        <w:keepNext/>
        <w:spacing w:before="80" w:after="40"/>
      </w:pPr>
      <w:r>
        <w:rPr>
          <w:i/>
        </w:rPr>
        <w:t xml:space="preserve">A. </w:t>
      </w:r>
      <w:r>
        <w:rPr>
          <w:i/>
        </w:rPr>
        <w:t>Principal Findings</w:t>
      </w:r>
    </w:p>
    <w:p>
      <w:pPr>
        <w:spacing w:after="40"/>
        <w:ind w:firstLine="245"/>
        <w:jc w:val="both"/>
      </w:pPr>
      <w:r>
        <w:rPr>
          <w:sz w:val="20"/>
        </w:rPr>
        <w:t>Three findings stand out. First, whether a shear-suppression closure is well behaved is not a numerical detail: for the local closure the converged answer is set by an edge condition that the physics does not supply, and a consistent discretization is unstable at fine resolution. A local-closure result should therefore be reported with its edge treatment, resolution, and eigenvalues; the smoothed closure removes the issue at the price of one new length, to which the gain is insensitive (Table V). Second, the admissibility conditions are a priori checks that cost nothing and are reproduced to ten digits. Third, in this model the diamagnetic shear changes the gain by well under one per cent at moderate threshold, and the sensitivity to the threshold, not the form of the closure, dominates the uncertainty.</w:t>
      </w:r>
    </w:p>
    <w:p>
      <w:pPr>
        <w:keepNext/>
        <w:spacing w:before="80" w:after="40"/>
      </w:pPr>
      <w:r>
        <w:rPr>
          <w:i/>
        </w:rPr>
        <w:t xml:space="preserve">B. </w:t>
      </w:r>
      <w:r>
        <w:rPr>
          <w:i/>
        </w:rPr>
        <w:t>Limitations</w:t>
      </w:r>
    </w:p>
    <w:p>
      <w:pPr>
        <w:spacing w:after="40"/>
        <w:ind w:firstLine="245"/>
        <w:jc w:val="both"/>
      </w:pPr>
      <w:r>
        <w:rPr>
          <w:sz w:val="20"/>
        </w:rPr>
        <w:t>The limitations are those of a reduced model: no existence, uniqueness, or continuous-dependence theorem is proved for the nonlinear heat problem, so “ill posed” and “well behaved” rest on numerical evidence over the tested conditions; one-dimensional energy transport with fixed density, equal temperatures, and local alpha deposition; one-way coupling to rotation; no pedestal, edge-localized-mode, or magnetohydrodynamic physics; generic critical-gradient parameters (benchmarked only at the level of Section VI); an uncalibrated threshold and length; and no experimental data. The plasma current, elongation, and the Troyon limit enter only the calibration. A predictive claim would require gyrokinetic calibration of s</w:t>
      </w:r>
      <w:r>
        <w:rPr>
          <w:sz w:val="20"/>
          <w:vertAlign w:val="subscript"/>
        </w:rPr>
        <w:t>c</w:t>
      </w:r>
      <w:r>
        <w:rPr>
          <w:sz w:val="20"/>
        </w:rPr>
        <w:t xml:space="preserve"> and ℓ, a self-consistent density and pedestal, and validation against experiment.</w:t>
      </w:r>
    </w:p>
    <w:p>
      <w:pPr>
        <w:keepNext/>
        <w:spacing w:before="80" w:after="40"/>
      </w:pPr>
      <w:r>
        <w:rPr>
          <w:i/>
        </w:rPr>
        <w:t xml:space="preserve">C. </w:t>
      </w:r>
      <w:r>
        <w:rPr>
          <w:i/>
        </w:rPr>
        <w:t>Implications for Compact, Cost-Constrained Tokamak Design</w:t>
      </w:r>
    </w:p>
    <w:p>
      <w:pPr>
        <w:spacing w:after="40"/>
        <w:ind w:firstLine="245"/>
        <w:jc w:val="both"/>
      </w:pPr>
      <w:r>
        <w:rPr>
          <w:sz w:val="20"/>
        </w:rPr>
        <w:t>Compact devices have tight margins among confinement, field strength, auxiliary heating, and actuator capability, so a reduced transport model used to screen their operating regimes must not turn numerical artifacts into confinement gains. The present results bear on this only as a methodological prerequisite. The local closure is sensitive to the edge treatment and the resolution, whereas the regularized closure gave convergent solutions over the tested conditions; a predicted confinement improvement should therefore be accepted only after the flux admissibility, the grid convergence, and the sensitivity to the regularization length have been checked.</w:t>
      </w:r>
    </w:p>
    <w:p>
      <w:pPr>
        <w:spacing w:after="40"/>
        <w:ind w:firstLine="245"/>
        <w:jc w:val="both"/>
      </w:pPr>
      <w:r>
        <w:rPr>
          <w:sz w:val="20"/>
        </w:rPr>
        <w:t>Auxiliary rotation drive is the clearest case. At the reactor-scale beam torque of Section VI-C the modelled gain is only 1.5% (s</w:t>
      </w:r>
      <w:r>
        <w:rPr>
          <w:sz w:val="20"/>
          <w:vertAlign w:val="subscript"/>
        </w:rPr>
        <w:t>c</w:t>
      </w:r>
      <w:r>
        <w:rPr>
          <w:sz w:val="20"/>
        </w:rPr>
        <w:t xml:space="preserve"> = 0.5) to 9.3% (s</w:t>
      </w:r>
      <w:r>
        <w:rPr>
          <w:sz w:val="20"/>
          <w:vertAlign w:val="subscript"/>
        </w:rPr>
        <w:t>c</w:t>
      </w:r>
      <w:r>
        <w:rPr>
          <w:sz w:val="20"/>
        </w:rPr>
        <w:t xml:space="preserve"> = 0.2), and larger gains need either stronger suppression or a torque far above that estimate. This says nothing about the torque a compact device requires, because size, field, beam energy, geometry, and momentum transport change the accessible regime.</w:t>
      </w:r>
    </w:p>
    <w:p>
      <w:pPr>
        <w:spacing w:after="40"/>
        <w:ind w:firstLine="245"/>
        <w:jc w:val="both"/>
      </w:pPr>
      <w:r>
        <w:rPr>
          <w:sz w:val="20"/>
        </w:rPr>
        <w:t>A natural extension would apply the verified closure to a family of compact configurations that differ in major radius, minor radius, field, plasma current, and auxiliary power, and compare confinement time, fusion gain, actuator requirements, and operating margins under the same admissibility and convergence criteria; the one-dimensional model would first need geometric rescaling and equilibrium constraints. The relevant objective is not the largest modelled gain but an operating point that reaches adequate confinement with little auxiliary power and little sensitivity to the uncertain closure parameters. Weighing fusion output against auxiliary power, other power demands, and a normalized engineering cost would require a cost model, which is not part of this study.</w:t>
      </w:r>
    </w:p>
    <w:p>
      <w:pPr>
        <w:spacing w:after="40"/>
        <w:ind w:firstLine="245"/>
        <w:jc w:val="both"/>
      </w:pPr>
      <w:r>
        <w:rPr>
          <w:sz w:val="20"/>
        </w:rPr>
        <w:t>The model is not sufficient to establish compact-device feasibility: it omits self-consistent equilibrium and stability, pedestal physics, current drive, magnet engineering, neutron shielding, and balance of plant, and the threshold and the length are uncalibrated against gyrokinetic calculations or experiment. The contribution is therefore a verified method for assessing closure sensitivity, not a prediction that a compact or low-cost tokamak can reach a given gain; neither plant-level net electric power nor cost is computed.</w:t>
      </w:r>
    </w:p>
    <w:p>
      <w:pPr>
        <w:keepNext/>
        <w:spacing w:before="160" w:after="80"/>
        <w:jc w:val="center"/>
      </w:pPr>
      <w:r>
        <w:rPr>
          <w:sz w:val="20"/>
        </w:rPr>
        <w:t>VIII. CONCLUSION</w:t>
      </w:r>
    </w:p>
    <w:p>
      <w:pPr>
        <w:spacing w:after="40"/>
        <w:ind w:firstLine="245"/>
        <w:jc w:val="both"/>
      </w:pPr>
      <w:r>
        <w:rPr>
          <w:sz w:val="20"/>
        </w:rPr>
        <w:t>State-dependent shear-suppression closures need two things that are easy to overlook: an admissibility condition on the flux and a length that regularizes the shearing rate. With them the reduced model is verified, converges at second order, and gives a gain described over the tested range by the fitted relation ΔQ/Q = 0.056%/s</w:t>
      </w:r>
      <w:r>
        <w:rPr>
          <w:sz w:val="20"/>
          <w:vertAlign w:val="subscript"/>
        </w:rPr>
        <w:t>c</w:t>
      </w:r>
      <w:r>
        <w:rPr>
          <w:sz w:val="20"/>
        </w:rPr>
        <w:t>² with a documented uncertainty, while the local closure is numerically ill posed and its answers depend on the edge treatment. The admissibility conditions are exact and tested to ten digits. The baseline is L-mode-like (H</w:t>
      </w:r>
      <w:r>
        <w:rPr>
          <w:sz w:val="20"/>
          <w:vertAlign w:val="subscript"/>
        </w:rPr>
        <w:t>89</w:t>
      </w:r>
      <w:r>
        <w:rPr>
          <w:sz w:val="20"/>
        </w:rPr>
        <w:t xml:space="preserve"> = 1.01, a consistency check because the edge temperature is imposed), and neutral-beam torque of reactor size adds about 1.5%. The suppression threshold and the smoothing length are the quantities that a gyrokinetic calibration must supply before the gain can be used for design.</w:t>
      </w:r>
    </w:p>
    <w:p>
      <w:pPr>
        <w:keepNext/>
        <w:spacing w:before="160" w:after="60"/>
        <w:jc w:val="center"/>
      </w:pPr>
      <w:r>
        <w:rPr>
          <w:sz w:val="20"/>
        </w:rPr>
        <w:t>ACKNOWLEDGMENT</w:t>
      </w:r>
    </w:p>
    <w:p>
      <w:pPr>
        <w:spacing w:after="40"/>
        <w:ind w:firstLine="245"/>
        <w:jc w:val="both"/>
      </w:pPr>
      <w:r>
        <w:rPr>
          <w:sz w:val="20"/>
        </w:rPr>
        <w:t>The author used Claude Sonnet 5.5 (Anthropic; model identifier claude-sonnet-5-5), accessed through the Claude Code environment of the Claude desktop application between 7 and 9 October 2026, to write and test the code, derive and check the closed-form results, run the numerical experiments, produce the figures, and draft the text. The author reviewed and edited all content, checked every reference against Crossref, and takes full responsibility for the paper. No funding was received.</w:t>
      </w:r>
    </w:p>
    <w:p>
      <w:pPr>
        <w:keepNext/>
        <w:spacing w:before="160" w:after="60"/>
        <w:jc w:val="center"/>
      </w:pPr>
      <w:r>
        <w:rPr>
          <w:sz w:val="20"/>
        </w:rPr>
        <w:t>CODE AND DATA AVAILABILITY</w:t>
      </w:r>
    </w:p>
    <w:p>
      <w:pPr>
        <w:spacing w:after="40"/>
        <w:ind w:firstLine="245"/>
        <w:jc w:val="both"/>
      </w:pPr>
      <w:r>
        <w:rPr>
          <w:sz w:val="20"/>
        </w:rPr>
        <w:t>All code, tests, raw results (results.json), figure scripts, and the manuscript builders are at https://github.com/sandlerleon/tokamak-statedependent-closure (release v1.1.1) and archived at https://doi.org/10.5281/zenodo.23267847 (software, MIT licence); this manuscript is archived as a preprint at https://doi.org/10.5281/zenodo.23267849. No experimental data were used. A supplementary file contains the proofs, the numerical protocol, and extended tables.</w:t>
      </w:r>
    </w:p>
    <w:p>
      <w:pPr>
        <w:keepNext/>
        <w:spacing w:before="160" w:after="60"/>
        <w:jc w:val="center"/>
      </w:pPr>
      <w:r>
        <w:rPr>
          <w:sz w:val="20"/>
        </w:rPr>
        <w:t>REFERENCES</w:t>
      </w:r>
    </w:p>
    <w:p>
      <w:pPr>
        <w:tabs>
          <w:tab w:pos="432" w:val="left"/>
        </w:tabs>
        <w:spacing w:after="20"/>
        <w:ind w:left="432" w:hanging="432"/>
        <w:jc w:val="both"/>
      </w:pPr>
      <w:r>
        <w:rPr>
          <w:sz w:val="16"/>
        </w:rPr>
        <w:t>[1]</w:t>
        <w:tab/>
      </w:r>
      <w:r>
        <w:rPr>
          <w:sz w:val="16"/>
        </w:rPr>
        <w:t>A. M. Dimits et al., "Comparisons and physics basis of tokamak transport models and turbulence simulations," Phys. Plasmas, vol. 7, no. 3, pp. 969–983, 2000, doi: 10.1063/1.873896.</w:t>
      </w:r>
    </w:p>
    <w:p>
      <w:pPr>
        <w:tabs>
          <w:tab w:pos="432" w:val="left"/>
        </w:tabs>
        <w:spacing w:after="20"/>
        <w:ind w:left="432" w:hanging="432"/>
        <w:jc w:val="both"/>
      </w:pPr>
      <w:r>
        <w:rPr>
          <w:sz w:val="16"/>
        </w:rPr>
        <w:t>[2]</w:t>
        <w:tab/>
      </w:r>
      <w:r>
        <w:rPr>
          <w:sz w:val="16"/>
        </w:rPr>
        <w:t>M. Kotschenreuther, W. Dorland, M. A. Beer, and G. W. Hammett, "Quantitative predictions of tokamak energy confinement from first-principles simulations with kinetic effects," Phys. Plasmas, vol. 2, no. 6, pp. 2381–2389, 1995, doi: 10.1063/1.871261.</w:t>
      </w:r>
    </w:p>
    <w:p>
      <w:pPr>
        <w:tabs>
          <w:tab w:pos="432" w:val="left"/>
        </w:tabs>
        <w:spacing w:after="20"/>
        <w:ind w:left="432" w:hanging="432"/>
        <w:jc w:val="both"/>
      </w:pPr>
      <w:r>
        <w:rPr>
          <w:sz w:val="16"/>
        </w:rPr>
        <w:t>[3]</w:t>
        <w:tab/>
      </w:r>
      <w:r>
        <w:rPr>
          <w:sz w:val="16"/>
        </w:rPr>
        <w:t>H. Biglari, P. H. Diamond, and P. W. Terry, "Influence of sheared poloidal rotation on edge turbulence," Phys. Fluids B, vol. 2, no. 1, pp. 1–4, 1990, doi: 10.1063/1.859529.</w:t>
      </w:r>
    </w:p>
    <w:p>
      <w:pPr>
        <w:tabs>
          <w:tab w:pos="432" w:val="left"/>
        </w:tabs>
        <w:spacing w:after="20"/>
        <w:ind w:left="432" w:hanging="432"/>
        <w:jc w:val="both"/>
      </w:pPr>
      <w:r>
        <w:rPr>
          <w:sz w:val="16"/>
        </w:rPr>
        <w:t>[4]</w:t>
        <w:tab/>
      </w:r>
      <w:r>
        <w:rPr>
          <w:sz w:val="16"/>
        </w:rPr>
        <w:t>T. S. Hahm and K. H. Burrell, "Flow shear induced fluctuation suppression in finite aspect ratio shaped tokamak plasma," Phys. Plasmas, vol. 2, no. 5, pp. 1648–1651, 1995, doi: 10.1063/1.871313.</w:t>
      </w:r>
    </w:p>
    <w:p>
      <w:pPr>
        <w:tabs>
          <w:tab w:pos="432" w:val="left"/>
        </w:tabs>
        <w:spacing w:after="20"/>
        <w:ind w:left="432" w:hanging="432"/>
        <w:jc w:val="both"/>
      </w:pPr>
      <w:r>
        <w:rPr>
          <w:sz w:val="16"/>
        </w:rPr>
        <w:t>[5]</w:t>
        <w:tab/>
      </w:r>
      <w:r>
        <w:rPr>
          <w:sz w:val="16"/>
        </w:rPr>
        <w:t>K. H. Burrell, "Effects of E×B velocity shear and magnetic shear on turbulence and transport in magnetic confinement devices," Phys. Plasmas, vol. 4, no. 5, pp. 1499–1518, 1997, doi: 10.1063/1.872367.</w:t>
      </w:r>
    </w:p>
    <w:p>
      <w:pPr>
        <w:tabs>
          <w:tab w:pos="432" w:val="left"/>
        </w:tabs>
        <w:spacing w:after="20"/>
        <w:ind w:left="432" w:hanging="432"/>
        <w:jc w:val="both"/>
      </w:pPr>
      <w:r>
        <w:rPr>
          <w:sz w:val="16"/>
        </w:rPr>
        <w:t>[6]</w:t>
        <w:tab/>
      </w:r>
      <w:r>
        <w:rPr>
          <w:sz w:val="16"/>
        </w:rPr>
        <w:t>P. W. Terry, "Suppression of turbulence and transport by sheared flow," Rev. Mod. Phys., vol. 72, no. 1, pp. 109–165, 2000, doi: 10.1103/revmodphys.72.109.</w:t>
      </w:r>
    </w:p>
    <w:p>
      <w:pPr>
        <w:tabs>
          <w:tab w:pos="432" w:val="left"/>
        </w:tabs>
        <w:spacing w:after="20"/>
        <w:ind w:left="432" w:hanging="432"/>
        <w:jc w:val="both"/>
      </w:pPr>
      <w:r>
        <w:rPr>
          <w:sz w:val="16"/>
        </w:rPr>
        <w:t>[7]</w:t>
        <w:tab/>
      </w:r>
      <w:r>
        <w:rPr>
          <w:sz w:val="16"/>
        </w:rPr>
        <w:t>R. E. Waltz, G. D. Kerbel, and J. Milovich, "Toroidal gyro-Landau fluid model turbulence simulations in a nonlinear ballooning mode representation with radial modes," Phys. Plasmas, vol. 1, no. 7, pp. 2229–2244, 1994, doi: 10.1063/1.870934.</w:t>
      </w:r>
    </w:p>
    <w:p>
      <w:pPr>
        <w:tabs>
          <w:tab w:pos="432" w:val="left"/>
        </w:tabs>
        <w:spacing w:after="20"/>
        <w:ind w:left="432" w:hanging="432"/>
        <w:jc w:val="both"/>
      </w:pPr>
      <w:r>
        <w:rPr>
          <w:sz w:val="16"/>
        </w:rPr>
        <w:t>[8]</w:t>
        <w:tab/>
      </w:r>
      <w:r>
        <w:rPr>
          <w:sz w:val="16"/>
        </w:rPr>
        <w:t>S.-I. Itoh and K. Itoh, "Model of L to H-mode transition in tokamak," Phys. Rev. Lett., vol. 60, no. 22, pp. 2276–2279, 1988, doi: 10.1103/physrevlett.60.2276.</w:t>
      </w:r>
    </w:p>
    <w:p>
      <w:pPr>
        <w:tabs>
          <w:tab w:pos="432" w:val="left"/>
        </w:tabs>
        <w:spacing w:after="20"/>
        <w:ind w:left="432" w:hanging="432"/>
        <w:jc w:val="both"/>
      </w:pPr>
      <w:r>
        <w:rPr>
          <w:sz w:val="16"/>
        </w:rPr>
        <w:t>[9]</w:t>
        <w:tab/>
      </w:r>
      <w:r>
        <w:rPr>
          <w:sz w:val="16"/>
        </w:rPr>
        <w:t>F. L. Hinton, "Thermal confinement bifurcation and the L- to H-mode transition in tokamaks," Phys. Fluids B, vol. 3, no. 3, pp. 696–704, 1991, doi: 10.1063/1.859866.</w:t>
      </w:r>
    </w:p>
    <w:p>
      <w:pPr>
        <w:tabs>
          <w:tab w:pos="432" w:val="left"/>
        </w:tabs>
        <w:spacing w:after="20"/>
        <w:ind w:left="432" w:hanging="432"/>
        <w:jc w:val="both"/>
      </w:pPr>
      <w:r>
        <w:rPr>
          <w:sz w:val="16"/>
        </w:rPr>
        <w:t>[10]</w:t>
        <w:tab/>
      </w:r>
      <w:r>
        <w:rPr>
          <w:sz w:val="16"/>
        </w:rPr>
        <w:t>H.-S. Bosch and G. M. Hale, "Improved formulas for fusion cross-sections and thermal reactivities," Nucl. Fusion, vol. 32, no. 4, pp. 611–631, 1992, doi: 10.1088/0029-5515/32/4/i07.</w:t>
      </w:r>
    </w:p>
    <w:p>
      <w:pPr>
        <w:tabs>
          <w:tab w:pos="432" w:val="left"/>
        </w:tabs>
        <w:spacing w:after="20"/>
        <w:ind w:left="432" w:hanging="432"/>
        <w:jc w:val="both"/>
      </w:pPr>
      <w:r>
        <w:rPr>
          <w:sz w:val="16"/>
        </w:rPr>
        <w:t>[11]</w:t>
        <w:tab/>
      </w:r>
      <w:r>
        <w:rPr>
          <w:sz w:val="16"/>
        </w:rPr>
        <w:t>J. P. Freidberg, Ideal MHD. Cambridge, U.K.: Cambridge Univ. Press, 2014.</w:t>
      </w:r>
    </w:p>
    <w:p>
      <w:pPr>
        <w:tabs>
          <w:tab w:pos="432" w:val="left"/>
        </w:tabs>
        <w:spacing w:after="20"/>
        <w:ind w:left="432" w:hanging="432"/>
        <w:jc w:val="both"/>
      </w:pPr>
      <w:r>
        <w:rPr>
          <w:sz w:val="16"/>
        </w:rPr>
        <w:t>[12]</w:t>
        <w:tab/>
      </w:r>
      <w:r>
        <w:rPr>
          <w:sz w:val="16"/>
        </w:rPr>
        <w:t>J. Wesson, Tokamaks, 4th ed. Oxford, U.K.: Oxford Univ. Press, 2011.</w:t>
      </w:r>
    </w:p>
    <w:p>
      <w:pPr>
        <w:tabs>
          <w:tab w:pos="432" w:val="left"/>
        </w:tabs>
        <w:spacing w:after="20"/>
        <w:ind w:left="432" w:hanging="432"/>
        <w:jc w:val="both"/>
      </w:pPr>
      <w:r>
        <w:rPr>
          <w:sz w:val="16"/>
        </w:rPr>
        <w:t>[13]</w:t>
        <w:tab/>
      </w:r>
      <w:r>
        <w:rPr>
          <w:sz w:val="16"/>
        </w:rPr>
        <w:t>P. Perona and J. Malik, "Scale-space and edge detection using anisotropic diffusion," IEEE Trans. Pattern Anal. Mach. Intell., vol. 12, no. 7, pp. 629–639, 1990, doi: 10.1109/34.56205.</w:t>
      </w:r>
    </w:p>
    <w:p>
      <w:pPr>
        <w:tabs>
          <w:tab w:pos="432" w:val="left"/>
        </w:tabs>
        <w:spacing w:after="20"/>
        <w:ind w:left="432" w:hanging="432"/>
        <w:jc w:val="both"/>
      </w:pPr>
      <w:r>
        <w:rPr>
          <w:sz w:val="16"/>
        </w:rPr>
        <w:t>[14]</w:t>
        <w:tab/>
      </w:r>
      <w:r>
        <w:rPr>
          <w:sz w:val="16"/>
        </w:rPr>
        <w:t>P. N. Yushmanov et al., "Scalings for tokamak energy confinement," Nucl. Fusion, vol. 30, no. 10, pp. 1999–2006, 1990, doi: 10.1088/0029-5515/30/10/001.</w:t>
      </w:r>
    </w:p>
    <w:p>
      <w:pPr>
        <w:tabs>
          <w:tab w:pos="432" w:val="left"/>
        </w:tabs>
        <w:spacing w:after="20"/>
        <w:ind w:left="432" w:hanging="432"/>
        <w:jc w:val="both"/>
      </w:pPr>
      <w:r>
        <w:rPr>
          <w:sz w:val="16"/>
        </w:rPr>
        <w:t>[15]</w:t>
        <w:tab/>
      </w:r>
      <w:r>
        <w:rPr>
          <w:sz w:val="16"/>
        </w:rPr>
        <w:t>ITER Physics Expert Group on Confinement and Transport et al., "Chapter 2: Plasma confinement and transport," Nucl. Fusion, vol. 39, no. 12, pp. 2175–2249, 1999, doi: 10.1088/0029-5515/39/12/302.</w:t>
      </w:r>
    </w:p>
    <w:p>
      <w:pPr>
        <w:tabs>
          <w:tab w:pos="432" w:val="left"/>
        </w:tabs>
        <w:spacing w:after="20"/>
        <w:ind w:left="432" w:hanging="432"/>
        <w:jc w:val="both"/>
      </w:pPr>
      <w:r>
        <w:rPr>
          <w:sz w:val="16"/>
        </w:rPr>
        <w:t>[16]</w:t>
        <w:tab/>
      </w:r>
      <w:r>
        <w:rPr>
          <w:sz w:val="16"/>
        </w:rPr>
        <w:t>M. Greenwald, "Density limits in toroidal plasmas," Plasma Phys. Control. Fusion, vol. 44, no. 8, pp. R27–R53, 2002, doi: 10.1088/0741-3335/44/8/201.</w:t>
      </w:r>
    </w:p>
    <w:p>
      <w:pPr>
        <w:tabs>
          <w:tab w:pos="432" w:val="left"/>
        </w:tabs>
        <w:spacing w:after="20"/>
        <w:ind w:left="432" w:hanging="432"/>
        <w:jc w:val="both"/>
      </w:pPr>
      <w:r>
        <w:rPr>
          <w:sz w:val="16"/>
        </w:rPr>
        <w:t>[17]</w:t>
        <w:tab/>
      </w:r>
      <w:r>
        <w:rPr>
          <w:sz w:val="16"/>
        </w:rPr>
        <w:t>F. Troyon, R. Gruber, H. Saurenmann, S. Semenzato, and S. Succi, "MHD-Limits to Plasma Confinement," Plasma Phys. Control. Fusion, vol. 26, no. 1A, pp. 209–215, 1984, doi: 10.1088/0741-3335/26/1a/319.</w:t>
      </w:r>
    </w:p>
    <w:p>
      <w:pPr>
        <w:tabs>
          <w:tab w:pos="432" w:val="left"/>
        </w:tabs>
        <w:spacing w:after="20"/>
        <w:ind w:left="432" w:hanging="432"/>
        <w:jc w:val="both"/>
      </w:pPr>
      <w:r>
        <w:rPr>
          <w:sz w:val="16"/>
        </w:rPr>
        <w:t>[18]</w:t>
        <w:tab/>
      </w:r>
      <w:r>
        <w:rPr>
          <w:sz w:val="16"/>
        </w:rPr>
        <w:t>E. J. Paul, M. Landreman, F. M. Poli, D. A. Spong, H. M. Smith, and W. Dorland, "Rotation and neoclassical ripple transport in ITER," Nucl. Fusion, vol. 57, no. 11, Art. no. 116044, 2017, doi: 10.1088/1741-4326/aa7fa4.</w:t>
      </w: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